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</w:rPr>
        <w:t>澧县王家厂中学单位</w:t>
      </w:r>
      <w:r>
        <w:rPr>
          <w:rFonts w:ascii="Times New Roman" w:hAnsi="Times New Roman" w:cs="Times New Roman"/>
          <w:b/>
          <w:sz w:val="48"/>
          <w:szCs w:val="48"/>
        </w:rPr>
        <w:t>整体支出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月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（此页为封面）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澧县王家厂中学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单位整体支出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介绍本部门（单位）的机构、人员情况，主要职责，财务情况以及绩效目标等。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1、机构、人员构成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澧县王家厂中学为二级部门预算单位，我校下设校长室、副校长室，教务处、政教处、工会办公室、后勤处。学校编制</w:t>
      </w:r>
      <w:r>
        <w:rPr>
          <w:rFonts w:ascii="Times New Roman" w:hAnsi="Times New Roman" w:eastAsia="仿宋" w:cs="Times New Roman"/>
          <w:sz w:val="32"/>
          <w:szCs w:val="32"/>
        </w:rPr>
        <w:t>90</w:t>
      </w:r>
      <w:r>
        <w:rPr>
          <w:rFonts w:hint="eastAsia" w:ascii="Times New Roman" w:hAnsi="Times New Roman" w:eastAsia="仿宋" w:cs="Times New Roman"/>
          <w:sz w:val="32"/>
          <w:szCs w:val="32"/>
        </w:rPr>
        <w:t>人，年末在职教师为9</w:t>
      </w:r>
      <w:r>
        <w:rPr>
          <w:rFonts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Times New Roman"/>
          <w:sz w:val="32"/>
          <w:szCs w:val="32"/>
        </w:rPr>
        <w:t>人。学校设有</w:t>
      </w:r>
      <w:r>
        <w:rPr>
          <w:rFonts w:ascii="Times New Roman" w:hAnsi="Times New Roman" w:eastAsia="仿宋" w:cs="Times New Roman"/>
          <w:sz w:val="32"/>
          <w:szCs w:val="32"/>
        </w:rPr>
        <w:t>22</w:t>
      </w:r>
      <w:r>
        <w:rPr>
          <w:rFonts w:hint="eastAsia" w:ascii="Times New Roman" w:hAnsi="Times New Roman" w:eastAsia="仿宋" w:cs="Times New Roman"/>
          <w:sz w:val="32"/>
          <w:szCs w:val="32"/>
        </w:rPr>
        <w:t>个教学班，年末在校学生9</w:t>
      </w:r>
      <w:r>
        <w:rPr>
          <w:rFonts w:ascii="Times New Roman" w:hAnsi="Times New Roman" w:eastAsia="仿宋" w:cs="Times New Roman"/>
          <w:sz w:val="32"/>
          <w:szCs w:val="32"/>
        </w:rPr>
        <w:t>50</w:t>
      </w:r>
      <w:r>
        <w:rPr>
          <w:rFonts w:hint="eastAsia" w:ascii="Times New Roman" w:hAnsi="Times New Roman" w:eastAsia="仿宋" w:cs="Times New Roman"/>
          <w:sz w:val="32"/>
          <w:szCs w:val="32"/>
        </w:rPr>
        <w:t>人。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2、单位主要职责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实施学前教育、九年义务教育、成人教育管理，促进基础教育发展。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3、部门财务情况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⑴部门整体支出情况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本年支出为</w:t>
      </w:r>
      <w:r>
        <w:rPr>
          <w:rFonts w:ascii="Times New Roman" w:hAnsi="Times New Roman" w:eastAsia="仿宋" w:cs="Times New Roman"/>
          <w:sz w:val="32"/>
          <w:szCs w:val="32"/>
        </w:rPr>
        <w:t>1001.06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万元，其中基本支出</w:t>
      </w:r>
      <w:r>
        <w:rPr>
          <w:rFonts w:ascii="Times New Roman" w:hAnsi="Times New Roman" w:eastAsia="仿宋" w:cs="Times New Roman"/>
          <w:sz w:val="32"/>
          <w:szCs w:val="32"/>
        </w:rPr>
        <w:t>957.96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万元，项目支出</w:t>
      </w:r>
      <w:r>
        <w:rPr>
          <w:rFonts w:ascii="Times New Roman" w:hAnsi="Times New Roman" w:eastAsia="仿宋" w:cs="Times New Roman"/>
          <w:sz w:val="32"/>
          <w:szCs w:val="32"/>
        </w:rPr>
        <w:t>43.10</w:t>
      </w:r>
      <w:r>
        <w:rPr>
          <w:rFonts w:hint="eastAsia" w:ascii="Times New Roman" w:hAnsi="Times New Roman" w:eastAsia="仿宋" w:cs="Times New Roman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⑵部门预算收支决算情况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2021年年初预算收入</w:t>
      </w:r>
      <w:r>
        <w:rPr>
          <w:rFonts w:ascii="Times New Roman" w:hAnsi="Times New Roman" w:eastAsia="仿宋" w:cs="Times New Roman"/>
          <w:sz w:val="32"/>
          <w:szCs w:val="32"/>
        </w:rPr>
        <w:t>638.28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万元，其中财政拨款收入</w:t>
      </w:r>
      <w:r>
        <w:rPr>
          <w:rFonts w:ascii="Times New Roman" w:hAnsi="Times New Roman" w:eastAsia="仿宋" w:cs="Times New Roman"/>
          <w:sz w:val="32"/>
          <w:szCs w:val="32"/>
        </w:rPr>
        <w:t>638.28</w:t>
      </w:r>
      <w:r>
        <w:rPr>
          <w:rFonts w:hint="eastAsia" w:ascii="Times New Roman" w:hAnsi="Times New Roman" w:eastAsia="仿宋" w:cs="Times New Roman"/>
          <w:sz w:val="32"/>
          <w:szCs w:val="32"/>
        </w:rPr>
        <w:t>万。因调资和补发，财政拨款调整后的预算收入为</w:t>
      </w:r>
      <w:r>
        <w:rPr>
          <w:rFonts w:ascii="Times New Roman" w:hAnsi="Times New Roman" w:eastAsia="仿宋" w:cs="Times New Roman"/>
          <w:sz w:val="32"/>
          <w:szCs w:val="32"/>
        </w:rPr>
        <w:t>1001.06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万元，其中财政拨款收入</w:t>
      </w:r>
      <w:r>
        <w:rPr>
          <w:rFonts w:ascii="Times New Roman" w:hAnsi="Times New Roman" w:eastAsia="仿宋" w:cs="Times New Roman"/>
          <w:sz w:val="32"/>
          <w:szCs w:val="32"/>
        </w:rPr>
        <w:t>998.06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万元，元，</w:t>
      </w:r>
      <w:bookmarkStart w:id="0" w:name="_Hlk119764736"/>
      <w:r>
        <w:rPr>
          <w:rFonts w:hint="eastAsia" w:ascii="Times New Roman" w:hAnsi="Times New Roman" w:eastAsia="仿宋" w:cs="Times New Roman"/>
          <w:sz w:val="32"/>
          <w:szCs w:val="32"/>
        </w:rPr>
        <w:t>政府性基金预算财政拨款收入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万元</w:t>
      </w:r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本年预算支出为</w:t>
      </w:r>
      <w:r>
        <w:rPr>
          <w:rFonts w:ascii="Times New Roman" w:hAnsi="Times New Roman" w:eastAsia="仿宋" w:cs="Times New Roman"/>
          <w:sz w:val="32"/>
          <w:szCs w:val="32"/>
        </w:rPr>
        <w:t>638.28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万元，调整后的决算支出为</w:t>
      </w:r>
      <w:r>
        <w:rPr>
          <w:rFonts w:ascii="Times New Roman" w:hAnsi="Times New Roman" w:eastAsia="仿宋" w:cs="Times New Roman"/>
          <w:sz w:val="32"/>
          <w:szCs w:val="32"/>
        </w:rPr>
        <w:t>1001.06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4、绩效目标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（一）部门绩效总目标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1.把教学放在首位，一切为教学服务，提高师生整体素质。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2.师资力量达到</w:t>
      </w:r>
      <w:r>
        <w:rPr>
          <w:rFonts w:ascii="Times New Roman" w:hAnsi="Times New Roman" w:eastAsia="仿宋" w:cs="Times New Roman"/>
          <w:sz w:val="32"/>
          <w:szCs w:val="32"/>
        </w:rPr>
        <w:t>90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人，学生规模达到  </w:t>
      </w:r>
      <w:r>
        <w:rPr>
          <w:rFonts w:ascii="Times New Roman" w:hAnsi="Times New Roman" w:eastAsia="仿宋" w:cs="Times New Roman"/>
          <w:sz w:val="32"/>
          <w:szCs w:val="32"/>
        </w:rPr>
        <w:t>950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人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3.学生品德评价合格率达100%。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5.社会公众及服务对象满意度达到98%以上。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（二）2021年度部门绩效目标</w:t>
      </w:r>
    </w:p>
    <w:p>
      <w:pPr>
        <w:spacing w:line="58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数量指标：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1.新招学生</w:t>
      </w:r>
      <w:r>
        <w:rPr>
          <w:rFonts w:ascii="Times New Roman" w:hAnsi="Times New Roman" w:eastAsia="仿宋" w:cs="Times New Roman"/>
          <w:sz w:val="32"/>
          <w:szCs w:val="32"/>
        </w:rPr>
        <w:t>55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人、在校学生达到 </w:t>
      </w:r>
      <w:r>
        <w:rPr>
          <w:rFonts w:ascii="Times New Roman" w:hAnsi="Times New Roman" w:eastAsia="仿宋" w:cs="Times New Roman"/>
          <w:sz w:val="32"/>
          <w:szCs w:val="32"/>
        </w:rPr>
        <w:t>950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人；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2.师资力量  </w:t>
      </w:r>
      <w:r>
        <w:rPr>
          <w:rFonts w:ascii="Times New Roman" w:hAnsi="Times New Roman" w:eastAsia="仿宋" w:cs="Times New Roman"/>
          <w:sz w:val="32"/>
          <w:szCs w:val="32"/>
        </w:rPr>
        <w:t>90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人。</w:t>
      </w:r>
    </w:p>
    <w:p>
      <w:pPr>
        <w:spacing w:line="58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质量指标：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1.学生品德评价合格率均为100%。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2.教师队伍中本科学历的占 </w:t>
      </w:r>
      <w:r>
        <w:rPr>
          <w:rFonts w:ascii="Times New Roman" w:hAnsi="Times New Roman" w:eastAsia="仿宋" w:cs="Times New Roman"/>
          <w:sz w:val="32"/>
          <w:szCs w:val="32"/>
        </w:rPr>
        <w:t>88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%以上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4.食品安全事故和治安事件均为零。</w:t>
      </w:r>
    </w:p>
    <w:p>
      <w:pPr>
        <w:spacing w:line="58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时效指标：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分春、秋两学期完成教学任务，年内顺利完成各项指标。</w:t>
      </w:r>
    </w:p>
    <w:p>
      <w:pPr>
        <w:spacing w:line="58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成本指标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全年经费开支控制在</w:t>
      </w:r>
      <w:r>
        <w:rPr>
          <w:rFonts w:ascii="Times New Roman" w:hAnsi="Times New Roman" w:eastAsia="仿宋" w:cs="Times New Roman"/>
          <w:sz w:val="32"/>
          <w:szCs w:val="32"/>
        </w:rPr>
        <w:t>1001.06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万元以内。</w:t>
      </w:r>
    </w:p>
    <w:p>
      <w:pPr>
        <w:spacing w:line="58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社会效益指标：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学校安全、稳定、文明、和谐，教学效率高、质量好，社会公众满意率达到95%以上。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本年一般公共预算财政拨款收入为</w:t>
      </w:r>
      <w:r>
        <w:rPr>
          <w:rFonts w:ascii="仿宋" w:eastAsia="仿宋" w:cs="仿宋"/>
          <w:sz w:val="32"/>
          <w:szCs w:val="32"/>
        </w:rPr>
        <w:t>998.06</w:t>
      </w:r>
      <w:r>
        <w:rPr>
          <w:rFonts w:hint="eastAsia" w:ascii="仿宋" w:eastAsia="仿宋" w:cs="仿宋"/>
          <w:sz w:val="32"/>
          <w:szCs w:val="32"/>
        </w:rPr>
        <w:t>万元，政府性基金预算财政拨款收入3万元。支出为1</w:t>
      </w:r>
      <w:r>
        <w:rPr>
          <w:rFonts w:ascii="仿宋" w:eastAsia="仿宋" w:cs="仿宋"/>
          <w:sz w:val="32"/>
          <w:szCs w:val="32"/>
        </w:rPr>
        <w:t>001.06</w:t>
      </w:r>
      <w:r>
        <w:rPr>
          <w:rFonts w:hint="eastAsia" w:ascii="仿宋" w:eastAsia="仿宋" w:cs="仿宋"/>
          <w:sz w:val="32"/>
          <w:szCs w:val="32"/>
        </w:rPr>
        <w:t>万元。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一般公共预算财政拨款支出</w:t>
      </w:r>
      <w:r>
        <w:rPr>
          <w:rFonts w:ascii="仿宋" w:eastAsia="仿宋" w:cs="仿宋"/>
          <w:sz w:val="32"/>
          <w:szCs w:val="32"/>
        </w:rPr>
        <w:t>957.96</w:t>
      </w:r>
      <w:r>
        <w:rPr>
          <w:rFonts w:hint="eastAsia" w:ascii="仿宋" w:eastAsia="仿宋" w:cs="仿宋"/>
          <w:sz w:val="32"/>
          <w:szCs w:val="32"/>
        </w:rPr>
        <w:t>万元，其中人员经费支出</w:t>
      </w:r>
      <w:r>
        <w:rPr>
          <w:rFonts w:ascii="仿宋" w:eastAsia="仿宋" w:cs="仿宋"/>
          <w:sz w:val="32"/>
          <w:szCs w:val="32"/>
        </w:rPr>
        <w:t>954.28</w:t>
      </w:r>
      <w:r>
        <w:rPr>
          <w:rFonts w:hint="eastAsia" w:ascii="仿宋" w:eastAsia="仿宋" w:cs="仿宋"/>
          <w:sz w:val="32"/>
          <w:szCs w:val="32"/>
        </w:rPr>
        <w:t>万元，占拨款支出的9</w:t>
      </w:r>
      <w:r>
        <w:rPr>
          <w:rFonts w:ascii="仿宋" w:eastAsia="仿宋" w:cs="仿宋"/>
          <w:sz w:val="32"/>
          <w:szCs w:val="32"/>
        </w:rPr>
        <w:t>9</w:t>
      </w:r>
      <w:r>
        <w:rPr>
          <w:rFonts w:hint="eastAsia" w:ascii="仿宋" w:eastAsia="仿宋" w:cs="仿宋"/>
          <w:sz w:val="32"/>
          <w:szCs w:val="32"/>
        </w:rPr>
        <w:t>.</w:t>
      </w:r>
      <w:r>
        <w:rPr>
          <w:rFonts w:ascii="仿宋" w:eastAsia="仿宋" w:cs="仿宋"/>
          <w:sz w:val="32"/>
          <w:szCs w:val="32"/>
        </w:rPr>
        <w:t>61</w:t>
      </w:r>
      <w:r>
        <w:rPr>
          <w:rFonts w:hint="eastAsia" w:ascii="仿宋" w:eastAsia="仿宋" w:cs="仿宋"/>
          <w:sz w:val="32"/>
          <w:szCs w:val="32"/>
        </w:rPr>
        <w:t>%，公用经费支出3</w:t>
      </w:r>
      <w:r>
        <w:rPr>
          <w:rFonts w:ascii="仿宋" w:eastAsia="仿宋" w:cs="仿宋"/>
          <w:sz w:val="32"/>
          <w:szCs w:val="32"/>
        </w:rPr>
        <w:t>.68</w:t>
      </w:r>
      <w:r>
        <w:rPr>
          <w:rFonts w:hint="eastAsia" w:ascii="仿宋" w:eastAsia="仿宋" w:cs="仿宋"/>
          <w:sz w:val="32"/>
          <w:szCs w:val="32"/>
        </w:rPr>
        <w:t>万元，占拨款支出的0</w:t>
      </w:r>
      <w:r>
        <w:rPr>
          <w:rFonts w:ascii="仿宋" w:eastAsia="仿宋" w:cs="仿宋"/>
          <w:sz w:val="32"/>
          <w:szCs w:val="32"/>
        </w:rPr>
        <w:t>.39</w:t>
      </w:r>
      <w:r>
        <w:rPr>
          <w:rFonts w:hint="eastAsia" w:ascii="仿宋" w:eastAsia="仿宋" w:cs="仿宋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（二）项目支出情况</w:t>
      </w:r>
    </w:p>
    <w:p>
      <w:pPr>
        <w:spacing w:line="58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一般公共预算财政拨款支出</w:t>
      </w:r>
      <w:r>
        <w:rPr>
          <w:rFonts w:ascii="仿宋" w:eastAsia="仿宋" w:cs="仿宋"/>
          <w:sz w:val="32"/>
          <w:szCs w:val="32"/>
        </w:rPr>
        <w:t>40.1</w:t>
      </w:r>
      <w:r>
        <w:rPr>
          <w:rFonts w:hint="eastAsia" w:ascii="仿宋" w:eastAsia="仿宋" w:cs="仿宋"/>
          <w:sz w:val="32"/>
          <w:szCs w:val="32"/>
        </w:rPr>
        <w:t>万元，项目支出</w:t>
      </w:r>
      <w:r>
        <w:rPr>
          <w:rFonts w:ascii="仿宋" w:eastAsia="仿宋" w:cs="仿宋"/>
          <w:sz w:val="32"/>
          <w:szCs w:val="32"/>
        </w:rPr>
        <w:t>40.1</w:t>
      </w:r>
      <w:r>
        <w:rPr>
          <w:rFonts w:hint="eastAsia" w:ascii="仿宋" w:eastAsia="仿宋" w:cs="仿宋"/>
          <w:sz w:val="32"/>
          <w:szCs w:val="32"/>
        </w:rPr>
        <w:t>万元，占拨款支出的1</w:t>
      </w:r>
      <w:r>
        <w:rPr>
          <w:rFonts w:ascii="仿宋" w:eastAsia="仿宋" w:cs="仿宋"/>
          <w:sz w:val="32"/>
          <w:szCs w:val="32"/>
        </w:rPr>
        <w:t>00</w:t>
      </w:r>
      <w:r>
        <w:rPr>
          <w:rFonts w:hint="eastAsia" w:ascii="仿宋" w:eastAsia="仿宋" w:cs="仿宋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三、政府性基金预算支出情况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政府性基金预算财政拨款收入3万元，项目支出3万元，占拨款支出的</w:t>
      </w:r>
      <w:r>
        <w:rPr>
          <w:rFonts w:hint="eastAsia" w:ascii="仿宋" w:eastAsia="仿宋" w:cs="仿宋"/>
          <w:sz w:val="32"/>
          <w:szCs w:val="32"/>
        </w:rPr>
        <w:t>1</w:t>
      </w:r>
      <w:r>
        <w:rPr>
          <w:rFonts w:ascii="仿宋" w:eastAsia="仿宋" w:cs="仿宋"/>
          <w:sz w:val="32"/>
          <w:szCs w:val="32"/>
        </w:rPr>
        <w:t>00%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四、国有资本经营预算支出情况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本年没有</w:t>
      </w:r>
      <w:r>
        <w:rPr>
          <w:rFonts w:ascii="Times New Roman" w:hAnsi="Times New Roman" w:eastAsia="仿宋" w:cs="Times New Roman"/>
          <w:sz w:val="32"/>
          <w:szCs w:val="32"/>
        </w:rPr>
        <w:t>国有资本经营预算支出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五、社会保险基金预算支出情况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本年没有</w:t>
      </w:r>
      <w:r>
        <w:rPr>
          <w:rFonts w:ascii="Times New Roman" w:hAnsi="Times New Roman" w:eastAsia="仿宋" w:cs="Times New Roman"/>
          <w:sz w:val="32"/>
          <w:szCs w:val="32"/>
        </w:rPr>
        <w:t>社会保险基金预算支出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2021年，学校整体工作思路是：深化改革、特色发展、勠力同心、再续辉煌。一年来，学校紧紧围绕这一工作思路，始终坚持“文化立校，德行立人”的办学追求不动摇，以实施“深度学习课堂”为突破口，全面推进“课堂革命”，坚持在主动上下功夫，在落实上做文章，着力推动学校特色发展，至臻立德树人，砥砺传承致远，学校各项工作取得了显著成效。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一、党建工作展现时代作为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学校党委坚持以习近平新时代中国特色社会主义思想为指导，深入贯彻党的十九大和十九届二中、三中、四中、五中、六中全会精神及省委</w:t>
      </w:r>
      <w:r>
        <w:rPr>
          <w:rFonts w:hint="eastAsia" w:asci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eastAsia="仿宋" w:cs="仿宋"/>
          <w:sz w:val="32"/>
          <w:szCs w:val="32"/>
        </w:rPr>
        <w:t>十二</w:t>
      </w:r>
      <w:r>
        <w:rPr>
          <w:rFonts w:hint="eastAsia" w:ascii="仿宋" w:eastAsia="仿宋" w:cs="仿宋"/>
          <w:sz w:val="32"/>
          <w:szCs w:val="32"/>
          <w:lang w:eastAsia="zh-CN"/>
        </w:rPr>
        <w:t>次</w:t>
      </w:r>
      <w:bookmarkStart w:id="1" w:name="_GoBack"/>
      <w:bookmarkEnd w:id="1"/>
      <w:r>
        <w:rPr>
          <w:rFonts w:hint="eastAsia" w:ascii="仿宋" w:eastAsia="仿宋" w:cs="仿宋"/>
          <w:sz w:val="32"/>
          <w:szCs w:val="32"/>
        </w:rPr>
        <w:t>党代会精神，全面落实新时代党的建设总要求，围绕教育抓党建，抓好党建促教育的工作思路，立足工作实际，增强“四个意识”，坚定“四个自信”，坚决做到“两个维护”，坚持以党的政治建设为统领，把“不忘初心，牢记使命”作为加强党的建设的永恒课题和全体党员干部的终身课题，全面推进党的基层组织体系建设，始终参与疫情防控、乡村振兴等中心工作。加强澧县王家厂中学基层党组织建设，永葆党的先进性和纯洁性，发挥党组织和党员的先锋模范作用，助力学校高质量稳定发展。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二、全面育人焕发勃勃生机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学校始终坚持育人为本，德育为先，以培养学生良好的品德、健全的人格、受益终身的习惯为目标，构建方向正确、内容完善、载体丰富、常态开展的德育工作体系，努力形成全员育人、全程育人、全方位育人。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1.目之所及，在浸润中熏陶。教育无小事，事事皆育人，学校一草一木，一砖一石，一字一画都能体现教育的引导和熏陶，让学生在长期浸润中，慢慢渗透、慢慢升华，由外而内，沁透心脾。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.心之所向，在内化中固本。一年来，学校德育工作精心设计、组织开展了主题鲜明、内容丰富、形式多样、吸引力强的教育活动，以鲜明正确的价值引导学生、以积极向上的力量激励学生。2021年，学校开展的特色德育工作主要有体育文化节、语文辩论赛、迎新年元旦晚会、系列主题班会、每周日德育例会、心理健康教育、研究性学习进课堂、寝室文化建设等，还有每周２次收看新闻或经典讲座视频、每周２节群体活动、每周一次全员卫生大扫除、学生精品社团活动、假期综合实践活动等等。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3.身之所往，在实践中提升。德育工作要与综合实践活动课程紧密结合，形成合力，开展广泛的社会实践活动，愉悦学生身心，增强学生社会责任感、创新精神和实践能力。开展以“缅怀革命先烈，传承农耕文化，助力乡村振兴”和“畅游书香圣地、探访先辈故里”为主题的研学活动。通过研学活动，让同学们充分地从中感悟到信仰的力量，传承了红色基因，坚定了理想信念，既开阔了视野、丰富了头脑，又陶冶了情操、增强了修养。学校还大力开展志愿服务实践，让更多的学生在实践过程中的到体验。利用雷锋日、清明节等特殊日子带领学生开展综合性实践活动，让学生在实践中唤醒道德认知，形成自觉行动，为学生健康幸福人生奠基、铺路。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4.梦之所求，在付出中收获。一年来，学校德育工作坚持正确的育人方向，遵循教育规律，发挥学校、家庭、社会合力，推进德育工作常态开展，努力形成一以贯之、久久为功的长效机制，工作取得明显成效。一是提升了学生家国情怀的思想境界。体现在学生具有追求高远理想目标的强烈愿望，具有持续勤奋刻苦学习的强大动力，具有对国家所需的“冷门专业”的积极填报。二是培养了学生坚定过硬的精神品质。表现在对高远理想目标的坚定追求，对实现自身高考目标的强烈自信，对克服学习困难的勇敢斗争精神。三是提高了学生健康良好的身体素质。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三、教学改革激增内部活力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学校发展行稳致远，教学质量是压舱石。2021年，学校多措并举，多向发力，围绕教师专业成长，努力解决质量提升之源；围绕课堂主阵地，努力解决质量提升之本；围绕教改教研，努力解决质量提升之法。一年来，教学管理逐步规范，质量意识逐步强化。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1.着眼一个“实”字，做到固本立规。学校教务科通过整体部署、个别交流、跟踪督促等措施，推动备课组管理工作。</w:t>
      </w:r>
    </w:p>
    <w:p>
      <w:pPr>
        <w:ind w:firstLine="645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2.立足一个“研”字，做到敦行致远。校本教研活动是最接地气、富有灵气、最具朝气的实现研究性校园的最直接途径。</w:t>
      </w:r>
    </w:p>
    <w:p>
      <w:pPr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    3.落实一个“推”字，做到博取精修。推动深度学习课堂向纵深方向发展，坚持以点带面的工作路径，实施全科、全员引入，坚持正向引领在前、倒逼机制紧随的工作思路，促进课堂改革落地落细，深度学习课堂见行见效。</w:t>
      </w:r>
    </w:p>
    <w:p>
      <w:pPr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    4.抓好一个“比”字，做到千帆竞发。各项教学评比，教学比武、学生竞赛是检验教师队伍的有力方式，是衡量学校办学水平的重要参考。</w:t>
      </w:r>
    </w:p>
    <w:p>
      <w:pPr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    四、育人环境实现不断升级</w:t>
      </w:r>
    </w:p>
    <w:p>
      <w:pPr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    栉风沐雨、砥砺前行，学校始终把育人环境建设作为学校工作的重心，实现了育人环境的不断优化，育人内涵的不断丰富。一是“三风”建设持续推进。领导班子高度重视师德建设，努力改进校风、教风、学风，不断增强教职工育人意识。</w:t>
      </w:r>
    </w:p>
    <w:p>
      <w:pPr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    过去的一年，我们团结一致，齐心协力，开拓进取，尽职尽责，推动我校各项工作持续发展，办学成效大幅提高。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我</w:t>
      </w:r>
      <w:r>
        <w:rPr>
          <w:rFonts w:hint="eastAsia" w:ascii="仿宋" w:eastAsia="仿宋" w:cs="仿宋"/>
          <w:sz w:val="32"/>
          <w:szCs w:val="32"/>
        </w:rPr>
        <w:t>校教育教学教研及其他</w:t>
      </w:r>
      <w:r>
        <w:rPr>
          <w:rFonts w:ascii="仿宋" w:eastAsia="仿宋" w:cs="仿宋"/>
          <w:sz w:val="32"/>
          <w:szCs w:val="32"/>
        </w:rPr>
        <w:t>等</w:t>
      </w:r>
      <w:r>
        <w:rPr>
          <w:rFonts w:hint="eastAsia" w:ascii="仿宋" w:eastAsia="仿宋" w:cs="仿宋"/>
          <w:sz w:val="32"/>
          <w:szCs w:val="32"/>
        </w:rPr>
        <w:t>活动</w:t>
      </w:r>
      <w:r>
        <w:rPr>
          <w:rFonts w:ascii="仿宋" w:eastAsia="仿宋" w:cs="仿宋"/>
          <w:sz w:val="32"/>
          <w:szCs w:val="32"/>
        </w:rPr>
        <w:t>的不确定性导致预算不准确</w:t>
      </w:r>
      <w:r>
        <w:rPr>
          <w:rFonts w:hint="eastAsia" w:ascii="仿宋" w:eastAsia="仿宋" w:cs="仿宋"/>
          <w:sz w:val="32"/>
          <w:szCs w:val="32"/>
        </w:rPr>
        <w:t>，</w:t>
      </w:r>
      <w:r>
        <w:rPr>
          <w:rFonts w:ascii="仿宋" w:eastAsia="仿宋" w:cs="仿宋"/>
          <w:sz w:val="32"/>
          <w:szCs w:val="32"/>
        </w:rPr>
        <w:t>改进措施增强预算的</w:t>
      </w:r>
      <w:r>
        <w:rPr>
          <w:rFonts w:hint="eastAsia" w:ascii="仿宋" w:eastAsia="仿宋" w:cs="仿宋"/>
          <w:sz w:val="32"/>
          <w:szCs w:val="32"/>
        </w:rPr>
        <w:t>科学性、</w:t>
      </w:r>
      <w:r>
        <w:rPr>
          <w:rFonts w:ascii="仿宋" w:eastAsia="仿宋" w:cs="仿宋"/>
          <w:sz w:val="32"/>
          <w:szCs w:val="32"/>
        </w:rPr>
        <w:t>合理性</w:t>
      </w:r>
      <w:r>
        <w:rPr>
          <w:rFonts w:hint="eastAsia" w:ascii="仿宋" w:eastAsia="仿宋" w:cs="仿宋"/>
          <w:sz w:val="32"/>
          <w:szCs w:val="32"/>
        </w:rPr>
        <w:t>、准确性</w:t>
      </w:r>
      <w:r>
        <w:rPr>
          <w:rFonts w:ascii="仿宋" w:eastAsia="仿宋" w:cs="仿宋"/>
          <w:sz w:val="32"/>
          <w:szCs w:val="32"/>
        </w:rPr>
        <w:t>，加强预算执行力度</w:t>
      </w:r>
      <w:r>
        <w:rPr>
          <w:rFonts w:hint="eastAsia" w:ascii="仿宋" w:eastAsia="仿宋" w:cs="仿宋"/>
          <w:sz w:val="32"/>
          <w:szCs w:val="32"/>
        </w:rPr>
        <w:t>。</w:t>
      </w:r>
    </w:p>
    <w:p>
      <w:pPr>
        <w:spacing w:line="580" w:lineRule="exact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ascii="Times New Roman" w:hAnsi="黑体" w:eastAsia="黑体" w:cs="Times New Roman"/>
          <w:sz w:val="32"/>
          <w:szCs w:val="32"/>
        </w:rPr>
        <w:t>八、下一步改进措施</w:t>
      </w:r>
    </w:p>
    <w:p>
      <w:pPr>
        <w:tabs>
          <w:tab w:val="center" w:pos="4153"/>
        </w:tabs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1、加大财务管理力度。</w:t>
      </w:r>
      <w:r>
        <w:rPr>
          <w:rFonts w:ascii="仿宋" w:eastAsia="仿宋" w:cs="仿宋"/>
          <w:sz w:val="32"/>
          <w:szCs w:val="32"/>
        </w:rPr>
        <w:tab/>
      </w:r>
    </w:p>
    <w:p>
      <w:pPr>
        <w:tabs>
          <w:tab w:val="center" w:pos="4153"/>
        </w:tabs>
        <w:ind w:firstLine="633" w:firstLineChars="198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严格执行财务管理制度，强化内控制度建设，充分发挥监管职能，杜绝无预算或超预算支出，厉行节约，杜绝浪费，加强具体账务报销、签字及审批程序的管理，严格按财务制度执行。</w:t>
      </w:r>
    </w:p>
    <w:p>
      <w:pPr>
        <w:snapToGrid w:val="0"/>
        <w:spacing w:line="52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2、加强预算管理，优化支出结构，强化决算组织、编报、审核工作。</w:t>
      </w:r>
    </w:p>
    <w:p>
      <w:pPr>
        <w:ind w:firstLine="633" w:firstLineChars="198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强化预算编制的科学性、合理性、规范性、准确性及决算组织、编报、审核工作，加强预算执行的约束力，尽量减少经费供需矛盾，调整支出结构，优化资源配置，保证法定性和政策性支出，严格控制一般性支出，尽量节约开支，充分发挥资金的使用效益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九、单位整体支出绩效自评结果拟应用和公开情况</w:t>
      </w:r>
    </w:p>
    <w:p>
      <w:pPr>
        <w:ind w:firstLine="633" w:firstLineChars="198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学校根据年度工作任务编制年度财务收支计划，通过全面推进单位内部控制建设，强化各科室的责任主体意识，细致梳理各类经济活动的规章制度及其业务流程，实现各类经济活动决策、执行、监督的有效分离。在此基础上，学校各科室组织了年度考核和相关检查，对学校整体情况进行自评，自评分为95分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无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633" w:firstLineChars="198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报告需要以下附件：</w:t>
      </w:r>
    </w:p>
    <w:p>
      <w:pPr>
        <w:ind w:firstLine="633" w:firstLineChars="198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1．部门整体支出绩效评价基础数据表</w:t>
      </w:r>
    </w:p>
    <w:p>
      <w:pPr>
        <w:ind w:firstLine="633" w:firstLineChars="198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2．部门整体支出绩效自评表</w:t>
      </w:r>
    </w:p>
    <w:p>
      <w:pPr>
        <w:ind w:firstLine="633" w:firstLineChars="198"/>
        <w:rPr>
          <w:rFonts w:ascii="Times New Roman" w:hAnsi="Times New Roman" w:eastAsia="仿宋" w:cs="Times New Roman"/>
        </w:rPr>
      </w:pPr>
      <w:r>
        <w:rPr>
          <w:rFonts w:ascii="仿宋" w:eastAsia="仿宋" w:cs="仿宋"/>
          <w:sz w:val="32"/>
          <w:szCs w:val="32"/>
        </w:rPr>
        <w:t>3．项目支出绩效自评表（一个项目支出一张表）</w:t>
      </w: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2YTE0MzIwNmQ1Yzg1ZGY1YWM4ODc4NDU1ZDRiNWQifQ=="/>
  </w:docVars>
  <w:rsids>
    <w:rsidRoot w:val="27D94564"/>
    <w:rsid w:val="00050CA4"/>
    <w:rsid w:val="0008193C"/>
    <w:rsid w:val="0010666C"/>
    <w:rsid w:val="00115C71"/>
    <w:rsid w:val="00191BBE"/>
    <w:rsid w:val="0021057E"/>
    <w:rsid w:val="00226E16"/>
    <w:rsid w:val="0038176F"/>
    <w:rsid w:val="003F6E80"/>
    <w:rsid w:val="00433CEE"/>
    <w:rsid w:val="00515C34"/>
    <w:rsid w:val="00565440"/>
    <w:rsid w:val="005A3C2A"/>
    <w:rsid w:val="005B3648"/>
    <w:rsid w:val="00626EFA"/>
    <w:rsid w:val="0064325D"/>
    <w:rsid w:val="006638A9"/>
    <w:rsid w:val="006A7089"/>
    <w:rsid w:val="00824EA1"/>
    <w:rsid w:val="0086213D"/>
    <w:rsid w:val="008646B6"/>
    <w:rsid w:val="008D0A48"/>
    <w:rsid w:val="008D2CAB"/>
    <w:rsid w:val="00915526"/>
    <w:rsid w:val="00963CCE"/>
    <w:rsid w:val="00981C3B"/>
    <w:rsid w:val="00991580"/>
    <w:rsid w:val="00A204A2"/>
    <w:rsid w:val="00AB5C58"/>
    <w:rsid w:val="00B9329D"/>
    <w:rsid w:val="00C140B6"/>
    <w:rsid w:val="00D45466"/>
    <w:rsid w:val="00DC49B1"/>
    <w:rsid w:val="00DE1C52"/>
    <w:rsid w:val="00E40EA6"/>
    <w:rsid w:val="00E541A7"/>
    <w:rsid w:val="00EE2058"/>
    <w:rsid w:val="00F07D7E"/>
    <w:rsid w:val="00F109A4"/>
    <w:rsid w:val="00F53D80"/>
    <w:rsid w:val="00F92C09"/>
    <w:rsid w:val="00FA11CD"/>
    <w:rsid w:val="02E602C3"/>
    <w:rsid w:val="0569626F"/>
    <w:rsid w:val="1F5E5F75"/>
    <w:rsid w:val="225C4890"/>
    <w:rsid w:val="24430BB3"/>
    <w:rsid w:val="27D94564"/>
    <w:rsid w:val="287C746C"/>
    <w:rsid w:val="2AF459E0"/>
    <w:rsid w:val="356E5F27"/>
    <w:rsid w:val="3AD76784"/>
    <w:rsid w:val="3E1A70B4"/>
    <w:rsid w:val="4AD44F71"/>
    <w:rsid w:val="4B2A2DEB"/>
    <w:rsid w:val="4B775B0D"/>
    <w:rsid w:val="505446A7"/>
    <w:rsid w:val="525C7843"/>
    <w:rsid w:val="5EA93E10"/>
    <w:rsid w:val="64BA24D5"/>
    <w:rsid w:val="65474C27"/>
    <w:rsid w:val="737C62D9"/>
    <w:rsid w:val="78D21D5D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8</Pages>
  <Words>3450</Words>
  <Characters>3614</Characters>
  <Lines>26</Lines>
  <Paragraphs>7</Paragraphs>
  <TotalTime>53</TotalTime>
  <ScaleCrop>false</ScaleCrop>
  <LinksUpToDate>false</LinksUpToDate>
  <CharactersWithSpaces>3659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2022-06-14T00:15:00Z</dcterms:created>
  <dc:creator>小明同学</dc:creator>
  <cp:lastModifiedBy>syy</cp:lastModifiedBy>
  <cp:lastPrinted>2022-06-21T01:50:00Z</cp:lastPrinted>
  <dcterms:modified xsi:type="dcterms:W3CDTF">2023-03-29T00:32:28Z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2C748869A0314D468FCA60B514AE4557</vt:lpwstr>
  </property>
</Properties>
</file>