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620" w:lineRule="exac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宋体" w:hAnsi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部门联合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“双随机、一公开”</w:t>
      </w:r>
      <w:r>
        <w:rPr>
          <w:rFonts w:hint="eastAsia" w:ascii="宋体" w:hAnsi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监管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  <w:t>抽查工作计划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620" w:lineRule="exact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3"/>
          <w:kern w:val="0"/>
          <w:sz w:val="44"/>
          <w:szCs w:val="44"/>
          <w:lang w:val="en-US" w:eastAsia="zh-CN"/>
        </w:rPr>
      </w:pPr>
    </w:p>
    <w:tbl>
      <w:tblPr>
        <w:tblStyle w:val="4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40"/>
        <w:gridCol w:w="1170"/>
        <w:gridCol w:w="1290"/>
        <w:gridCol w:w="1065"/>
        <w:gridCol w:w="3030"/>
        <w:gridCol w:w="1680"/>
        <w:gridCol w:w="1305"/>
        <w:gridCol w:w="12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tblHeader/>
        </w:trPr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抽查计划编号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抽查计划名称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抽查任务编号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类型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抽查事项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抽查对象范围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抽取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比例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实施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期限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1045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43072320233001</w:t>
            </w:r>
          </w:p>
        </w:tc>
        <w:tc>
          <w:tcPr>
            <w:tcW w:w="104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澧县应急管理局2023年度部门联合抽查工作计划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430723202303023001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工业企业安全生产情况的检查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1、工贸企业安全生产检查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2、特种设备使用单位监督检查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全县工贸监管企业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1月-12月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牵头单位：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应急管理局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配合单位：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</w:trPr>
        <w:tc>
          <w:tcPr>
            <w:tcW w:w="104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04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430723202303023002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工业企业安全生产情况的检查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1、工贸企业安全生产检查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2、消防安全监督检查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全县工贸监管企业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1月-12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牵头单位：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应急管理局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配合单位：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消防救援部门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jVmZDAyYmM2ZTRkMmFmYzYyNDUzZTFkNjJjY2MifQ=="/>
  </w:docVars>
  <w:rsids>
    <w:rsidRoot w:val="0CF014A4"/>
    <w:rsid w:val="0CF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2023-06-02T02:32:00Z</dcterms:created>
  <dc:creator>阿万</dc:creator>
  <cp:lastModifiedBy>阿万</cp:lastModifiedBy>
  <dcterms:modified xsi:type="dcterms:W3CDTF">2023-06-02T02:33:08Z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36EB854C8FC9401483A7CBF09D1F5961_11</vt:lpwstr>
  </property>
</Properties>
</file>