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2023年度部门内专项“双随机、一公开”抽查工作计划</w:t>
      </w:r>
      <w:bookmarkEnd w:id="0"/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410"/>
        <w:gridCol w:w="2770"/>
        <w:gridCol w:w="2770"/>
        <w:gridCol w:w="1835"/>
        <w:gridCol w:w="2404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抽查企业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lang w:eastAsia="zh-CN"/>
              </w:rPr>
              <w:t>类别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lang w:eastAsia="zh-CN"/>
              </w:rPr>
              <w:t>抽查数量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抽查事项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抽查时间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lang w:eastAsia="zh-CN"/>
              </w:rPr>
              <w:t>责任股室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  <w:t>危化企业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27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企业落实安全生产主体责任情况</w:t>
            </w: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3-12月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  <w:t>危化股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  <w:t>责任股室负责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制定详细抽查工作方案，做好资料归档，并报法规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  <w:t>股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  <w:t>非煤矿山企业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2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  <w:t>非煤矿山股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  <w:t>工贸企业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45</w:t>
            </w:r>
          </w:p>
        </w:tc>
        <w:tc>
          <w:tcPr>
            <w:tcW w:w="2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  <w:t>工贸股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  <w:t>烟花企业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2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  <w:t>烟花股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ZjVmZDAyYmM2ZTRkMmFmYzYyNDUzZTFkNjJjY2MifQ=="/>
  </w:docVars>
  <w:rsids>
    <w:rsidRoot w:val="2FD53A4B"/>
    <w:rsid w:val="2FD5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2023-06-02T02:33:00Z</dcterms:created>
  <dc:creator>阿万</dc:creator>
  <cp:lastModifiedBy>阿万</cp:lastModifiedBy>
  <dcterms:modified xsi:type="dcterms:W3CDTF">2023-06-02T02:33:58Z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C0A3FEF82AE944939B5A79541A9C4350_11</vt:lpwstr>
  </property>
</Properties>
</file>