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71" w:rsidRDefault="0093765A">
      <w:pPr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</w:p>
    <w:p w:rsidR="00794F71" w:rsidRDefault="00794F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4F71" w:rsidRDefault="00794F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4F71" w:rsidRDefault="00794F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4F71" w:rsidRDefault="00794F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4F71" w:rsidRDefault="00934D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 w:hint="eastAsia"/>
          <w:b/>
          <w:sz w:val="48"/>
          <w:szCs w:val="48"/>
        </w:rPr>
        <w:t>澧县农机安全监理大队</w:t>
      </w:r>
      <w:r w:rsidR="0093765A">
        <w:rPr>
          <w:rFonts w:ascii="Times New Roman" w:hAnsi="Times New Roman" w:cs="Times New Roman"/>
          <w:b/>
          <w:sz w:val="48"/>
          <w:szCs w:val="48"/>
        </w:rPr>
        <w:t>2021</w:t>
      </w:r>
      <w:r w:rsidR="0093765A">
        <w:rPr>
          <w:rFonts w:ascii="Times New Roman" w:hAnsi="Times New Roman" w:cs="Times New Roman"/>
          <w:b/>
          <w:sz w:val="48"/>
          <w:szCs w:val="48"/>
        </w:rPr>
        <w:t>年度整体绩效评</w:t>
      </w:r>
      <w:r>
        <w:rPr>
          <w:rFonts w:ascii="Times New Roman" w:hAnsi="Times New Roman" w:cs="Times New Roman" w:hint="eastAsia"/>
          <w:b/>
          <w:sz w:val="48"/>
          <w:szCs w:val="48"/>
        </w:rPr>
        <w:t>价</w:t>
      </w:r>
      <w:r w:rsidR="0093765A">
        <w:rPr>
          <w:rFonts w:ascii="Times New Roman" w:hAnsi="Times New Roman" w:cs="Times New Roman"/>
          <w:b/>
          <w:sz w:val="48"/>
          <w:szCs w:val="48"/>
        </w:rPr>
        <w:t>报告</w:t>
      </w:r>
    </w:p>
    <w:p w:rsidR="00794F71" w:rsidRDefault="00794F71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794F71" w:rsidRDefault="00794F71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794F71" w:rsidRDefault="00794F71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93765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澧县农机安全监理大队</w:t>
      </w:r>
      <w:r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p w:rsidR="00794F71" w:rsidRDefault="00794F7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93765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94F71" w:rsidRDefault="00794F7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94F71" w:rsidRDefault="00794F71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794F71" w:rsidRDefault="00934D42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lastRenderedPageBreak/>
        <w:t>澧县农机安全监理大队</w:t>
      </w:r>
      <w:r w:rsidR="0093765A"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 w:rsidR="0093765A">
        <w:rPr>
          <w:rFonts w:ascii="Times New Roman" w:eastAsiaTheme="majorEastAsia" w:hAnsiTheme="majorEastAsia" w:cs="Times New Roman"/>
          <w:b/>
          <w:sz w:val="44"/>
          <w:szCs w:val="44"/>
        </w:rPr>
        <w:t>年度整体</w:t>
      </w:r>
    </w:p>
    <w:p w:rsidR="00794F71" w:rsidRDefault="0093765A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绩效评</w:t>
      </w:r>
      <w:r w:rsidR="00934D42">
        <w:rPr>
          <w:rFonts w:ascii="Times New Roman" w:eastAsiaTheme="majorEastAsia" w:hAnsiTheme="majorEastAsia" w:cs="Times New Roman" w:hint="eastAsia"/>
          <w:b/>
          <w:sz w:val="44"/>
          <w:szCs w:val="44"/>
        </w:rPr>
        <w:t>价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报告</w:t>
      </w:r>
    </w:p>
    <w:p w:rsidR="00794F71" w:rsidRDefault="00794F71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94F71" w:rsidRDefault="0093765A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一、单位基本情况</w:t>
      </w:r>
    </w:p>
    <w:p w:rsidR="00794F71" w:rsidRDefault="0093765A">
      <w:pPr>
        <w:widowControl/>
        <w:ind w:firstLineChars="100" w:firstLine="320"/>
        <w:rPr>
          <w:rFonts w:ascii="Times New Roman" w:eastAsia="仿宋_GB2312" w:hAnsi="Times New Roman"/>
          <w:color w:val="222222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（一）</w:t>
      </w:r>
      <w:r>
        <w:rPr>
          <w:rFonts w:ascii="Times New Roman" w:eastAsia="仿宋_GB2312" w:hAnsi="Times New Roman"/>
          <w:color w:val="22222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22222"/>
          <w:sz w:val="32"/>
          <w:szCs w:val="32"/>
        </w:rPr>
        <w:t>机构、人员构成</w:t>
      </w:r>
    </w:p>
    <w:p w:rsidR="00794F71" w:rsidRDefault="0093765A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澧县农机安全监理大队内设5个机构：即办公室、政工室、财务室、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澧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阳中承、甘溪中队。核定编制人数为24人，实际在职在编人员9人，离核定人数少15人。主要原因是因机构改革，调出人员4人，退休7人。</w:t>
      </w:r>
    </w:p>
    <w:p w:rsidR="00794F71" w:rsidRDefault="0093765A">
      <w:pPr>
        <w:spacing w:line="600" w:lineRule="exact"/>
        <w:ind w:rightChars="-244" w:right="-512" w:firstLineChars="100" w:firstLine="320"/>
        <w:rPr>
          <w:rFonts w:ascii="Times New Roman" w:eastAsia="仿宋_GB2312" w:hAnsi="Times New Roman"/>
          <w:color w:val="222222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（二）</w:t>
      </w:r>
      <w:r>
        <w:rPr>
          <w:rFonts w:ascii="Times New Roman" w:eastAsia="仿宋_GB2312" w:hAnsi="Times New Roman"/>
          <w:color w:val="22222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22222"/>
          <w:sz w:val="32"/>
          <w:szCs w:val="32"/>
        </w:rPr>
        <w:t>单位主要职责</w:t>
      </w:r>
    </w:p>
    <w:p w:rsidR="00794F71" w:rsidRDefault="0093765A">
      <w:pPr>
        <w:widowControl/>
        <w:spacing w:line="580" w:lineRule="exact"/>
        <w:ind w:firstLineChars="100" w:firstLine="320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负责实施全县农业机械安全生产监督管理，农业机械驾驶（操作）人员考试考核，农业机械安全作业操作规程等安全生产法规、规章的实施与监督；负责拖拉机、联合收割机、等农业机械的年检和驾驶员的法规培训工作；承办农业机械事故统计工作；负责调处道路以外农业机械安全事故。     </w:t>
      </w:r>
      <w:r>
        <w:rPr>
          <w:rFonts w:ascii="Times New Roman" w:eastAsia="仿宋" w:hAnsi="仿宋" w:cs="Times New Roman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三</w:t>
      </w:r>
      <w:r>
        <w:rPr>
          <w:rFonts w:ascii="Times New Roman" w:eastAsia="仿宋" w:hAnsi="仿宋" w:cs="Times New Roman"/>
          <w:sz w:val="32"/>
          <w:szCs w:val="32"/>
        </w:rPr>
        <w:t>）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222222"/>
          <w:sz w:val="32"/>
          <w:szCs w:val="32"/>
        </w:rPr>
        <w:t>财务情况</w:t>
      </w:r>
    </w:p>
    <w:p w:rsidR="00794F71" w:rsidRDefault="0093765A">
      <w:pPr>
        <w:tabs>
          <w:tab w:val="left" w:pos="8595"/>
        </w:tabs>
        <w:spacing w:line="580" w:lineRule="exact"/>
        <w:ind w:firstLineChars="247" w:firstLine="79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根据财务报表数据反映2021年末资产总额为131.77万元，其中预付账款0.3万元，其他应收款、应收账款都没有；固定资产净值占比99.76%，无形资产净值占比0%。负债无。净资产131.77万元。</w:t>
      </w:r>
    </w:p>
    <w:p w:rsidR="00794F71" w:rsidRDefault="0093765A">
      <w:pPr>
        <w:tabs>
          <w:tab w:val="left" w:pos="8595"/>
        </w:tabs>
        <w:spacing w:line="580" w:lineRule="exact"/>
        <w:ind w:firstLineChars="200" w:firstLine="64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资产负债率为0%</w:t>
      </w:r>
      <w:r>
        <w:rPr>
          <w:rFonts w:ascii="仿宋" w:eastAsia="仿宋" w:hAnsi="仿宋" w:hint="eastAsia"/>
          <w:color w:val="000000"/>
          <w:sz w:val="32"/>
          <w:szCs w:val="32"/>
        </w:rPr>
        <w:t>，单位财务状况较好；单位固定资产成新率为8.23%。</w:t>
      </w:r>
    </w:p>
    <w:p w:rsidR="00794F71" w:rsidRDefault="0093765A">
      <w:pPr>
        <w:widowControl/>
        <w:spacing w:line="580" w:lineRule="exact"/>
        <w:ind w:firstLineChars="100" w:firstLine="320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四</w:t>
      </w:r>
      <w:r>
        <w:rPr>
          <w:rFonts w:ascii="Times New Roman" w:eastAsia="仿宋" w:hAnsi="仿宋" w:cs="Times New Roman"/>
          <w:sz w:val="32"/>
          <w:szCs w:val="32"/>
        </w:rPr>
        <w:t>）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222222"/>
          <w:sz w:val="32"/>
          <w:szCs w:val="32"/>
        </w:rPr>
        <w:t>绩效目标</w:t>
      </w:r>
    </w:p>
    <w:p w:rsidR="00794F71" w:rsidRDefault="0093765A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目标1：减少农机安全事故发生，创建“平安农机示范县”。</w:t>
      </w:r>
    </w:p>
    <w:p w:rsidR="00794F71" w:rsidRDefault="0093765A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目标2：农机安全提供监理保障，农机操作员考核发证、农机牌证核发。规范开展农机安全检验、农机行政许可工作。</w:t>
      </w:r>
    </w:p>
    <w:p w:rsidR="00794F71" w:rsidRDefault="0093765A">
      <w:pPr>
        <w:spacing w:line="580" w:lineRule="exact"/>
        <w:ind w:firstLineChars="150" w:firstLine="4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二、一般公共预算支出情况</w:t>
      </w:r>
    </w:p>
    <w:p w:rsidR="00794F71" w:rsidRDefault="0093765A">
      <w:pPr>
        <w:spacing w:line="580" w:lineRule="exact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（一）基本支出情况</w:t>
      </w:r>
    </w:p>
    <w:p w:rsidR="00794F71" w:rsidRDefault="0093765A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2021年本单位一般公共预算拨款</w:t>
      </w:r>
      <w:r>
        <w:rPr>
          <w:rFonts w:ascii="仿宋" w:eastAsia="仿宋" w:hAnsi="仿宋" w:hint="eastAsia"/>
          <w:sz w:val="32"/>
          <w:szCs w:val="32"/>
        </w:rPr>
        <w:t>全年总支出217.70万元，基本支出178.7万元，其中人员经费支162.40万元，日常公用经费支出55.30万元。</w:t>
      </w:r>
    </w:p>
    <w:p w:rsidR="00794F71" w:rsidRDefault="0093765A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一般性支出55.30万元。其中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办公费5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 印刷费5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元;电费3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 水费1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元;差旅费1.3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元;公务接待费2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元;专用材料费5.65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元;工会经费8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元;劳务费3.9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 公务用车运行维护费1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元;其他交通费用9.6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元;其他商品和服务支出9.85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元。</w:t>
      </w:r>
    </w:p>
    <w:p w:rsidR="00794F71" w:rsidRDefault="0093765A">
      <w:pPr>
        <w:spacing w:line="580" w:lineRule="exact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（二）项目支出情况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项目支出</w:t>
      </w:r>
      <w:r>
        <w:rPr>
          <w:rFonts w:ascii="Times New Roman" w:eastAsia="仿宋" w:hAnsi="Times New Roman" w:cs="Times New Roman" w:hint="eastAsia"/>
          <w:sz w:val="32"/>
          <w:szCs w:val="32"/>
        </w:rPr>
        <w:t>39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万元，主要是为农机安全提供监理保障，农机操作员考核发证、农机牌证核发。规范开展农机安全检验、农机行政许可等工作。</w:t>
      </w:r>
    </w:p>
    <w:p w:rsidR="00794F71" w:rsidRDefault="0093765A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三、政府性基金预算支出情况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794F71" w:rsidRDefault="0093765A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四、国有资本经营预算支出情况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794F71" w:rsidRDefault="0093765A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五、社会保险基金预算支出情况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794F71" w:rsidRDefault="0093765A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六、单位整体支出绩效情况</w:t>
      </w:r>
    </w:p>
    <w:p w:rsidR="00794F71" w:rsidRDefault="0093765A">
      <w:pPr>
        <w:spacing w:line="580" w:lineRule="exact"/>
        <w:ind w:firstLineChars="150" w:firstLine="482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（一）强化安全宣传，促平安农机创建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上级主管部门</w:t>
      </w:r>
      <w:r>
        <w:rPr>
          <w:rFonts w:ascii="仿宋_GB2312" w:eastAsia="仿宋_GB2312"/>
          <w:sz w:val="32"/>
          <w:szCs w:val="32"/>
        </w:rPr>
        <w:t>的决策部署，</w:t>
      </w:r>
      <w:r>
        <w:rPr>
          <w:rFonts w:ascii="仿宋_GB2312" w:eastAsia="仿宋_GB2312" w:hint="eastAsia"/>
          <w:sz w:val="32"/>
          <w:szCs w:val="32"/>
        </w:rPr>
        <w:t>为营造良好的农机安全</w:t>
      </w:r>
      <w:r>
        <w:rPr>
          <w:rFonts w:ascii="仿宋_GB2312" w:eastAsia="仿宋_GB2312" w:hint="eastAsia"/>
          <w:sz w:val="32"/>
          <w:szCs w:val="32"/>
        </w:rPr>
        <w:lastRenderedPageBreak/>
        <w:t>生产氛围，农机监理大队坚持将农机安全知识宣传贯穿于日常执勤工作中，并以开展“安全生产月”活动为契机，</w:t>
      </w:r>
      <w:r>
        <w:rPr>
          <w:rFonts w:ascii="仿宋_GB2312" w:eastAsia="仿宋_GB2312"/>
          <w:sz w:val="32"/>
          <w:szCs w:val="32"/>
        </w:rPr>
        <w:t>坚持高起点规划，高水平建设，高效能管理，按照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实现全面覆盖，更加贴近群众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的要求</w:t>
      </w:r>
      <w:r>
        <w:rPr>
          <w:rFonts w:ascii="仿宋_GB2312" w:eastAsia="仿宋_GB2312" w:hint="eastAsia"/>
          <w:sz w:val="32"/>
          <w:szCs w:val="32"/>
        </w:rPr>
        <w:t>，组织宣传车深入全县19个镇（街道）开展农机安全知识咨询和送安全知识下乡宣传活动，高标准严要求完成安全宣传咨询日、安全警示教育和科普宣传、应急救援演</w:t>
      </w:r>
      <w:r>
        <w:rPr>
          <w:rFonts w:ascii="楷体_GB2312" w:eastAsia="楷体_GB2312" w:hAnsi="楷体_GB2312" w:cs="楷体_GB2312" w:hint="eastAsia"/>
          <w:sz w:val="32"/>
          <w:szCs w:val="32"/>
        </w:rPr>
        <w:t>练</w:t>
      </w:r>
      <w:r>
        <w:rPr>
          <w:rFonts w:ascii="仿宋_GB2312" w:eastAsia="仿宋_GB2312" w:hint="eastAsia"/>
          <w:sz w:val="32"/>
          <w:szCs w:val="32"/>
        </w:rPr>
        <w:t>等规定动作，并深入学校开展“小手牵大手”农机安全教育宣传活动，营造全社会安全生产的良好氛围。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今年以来，共计发放宣传资料5000余套，制作宣传横幅、刷写和张贴宣传标语500多条，制作农机安全生产知识宣传展牌200余块，给全县3000余名农机驾驶操作机手在特别时段</w:t>
      </w:r>
      <w:proofErr w:type="gramStart"/>
      <w:r>
        <w:rPr>
          <w:rFonts w:ascii="仿宋_GB2312" w:eastAsia="仿宋_GB2312" w:hint="eastAsia"/>
          <w:sz w:val="32"/>
          <w:szCs w:val="32"/>
        </w:rPr>
        <w:t>发安全</w:t>
      </w:r>
      <w:proofErr w:type="gramEnd"/>
      <w:r>
        <w:rPr>
          <w:rFonts w:ascii="仿宋_GB2312" w:eastAsia="仿宋_GB2312" w:hint="eastAsia"/>
          <w:sz w:val="32"/>
          <w:szCs w:val="32"/>
        </w:rPr>
        <w:t>提示短信2次，宣传工作取得良好效果。</w:t>
      </w:r>
    </w:p>
    <w:p w:rsidR="00794F71" w:rsidRDefault="0093765A">
      <w:pPr>
        <w:spacing w:line="580" w:lineRule="exact"/>
        <w:ind w:firstLineChars="150" w:firstLine="482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（二）加强执法检查，落实隐患整改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1、加强执法检查。</w:t>
      </w:r>
      <w:r>
        <w:rPr>
          <w:rFonts w:ascii="仿宋_GB2312" w:eastAsia="仿宋_GB2312" w:hint="eastAsia"/>
          <w:sz w:val="32"/>
          <w:szCs w:val="32"/>
        </w:rPr>
        <w:t>根据上级主管部门关于农村道路交通安全工作的统一部署和要求，澧县农机监理大队在开展日常路检路查工作的基础上，结合本县实际情况，制定了切实可行的专项工作方案，对安全生产工作进行具体部署，通过日常路检路查与专项整治相结合，及时了解和掌握农机安全生产情况，严厉打击无牌行驶、无证驾驶、违规载人、超速超载等违法违规行为，规范建立</w:t>
      </w:r>
      <w:proofErr w:type="gramStart"/>
      <w:r>
        <w:rPr>
          <w:rFonts w:ascii="仿宋_GB2312" w:eastAsia="仿宋_GB2312" w:hint="eastAsia"/>
          <w:sz w:val="32"/>
          <w:szCs w:val="32"/>
        </w:rPr>
        <w:t>各类台账</w:t>
      </w:r>
      <w:proofErr w:type="gramEnd"/>
      <w:r>
        <w:rPr>
          <w:rFonts w:ascii="仿宋_GB2312" w:eastAsia="仿宋_GB2312" w:hint="eastAsia"/>
          <w:sz w:val="32"/>
          <w:szCs w:val="32"/>
        </w:rPr>
        <w:t>，及时消除安全隐患。今年，在各项专项整治中共检查农机车辆1200余台次，纠正违章车辆200多台次，纠正田间作业机械违规作业150台次，检查农机合作社发现隐患20个，以上隐患均已及时整改，极大地消除了安全隐患。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2、部门联动，加强农村交通安全管理力量建设</w:t>
      </w:r>
      <w:r>
        <w:rPr>
          <w:rFonts w:ascii="仿宋_GB2312" w:eastAsia="仿宋_GB2312" w:hint="eastAsia"/>
          <w:sz w:val="32"/>
          <w:szCs w:val="32"/>
        </w:rPr>
        <w:t>。一是加强联合执法。为进一步深化农机安全综合整治，强化安全生产基础，农机监理大队与县交警等部门开展联合执法并形成长效机制。结合</w:t>
      </w:r>
      <w:proofErr w:type="gramStart"/>
      <w:r>
        <w:rPr>
          <w:rFonts w:ascii="仿宋_GB2312" w:eastAsia="仿宋_GB2312" w:hint="eastAsia"/>
          <w:sz w:val="32"/>
          <w:szCs w:val="32"/>
        </w:rPr>
        <w:t>隐患台</w:t>
      </w:r>
      <w:proofErr w:type="gramEnd"/>
      <w:r>
        <w:rPr>
          <w:rFonts w:ascii="仿宋_GB2312" w:eastAsia="仿宋_GB2312" w:hint="eastAsia"/>
          <w:sz w:val="32"/>
          <w:szCs w:val="32"/>
        </w:rPr>
        <w:t>账，重点打击无证驾驶、人货混装、非法改装等严重违法行为，并对隐患点进行逐一排查，督促当事人进行整改，做到全面铺开，突出重点，有效防范和遏制重特大农机事故的发和生。今年来，建立了与交警形成联合执法长效机制，每月至少开展联合执法2次，纠正违章车辆70余台（次），收缴较严重违章车辆证照2个，为维护农机安全生产秩序、消除各类农机安全生产隐患起到了良好的效果。</w:t>
      </w:r>
    </w:p>
    <w:p w:rsidR="00794F71" w:rsidRDefault="0093765A">
      <w:pPr>
        <w:spacing w:line="580" w:lineRule="exact"/>
        <w:ind w:firstLineChars="150" w:firstLine="482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（三）紧抓源头管理，保障安全生产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1、严格把好农业机械注册登记和驾驶人考核发证关。一是严把注册登记关。</w:t>
      </w:r>
      <w:r>
        <w:rPr>
          <w:rFonts w:ascii="仿宋_GB2312" w:eastAsia="仿宋_GB2312" w:hint="eastAsia"/>
          <w:sz w:val="32"/>
          <w:szCs w:val="32"/>
        </w:rPr>
        <w:t>根据上级农业机械注册登记规定要求，我们做到见车、见人、见机车来历凭证、见合格证、</w:t>
      </w:r>
      <w:proofErr w:type="gramStart"/>
      <w:r>
        <w:rPr>
          <w:rFonts w:ascii="仿宋_GB2312" w:eastAsia="仿宋_GB2312" w:hint="eastAsia"/>
          <w:sz w:val="32"/>
          <w:szCs w:val="32"/>
        </w:rPr>
        <w:t>见有效</w:t>
      </w:r>
      <w:proofErr w:type="gramEnd"/>
      <w:r>
        <w:rPr>
          <w:rFonts w:ascii="仿宋_GB2312" w:eastAsia="仿宋_GB2312" w:hint="eastAsia"/>
          <w:sz w:val="32"/>
          <w:szCs w:val="32"/>
        </w:rPr>
        <w:t>保单的“五见”，不符合上户目录、超标的农业机械坚决不予登记，严把“入户关”。今年全县共注册登记拖拉机及联合收割机595台，其中轮式拖拉机157台，履带式收割机348台，履带式拖拉机13台，手扶拖拉机77台，均按要求严格办理。二是严把农机驾驶人考试考核关，坚决做到未经培训不考试，考试不合格不发证，资料手续不全不受理，真正把好驾驶人办证这一核心关。一是落实先培训再考试的制度。所有申领驾驶证的农机手，必须先在农机校培训，取得培训合格证后才能申请考试考核。二是落实异地考官主考，市所</w:t>
      </w:r>
      <w:r>
        <w:rPr>
          <w:rFonts w:ascii="仿宋_GB2312" w:eastAsia="仿宋_GB2312" w:hint="eastAsia"/>
          <w:sz w:val="32"/>
          <w:szCs w:val="32"/>
        </w:rPr>
        <w:lastRenderedPageBreak/>
        <w:t>监考制度。三是坚持考试考核合格发证，不合格不发证。今年</w:t>
      </w:r>
      <w:proofErr w:type="gramStart"/>
      <w:r>
        <w:rPr>
          <w:rFonts w:ascii="仿宋_GB2312" w:eastAsia="仿宋_GB2312" w:hint="eastAsia"/>
          <w:sz w:val="32"/>
          <w:szCs w:val="32"/>
        </w:rPr>
        <w:t>共考试</w:t>
      </w:r>
      <w:proofErr w:type="gramEnd"/>
      <w:r>
        <w:rPr>
          <w:rFonts w:ascii="仿宋_GB2312" w:eastAsia="仿宋_GB2312" w:hint="eastAsia"/>
          <w:sz w:val="32"/>
          <w:szCs w:val="32"/>
        </w:rPr>
        <w:t>培训并核发农机驾驶证88本。由于我们严把了考试考核关口，近年来，驾驶员操作水平有了很大的提高，全县农机安全事故四项指数均控制在上级规定的指标范围之内。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2、开展送检下乡活动。</w:t>
      </w:r>
      <w:r>
        <w:rPr>
          <w:rFonts w:ascii="仿宋_GB2312" w:eastAsia="仿宋_GB2312" w:hint="eastAsia"/>
          <w:sz w:val="32"/>
          <w:szCs w:val="32"/>
        </w:rPr>
        <w:t>在今年春耕季节到来之前，为排查事故隐患，打击各类农机违章违法行为，保障农机道路交通安全和农机安全生产，澧县农机监理大队联合中医院、人保财险、检测站、喷漆服务公司，联合下乡对拖拉机、联合收割机等即将投入使用的农业机械进行安全技术检验，为群众提供高效快捷的“一站式”服务上门。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此次活动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澧县</w:t>
      </w:r>
      <w:r>
        <w:rPr>
          <w:rFonts w:ascii="仿宋_GB2312" w:eastAsia="仿宋_GB2312"/>
          <w:sz w:val="32"/>
          <w:szCs w:val="32"/>
        </w:rPr>
        <w:t>农机监理大队共计完成拖拉机检测</w:t>
      </w:r>
      <w:r>
        <w:rPr>
          <w:rFonts w:ascii="仿宋_GB2312" w:eastAsia="仿宋_GB2312" w:hint="eastAsia"/>
          <w:sz w:val="32"/>
          <w:szCs w:val="32"/>
        </w:rPr>
        <w:t>776</w:t>
      </w:r>
      <w:r>
        <w:rPr>
          <w:rFonts w:ascii="仿宋_GB2312" w:eastAsia="仿宋_GB2312"/>
          <w:sz w:val="32"/>
          <w:szCs w:val="32"/>
        </w:rPr>
        <w:t>台套，签订安全生产责任状1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/>
          <w:sz w:val="32"/>
          <w:szCs w:val="32"/>
        </w:rPr>
        <w:t>余份，有力保障了安全生产。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七、存在的问题及原因分析</w:t>
      </w:r>
    </w:p>
    <w:p w:rsidR="00794F71" w:rsidRDefault="0093765A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一是预算执行进度和效率有待加强。二是绩效目标管理和调整有待完善。</w:t>
      </w:r>
      <w:r>
        <w:rPr>
          <w:rFonts w:ascii="仿宋" w:eastAsia="仿宋" w:hAnsi="仿宋" w:hint="eastAsia"/>
          <w:color w:val="000000"/>
          <w:sz w:val="32"/>
          <w:szCs w:val="32"/>
        </w:rPr>
        <w:t>三是要</w:t>
      </w:r>
      <w:r>
        <w:rPr>
          <w:rFonts w:ascii="仿宋" w:eastAsia="仿宋" w:hAnsi="仿宋"/>
          <w:color w:val="000000"/>
          <w:sz w:val="32"/>
          <w:szCs w:val="32"/>
        </w:rPr>
        <w:t>不断加强课题研究数量和质量管理，在课题研究过程中，研究报告需开展无数次的论证和修改，还需经过专家评审后方能报出。研究成果的质量有待进一步提升。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（一）农机安全生产宣传工作有待进一步加强。</w:t>
      </w:r>
    </w:p>
    <w:p w:rsidR="00794F71" w:rsidRDefault="009376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（二）应急管理、公安交警、农机联合执法的力度进一步加强。</w:t>
      </w:r>
    </w:p>
    <w:p w:rsidR="00794F71" w:rsidRDefault="0093765A">
      <w:pPr>
        <w:spacing w:line="521" w:lineRule="exact"/>
        <w:ind w:firstLine="7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八、下一步改进措施</w:t>
      </w:r>
    </w:p>
    <w:p w:rsidR="00794F71" w:rsidRDefault="0093765A">
      <w:pPr>
        <w:spacing w:line="580" w:lineRule="exact"/>
        <w:ind w:firstLine="7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针对绩效自评存在的问题，我单位积极采取措施，分别从以下方面进行改进：</w:t>
      </w:r>
    </w:p>
    <w:p w:rsidR="00794F71" w:rsidRDefault="0093765A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一是切实加快预算执行进度，提升资金使用效率。二是密切关注目标任务开展情况，确保实际工作切合绩效目标。三是加强研究数量和质量提升</w:t>
      </w:r>
      <w:r>
        <w:rPr>
          <w:rFonts w:ascii="仿宋" w:eastAsia="仿宋" w:hAnsi="仿宋" w:hint="eastAsia"/>
          <w:color w:val="000000"/>
          <w:sz w:val="32"/>
          <w:szCs w:val="32"/>
        </w:rPr>
        <w:t>食用菌和中药材产业</w:t>
      </w:r>
      <w:r>
        <w:rPr>
          <w:rFonts w:ascii="仿宋" w:eastAsia="仿宋" w:hAnsi="仿宋"/>
          <w:color w:val="000000"/>
          <w:sz w:val="32"/>
          <w:szCs w:val="32"/>
        </w:rPr>
        <w:t>，不断提高研究服务水平。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九、单位整体支出绩效自评结果拟应用和公开情况</w:t>
      </w:r>
    </w:p>
    <w:p w:rsidR="00794F71" w:rsidRDefault="0093765A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对绩效自评中发现的问题制定切实可行的整改措施并落实到位。在2022年7月31日前将整体支出绩效自评报告在财政预决算公开专栏公开，接受社会监督。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十、其他需要说明的情况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无。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报告附件：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．部门整体支出绩效评价基础数据表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．部门整体支出绩效自评表</w:t>
      </w:r>
    </w:p>
    <w:p w:rsidR="00794F71" w:rsidRDefault="0093765A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．项目支出绩效自评表</w:t>
      </w:r>
    </w:p>
    <w:sectPr w:rsidR="00794F71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M2NjM1NWUyMzk3MDBkNWNlODNlMjQ0MzkxNzAifQ=="/>
  </w:docVars>
  <w:rsids>
    <w:rsidRoot w:val="27D94564"/>
    <w:rsid w:val="00005B89"/>
    <w:rsid w:val="00075735"/>
    <w:rsid w:val="000C3E3E"/>
    <w:rsid w:val="00104C96"/>
    <w:rsid w:val="00107D46"/>
    <w:rsid w:val="00140F4E"/>
    <w:rsid w:val="00156200"/>
    <w:rsid w:val="00177F88"/>
    <w:rsid w:val="001C1903"/>
    <w:rsid w:val="00226E16"/>
    <w:rsid w:val="00283350"/>
    <w:rsid w:val="003401F6"/>
    <w:rsid w:val="003B7622"/>
    <w:rsid w:val="00450B6C"/>
    <w:rsid w:val="0046744A"/>
    <w:rsid w:val="004E62AC"/>
    <w:rsid w:val="00510696"/>
    <w:rsid w:val="005120DB"/>
    <w:rsid w:val="00515B7A"/>
    <w:rsid w:val="005177D3"/>
    <w:rsid w:val="00532874"/>
    <w:rsid w:val="00545520"/>
    <w:rsid w:val="00564508"/>
    <w:rsid w:val="005A3C2A"/>
    <w:rsid w:val="00626EFA"/>
    <w:rsid w:val="00651AC8"/>
    <w:rsid w:val="006638A9"/>
    <w:rsid w:val="00663A54"/>
    <w:rsid w:val="00682C2C"/>
    <w:rsid w:val="00686CF0"/>
    <w:rsid w:val="006C38D9"/>
    <w:rsid w:val="006F7769"/>
    <w:rsid w:val="007215B8"/>
    <w:rsid w:val="00722DEC"/>
    <w:rsid w:val="0074131B"/>
    <w:rsid w:val="00741762"/>
    <w:rsid w:val="007572AC"/>
    <w:rsid w:val="007663EE"/>
    <w:rsid w:val="00781F49"/>
    <w:rsid w:val="00794F71"/>
    <w:rsid w:val="007A44E6"/>
    <w:rsid w:val="008650B3"/>
    <w:rsid w:val="008862FB"/>
    <w:rsid w:val="00934D42"/>
    <w:rsid w:val="0093765A"/>
    <w:rsid w:val="00941453"/>
    <w:rsid w:val="00945EE6"/>
    <w:rsid w:val="0097102D"/>
    <w:rsid w:val="00981C3B"/>
    <w:rsid w:val="009A7E24"/>
    <w:rsid w:val="00AA6066"/>
    <w:rsid w:val="00AE58F4"/>
    <w:rsid w:val="00B33634"/>
    <w:rsid w:val="00B37448"/>
    <w:rsid w:val="00B4753C"/>
    <w:rsid w:val="00B9329D"/>
    <w:rsid w:val="00BC3F55"/>
    <w:rsid w:val="00BE0949"/>
    <w:rsid w:val="00BE272F"/>
    <w:rsid w:val="00BE4A03"/>
    <w:rsid w:val="00C140B6"/>
    <w:rsid w:val="00C46FE2"/>
    <w:rsid w:val="00D77CE0"/>
    <w:rsid w:val="00DA5267"/>
    <w:rsid w:val="00DB467E"/>
    <w:rsid w:val="00DB6219"/>
    <w:rsid w:val="00DE563A"/>
    <w:rsid w:val="00E33E44"/>
    <w:rsid w:val="00E40EA6"/>
    <w:rsid w:val="00E87038"/>
    <w:rsid w:val="00EB0900"/>
    <w:rsid w:val="00EE18AE"/>
    <w:rsid w:val="00F07D7E"/>
    <w:rsid w:val="00F66299"/>
    <w:rsid w:val="00F92C09"/>
    <w:rsid w:val="00FA0329"/>
    <w:rsid w:val="01814321"/>
    <w:rsid w:val="02E602C3"/>
    <w:rsid w:val="033E4BBF"/>
    <w:rsid w:val="04912ACD"/>
    <w:rsid w:val="0569626F"/>
    <w:rsid w:val="06B11926"/>
    <w:rsid w:val="0825634E"/>
    <w:rsid w:val="08646E76"/>
    <w:rsid w:val="12971BF6"/>
    <w:rsid w:val="12AD766B"/>
    <w:rsid w:val="164976AB"/>
    <w:rsid w:val="19DD0836"/>
    <w:rsid w:val="1A27385F"/>
    <w:rsid w:val="1F5E5F75"/>
    <w:rsid w:val="21486EDD"/>
    <w:rsid w:val="225C4890"/>
    <w:rsid w:val="22682C67"/>
    <w:rsid w:val="231E77CA"/>
    <w:rsid w:val="27D94564"/>
    <w:rsid w:val="287C746C"/>
    <w:rsid w:val="291E56ED"/>
    <w:rsid w:val="2A7A5C2D"/>
    <w:rsid w:val="2AF459E0"/>
    <w:rsid w:val="2B2D3E33"/>
    <w:rsid w:val="33E06D76"/>
    <w:rsid w:val="356E5F27"/>
    <w:rsid w:val="3AD76784"/>
    <w:rsid w:val="3BE850ED"/>
    <w:rsid w:val="3E1A70B4"/>
    <w:rsid w:val="465D66D7"/>
    <w:rsid w:val="4AD36244"/>
    <w:rsid w:val="4AD44F71"/>
    <w:rsid w:val="4B2A2DEB"/>
    <w:rsid w:val="4B775B0D"/>
    <w:rsid w:val="4C2E44F6"/>
    <w:rsid w:val="505446A7"/>
    <w:rsid w:val="525C7843"/>
    <w:rsid w:val="56955A19"/>
    <w:rsid w:val="5937623E"/>
    <w:rsid w:val="5CA442C0"/>
    <w:rsid w:val="5EA93E10"/>
    <w:rsid w:val="61500EBB"/>
    <w:rsid w:val="635822A8"/>
    <w:rsid w:val="635A392B"/>
    <w:rsid w:val="64682CAE"/>
    <w:rsid w:val="64BA24D5"/>
    <w:rsid w:val="65474C27"/>
    <w:rsid w:val="693F5466"/>
    <w:rsid w:val="696B1D4C"/>
    <w:rsid w:val="737A3B75"/>
    <w:rsid w:val="737C62D9"/>
    <w:rsid w:val="751C0643"/>
    <w:rsid w:val="75A373B3"/>
    <w:rsid w:val="77644920"/>
    <w:rsid w:val="78D21D5D"/>
    <w:rsid w:val="7ADB139D"/>
    <w:rsid w:val="7B1D7C08"/>
    <w:rsid w:val="7BA83091"/>
    <w:rsid w:val="7EA45F4A"/>
    <w:rsid w:val="7EAD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sz w:val="18"/>
      <w:szCs w:val="18"/>
    </w:rPr>
  </w:style>
  <w:style w:type="character" w:customStyle="1" w:styleId="peoplefilling">
    <w:name w:val="peoplefilling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sz w:val="18"/>
      <w:szCs w:val="18"/>
    </w:rPr>
  </w:style>
  <w:style w:type="character" w:customStyle="1" w:styleId="peoplefilling">
    <w:name w:val="peoplefilling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</Words>
  <Characters>2563</Characters>
  <Application>Microsoft Office Word</Application>
  <DocSecurity>0</DocSecurity>
  <Lines>21</Lines>
  <Paragraphs>6</Paragraphs>
  <ScaleCrop>false</ScaleCrop>
  <Company>Micorosoft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Micorosoft</cp:lastModifiedBy>
  <cp:revision>2</cp:revision>
  <cp:lastPrinted>2022-05-18T07:02:00Z</cp:lastPrinted>
  <dcterms:created xsi:type="dcterms:W3CDTF">2022-09-14T08:45:00Z</dcterms:created>
  <dcterms:modified xsi:type="dcterms:W3CDTF">2022-09-14T08:45:00Z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2C748869A0314D468FCA60B514AE4557</vt:lpwstr>
  </property>
</Properties>
</file>