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bCs/>
          <w:color w:val="000000"/>
          <w:kern w:val="0"/>
          <w:sz w:val="30"/>
          <w:szCs w:val="30"/>
        </w:rPr>
      </w:pPr>
    </w:p>
    <w:p>
      <w:pPr>
        <w:pStyle w:val="2"/>
        <w:adjustRightInd w:val="0"/>
        <w:snapToGrid w:val="0"/>
        <w:spacing w:line="570" w:lineRule="exact"/>
        <w:rPr>
          <w:rFonts w:asciiTheme="minorEastAsia" w:hAnsiTheme="minorEastAsia" w:eastAsiaTheme="minorEastAsia"/>
          <w:b/>
          <w:sz w:val="36"/>
          <w:szCs w:val="36"/>
        </w:rPr>
      </w:pPr>
      <w:r>
        <w:rPr>
          <w:rFonts w:asciiTheme="minorEastAsia" w:hAnsiTheme="minorEastAsia" w:eastAsiaTheme="minorEastAsia"/>
          <w:b/>
          <w:sz w:val="36"/>
          <w:szCs w:val="36"/>
        </w:rPr>
        <w:t>20</w:t>
      </w:r>
      <w:r>
        <w:rPr>
          <w:rFonts w:hint="eastAsia" w:asciiTheme="minorEastAsia" w:hAnsiTheme="minorEastAsia" w:eastAsiaTheme="minorEastAsia"/>
          <w:b/>
          <w:sz w:val="36"/>
          <w:szCs w:val="36"/>
          <w:lang w:val="en-US" w:eastAsia="zh-CN"/>
        </w:rPr>
        <w:t>21</w:t>
      </w:r>
      <w:r>
        <w:rPr>
          <w:rFonts w:asciiTheme="minorEastAsia" w:hAnsiTheme="minorEastAsia" w:eastAsiaTheme="minorEastAsia"/>
          <w:b/>
          <w:sz w:val="36"/>
          <w:szCs w:val="36"/>
        </w:rPr>
        <w:t>年度</w:t>
      </w:r>
      <w:r>
        <w:rPr>
          <w:rFonts w:hint="eastAsia" w:asciiTheme="minorEastAsia" w:hAnsiTheme="minorEastAsia" w:eastAsiaTheme="minorEastAsia"/>
          <w:b/>
          <w:sz w:val="36"/>
          <w:szCs w:val="36"/>
        </w:rPr>
        <w:t>远程教育</w:t>
      </w:r>
      <w:r>
        <w:rPr>
          <w:rFonts w:asciiTheme="minorEastAsia" w:hAnsiTheme="minorEastAsia" w:eastAsiaTheme="minorEastAsia"/>
          <w:b/>
          <w:sz w:val="36"/>
          <w:szCs w:val="36"/>
        </w:rPr>
        <w:t>专项资金绩效报告</w:t>
      </w:r>
    </w:p>
    <w:p>
      <w:pPr>
        <w:spacing w:line="576" w:lineRule="exact"/>
        <w:ind w:firstLine="600" w:firstLineChars="200"/>
        <w:rPr>
          <w:rFonts w:cs="仿宋_GB2312" w:asciiTheme="minorEastAsia" w:hAnsiTheme="minorEastAsia" w:eastAsiaTheme="minorEastAsia"/>
          <w:sz w:val="30"/>
          <w:szCs w:val="30"/>
        </w:rPr>
      </w:pPr>
    </w:p>
    <w:p>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为了进一步规范和加强财政资金使用管理，提高资金使用效益，</w:t>
      </w:r>
      <w:r>
        <w:rPr>
          <w:rFonts w:asciiTheme="minorEastAsia" w:hAnsiTheme="minorEastAsia" w:eastAsiaTheme="minorEastAsia"/>
          <w:sz w:val="30"/>
          <w:szCs w:val="30"/>
        </w:rPr>
        <w:t>根据《湖南省人民政府关于全面推进预算绩效管理的意见》（湘政发〔2012〕33号）和《澧县预算支出绩效目标管理工作规程》（澧财发〔2013〕14号）等文件的精神，</w:t>
      </w:r>
      <w:r>
        <w:rPr>
          <w:rFonts w:hint="eastAsia" w:cs="仿宋_GB2312" w:asciiTheme="minorEastAsia" w:hAnsiTheme="minorEastAsia" w:eastAsiaTheme="minorEastAsia"/>
          <w:sz w:val="30"/>
          <w:szCs w:val="30"/>
        </w:rPr>
        <w:t>县委组织部开展了</w:t>
      </w:r>
      <w:r>
        <w:rPr>
          <w:rFonts w:hint="eastAsia" w:cs="仿宋_GB2312" w:asciiTheme="minorEastAsia" w:hAnsiTheme="minorEastAsia" w:eastAsiaTheme="minorEastAsia"/>
          <w:sz w:val="30"/>
          <w:szCs w:val="30"/>
          <w:lang w:eastAsia="zh-CN"/>
        </w:rPr>
        <w:t>2020</w:t>
      </w:r>
      <w:r>
        <w:rPr>
          <w:rFonts w:hint="eastAsia" w:cs="仿宋_GB2312" w:asciiTheme="minorEastAsia" w:hAnsiTheme="minorEastAsia" w:eastAsiaTheme="minorEastAsia"/>
          <w:sz w:val="30"/>
          <w:szCs w:val="30"/>
        </w:rPr>
        <w:t>年度远程教育专项资金绩效自评，现将绩效自评情况报告如下：</w:t>
      </w:r>
    </w:p>
    <w:p>
      <w:pPr>
        <w:spacing w:line="576" w:lineRule="exact"/>
        <w:ind w:firstLine="602" w:firstLineChars="200"/>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一、项目概况</w:t>
      </w:r>
    </w:p>
    <w:p>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（一）项目单位基本情况</w:t>
      </w:r>
    </w:p>
    <w:p>
      <w:pPr>
        <w:widowControl/>
        <w:spacing w:line="600" w:lineRule="exact"/>
        <w:ind w:firstLine="600" w:firstLineChars="200"/>
        <w:rPr>
          <w:rFonts w:cs="仿宋" w:asciiTheme="minorEastAsia" w:hAnsiTheme="minorEastAsia" w:eastAsiaTheme="minorEastAsia"/>
          <w:kern w:val="0"/>
          <w:sz w:val="30"/>
          <w:szCs w:val="30"/>
        </w:rPr>
      </w:pPr>
      <w:r>
        <w:rPr>
          <w:rFonts w:hint="eastAsia" w:cs="仿宋_GB2312" w:asciiTheme="minorEastAsia" w:hAnsiTheme="minorEastAsia" w:eastAsiaTheme="minorEastAsia"/>
          <w:sz w:val="30"/>
          <w:szCs w:val="30"/>
        </w:rPr>
        <w:t>中共澧县县委组织部为一级部门预算单位。</w:t>
      </w:r>
      <w:r>
        <w:rPr>
          <w:rFonts w:hint="eastAsia" w:cs="仿宋" w:asciiTheme="minorEastAsia" w:hAnsiTheme="minorEastAsia" w:eastAsiaTheme="minorEastAsia"/>
          <w:kern w:val="0"/>
          <w:sz w:val="30"/>
          <w:szCs w:val="30"/>
        </w:rPr>
        <w:t>内设机构7个，包括：</w:t>
      </w:r>
      <w:r>
        <w:rPr>
          <w:rFonts w:hint="eastAsia" w:cs="仿宋" w:asciiTheme="minorEastAsia" w:hAnsiTheme="minorEastAsia" w:eastAsiaTheme="minorEastAsia"/>
          <w:sz w:val="30"/>
          <w:szCs w:val="30"/>
        </w:rPr>
        <w:t>办公室、研究室、基层办（与县直机关工委、非公有制经济组织和社会组织工作委员会、党员教育中心合署办公）、干部室（干部档案信息室、人才办）、干部监督室（干部教育室）、公务员管理办（公务员局）、老干部管理办（老干部局）。</w:t>
      </w:r>
      <w:r>
        <w:rPr>
          <w:rFonts w:hint="eastAsia" w:cs="仿宋" w:asciiTheme="minorEastAsia" w:hAnsiTheme="minorEastAsia" w:eastAsiaTheme="minorEastAsia"/>
          <w:kern w:val="0"/>
          <w:sz w:val="30"/>
          <w:szCs w:val="30"/>
        </w:rPr>
        <w:t>管理党员教育中心、县老干部活动中心。</w:t>
      </w:r>
    </w:p>
    <w:p>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单位共有在职人员</w:t>
      </w:r>
      <w:r>
        <w:rPr>
          <w:rFonts w:hint="eastAsia" w:cs="仿宋_GB2312" w:asciiTheme="minorEastAsia" w:hAnsiTheme="minorEastAsia" w:eastAsiaTheme="minorEastAsia"/>
          <w:sz w:val="30"/>
          <w:szCs w:val="30"/>
          <w:lang w:val="en-US" w:eastAsia="zh-CN"/>
        </w:rPr>
        <w:t>43</w:t>
      </w:r>
      <w:r>
        <w:rPr>
          <w:rFonts w:hint="eastAsia" w:cs="仿宋_GB2312" w:asciiTheme="minorEastAsia" w:hAnsiTheme="minorEastAsia" w:eastAsiaTheme="minorEastAsia"/>
          <w:sz w:val="30"/>
          <w:szCs w:val="30"/>
        </w:rPr>
        <w:t>人，离退休2</w:t>
      </w:r>
      <w:r>
        <w:rPr>
          <w:rFonts w:hint="eastAsia" w:cs="仿宋_GB2312" w:asciiTheme="minorEastAsia" w:hAnsiTheme="minorEastAsia" w:eastAsiaTheme="minorEastAsia"/>
          <w:sz w:val="30"/>
          <w:szCs w:val="30"/>
          <w:lang w:val="en-US" w:eastAsia="zh-CN"/>
        </w:rPr>
        <w:t>0</w:t>
      </w:r>
      <w:r>
        <w:rPr>
          <w:rFonts w:hint="eastAsia" w:cs="仿宋_GB2312" w:asciiTheme="minorEastAsia" w:hAnsiTheme="minorEastAsia" w:eastAsiaTheme="minorEastAsia"/>
          <w:sz w:val="30"/>
          <w:szCs w:val="30"/>
        </w:rPr>
        <w:t>人。</w:t>
      </w:r>
    </w:p>
    <w:p>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（二）项目基本情况</w:t>
      </w:r>
    </w:p>
    <w:p>
      <w:pPr>
        <w:spacing w:line="576" w:lineRule="exact"/>
        <w:ind w:firstLine="600" w:firstLineChars="200"/>
        <w:rPr>
          <w:rFonts w:cs="仿宋_GB2312" w:asciiTheme="minorEastAsia" w:hAnsiTheme="minorEastAsia" w:eastAsiaTheme="minorEastAsia"/>
          <w:sz w:val="30"/>
          <w:szCs w:val="30"/>
        </w:rPr>
      </w:pPr>
      <w:r>
        <w:rPr>
          <w:rFonts w:hint="eastAsia" w:asciiTheme="minorEastAsia" w:hAnsiTheme="minorEastAsia" w:eastAsiaTheme="minorEastAsia"/>
          <w:sz w:val="30"/>
          <w:szCs w:val="30"/>
        </w:rPr>
        <w:t>远程教育专项经费为延续项目，项目金额40万元。</w:t>
      </w:r>
      <w:r>
        <w:rPr>
          <w:rFonts w:hint="eastAsia" w:cs="仿宋_GB2312" w:asciiTheme="minorEastAsia" w:hAnsiTheme="minorEastAsia" w:eastAsiaTheme="minorEastAsia"/>
          <w:sz w:val="30"/>
          <w:szCs w:val="30"/>
        </w:rPr>
        <w:t>保障全县291个村级远程教育站点设施设备的维修维护、站点运行指导、督促和运用管理等。</w:t>
      </w:r>
    </w:p>
    <w:p>
      <w:pPr>
        <w:spacing w:line="576" w:lineRule="exact"/>
        <w:ind w:firstLine="602" w:firstLineChars="200"/>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二、项目绩效目标</w:t>
      </w:r>
    </w:p>
    <w:p>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（一）项目绩效总目标。</w:t>
      </w:r>
    </w:p>
    <w:p>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通过对农村党员干部进行各方面的教育，建立“干部经常受教育、群众长期受实惠”的长效机制，更好地为新农村建设与基层党建服务。</w:t>
      </w:r>
    </w:p>
    <w:p>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（二）</w:t>
      </w:r>
      <w:r>
        <w:rPr>
          <w:rFonts w:hint="eastAsia" w:cs="仿宋_GB2312" w:asciiTheme="minorEastAsia" w:hAnsiTheme="minorEastAsia" w:eastAsiaTheme="minorEastAsia"/>
          <w:sz w:val="30"/>
          <w:szCs w:val="30"/>
          <w:lang w:eastAsia="zh-CN"/>
        </w:rPr>
        <w:t>202</w:t>
      </w:r>
      <w:r>
        <w:rPr>
          <w:rFonts w:hint="eastAsia" w:cs="仿宋_GB2312" w:asciiTheme="minorEastAsia" w:hAnsiTheme="minorEastAsia" w:eastAsiaTheme="minorEastAsia"/>
          <w:sz w:val="30"/>
          <w:szCs w:val="30"/>
          <w:lang w:val="en-US" w:eastAsia="zh-CN"/>
        </w:rPr>
        <w:t>1</w:t>
      </w:r>
      <w:r>
        <w:rPr>
          <w:rFonts w:hint="eastAsia" w:cs="仿宋_GB2312" w:asciiTheme="minorEastAsia" w:hAnsiTheme="minorEastAsia" w:eastAsiaTheme="minorEastAsia"/>
          <w:sz w:val="30"/>
          <w:szCs w:val="30"/>
        </w:rPr>
        <w:t>年绩效目标。</w:t>
      </w:r>
    </w:p>
    <w:p>
      <w:pPr>
        <w:spacing w:line="576" w:lineRule="exact"/>
        <w:ind w:firstLine="600" w:firstLineChars="200"/>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维修维护全县291个远教站点设施设备，远教操作员、管理员培训管理291人次；农民大学生培养150人次，远教工作检查督导不少于四次。</w:t>
      </w:r>
    </w:p>
    <w:p>
      <w:pPr>
        <w:spacing w:line="576" w:lineRule="exact"/>
        <w:ind w:firstLine="602" w:firstLineChars="200"/>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三、项目资金使用及管理情况</w:t>
      </w:r>
    </w:p>
    <w:p>
      <w:pPr>
        <w:spacing w:line="56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（一）</w:t>
      </w:r>
      <w:r>
        <w:rPr>
          <w:rFonts w:hint="eastAsia" w:asciiTheme="minorEastAsia" w:hAnsiTheme="minorEastAsia" w:eastAsiaTheme="minorEastAsia"/>
          <w:sz w:val="30"/>
          <w:szCs w:val="30"/>
          <w:lang w:eastAsia="zh-CN"/>
        </w:rPr>
        <w:t>202</w:t>
      </w:r>
      <w:r>
        <w:rPr>
          <w:rFonts w:hint="eastAsia" w:asciiTheme="minorEastAsia" w:hAnsiTheme="minorEastAsia" w:eastAsiaTheme="minorEastAsia"/>
          <w:sz w:val="30"/>
          <w:szCs w:val="30"/>
          <w:lang w:val="en-US" w:eastAsia="zh-CN"/>
        </w:rPr>
        <w:t>1</w:t>
      </w:r>
      <w:bookmarkStart w:id="0" w:name="_GoBack"/>
      <w:bookmarkEnd w:id="0"/>
      <w:r>
        <w:rPr>
          <w:rFonts w:asciiTheme="minorEastAsia" w:hAnsiTheme="minorEastAsia" w:eastAsiaTheme="minorEastAsia"/>
          <w:sz w:val="30"/>
          <w:szCs w:val="30"/>
        </w:rPr>
        <w:t>年县财政局预算安排</w:t>
      </w:r>
      <w:r>
        <w:rPr>
          <w:rFonts w:hint="eastAsia" w:asciiTheme="minorEastAsia" w:hAnsiTheme="minorEastAsia" w:eastAsiaTheme="minorEastAsia"/>
          <w:sz w:val="30"/>
          <w:szCs w:val="30"/>
        </w:rPr>
        <w:t>40</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文化强县专项资金</w:t>
      </w:r>
      <w:r>
        <w:rPr>
          <w:rFonts w:asciiTheme="minorEastAsia" w:hAnsiTheme="minorEastAsia" w:eastAsiaTheme="minorEastAsia"/>
          <w:sz w:val="30"/>
          <w:szCs w:val="30"/>
        </w:rPr>
        <w:t>，实际拨付</w:t>
      </w:r>
      <w:r>
        <w:rPr>
          <w:rFonts w:hint="eastAsia" w:asciiTheme="minorEastAsia" w:hAnsiTheme="minorEastAsia" w:eastAsiaTheme="minorEastAsia"/>
          <w:sz w:val="30"/>
          <w:szCs w:val="30"/>
        </w:rPr>
        <w:t>40</w:t>
      </w:r>
      <w:r>
        <w:rPr>
          <w:rFonts w:asciiTheme="minorEastAsia" w:hAnsiTheme="minorEastAsia" w:eastAsiaTheme="minorEastAsia"/>
          <w:sz w:val="30"/>
          <w:szCs w:val="30"/>
        </w:rPr>
        <w:t>万元，年度实际使用</w:t>
      </w:r>
      <w:r>
        <w:rPr>
          <w:rFonts w:hint="eastAsia" w:asciiTheme="minorEastAsia" w:hAnsiTheme="minorEastAsia" w:eastAsiaTheme="minorEastAsia"/>
          <w:sz w:val="30"/>
          <w:szCs w:val="30"/>
        </w:rPr>
        <w:t>40</w:t>
      </w:r>
      <w:r>
        <w:rPr>
          <w:rFonts w:asciiTheme="minorEastAsia" w:hAnsiTheme="minorEastAsia" w:eastAsiaTheme="minorEastAsia"/>
          <w:sz w:val="30"/>
          <w:szCs w:val="30"/>
        </w:rPr>
        <w:t>万元。</w:t>
      </w:r>
    </w:p>
    <w:p>
      <w:pPr>
        <w:spacing w:line="56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（二）项目资金</w:t>
      </w:r>
      <w:r>
        <w:rPr>
          <w:rFonts w:hint="eastAsia" w:asciiTheme="minorEastAsia" w:hAnsiTheme="minorEastAsia" w:eastAsiaTheme="minorEastAsia"/>
          <w:sz w:val="30"/>
          <w:szCs w:val="30"/>
        </w:rPr>
        <w:t>40万元全部用于</w:t>
      </w:r>
      <w:r>
        <w:rPr>
          <w:rFonts w:hint="eastAsia" w:asciiTheme="minorEastAsia" w:hAnsiTheme="minorEastAsia" w:eastAsiaTheme="minorEastAsia"/>
          <w:sz w:val="30"/>
          <w:szCs w:val="30"/>
          <w:lang w:eastAsia="zh-CN"/>
        </w:rPr>
        <w:t>2020</w:t>
      </w:r>
      <w:r>
        <w:rPr>
          <w:rFonts w:hint="eastAsia" w:asciiTheme="minorEastAsia" w:hAnsiTheme="minorEastAsia" w:eastAsiaTheme="minorEastAsia"/>
          <w:sz w:val="30"/>
          <w:szCs w:val="30"/>
        </w:rPr>
        <w:t>年远程教育工作运营和维护</w:t>
      </w:r>
      <w:r>
        <w:rPr>
          <w:rFonts w:asciiTheme="minorEastAsia" w:hAnsiTheme="minorEastAsia" w:eastAsiaTheme="minorEastAsia"/>
          <w:sz w:val="30"/>
          <w:szCs w:val="30"/>
        </w:rPr>
        <w:t>。</w:t>
      </w:r>
      <w:r>
        <w:rPr>
          <w:rFonts w:hint="eastAsia" w:asciiTheme="minorEastAsia" w:hAnsiTheme="minorEastAsia" w:eastAsiaTheme="minorEastAsia"/>
          <w:sz w:val="30"/>
          <w:szCs w:val="30"/>
        </w:rPr>
        <w:t>维修维护远教站点设施设备，进行远教操作员、管理员培训；培养农民大学生等。</w:t>
      </w:r>
    </w:p>
    <w:p>
      <w:pPr>
        <w:spacing w:line="56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（三）</w:t>
      </w:r>
      <w:r>
        <w:rPr>
          <w:rFonts w:hint="eastAsia" w:asciiTheme="minorEastAsia" w:hAnsiTheme="minorEastAsia" w:eastAsiaTheme="minorEastAsia"/>
          <w:sz w:val="30"/>
          <w:szCs w:val="30"/>
        </w:rPr>
        <w:t>按照《《中央组织部印发&lt;关于加强农村党员干部现代远程教育终端站点管理和使用工作的意见&gt;的通知》（组通字〔2009〕33号），确保工作落实。</w:t>
      </w:r>
      <w:r>
        <w:rPr>
          <w:rFonts w:asciiTheme="minorEastAsia" w:hAnsiTheme="minorEastAsia" w:eastAsiaTheme="minorEastAsia"/>
          <w:sz w:val="30"/>
          <w:szCs w:val="30"/>
        </w:rPr>
        <w:t>严格遵守财政相关规章制度，强化财政支出管理，项目</w:t>
      </w:r>
      <w:r>
        <w:rPr>
          <w:rFonts w:hint="eastAsia" w:asciiTheme="minorEastAsia" w:hAnsiTheme="minorEastAsia" w:eastAsiaTheme="minorEastAsia"/>
          <w:sz w:val="30"/>
          <w:szCs w:val="30"/>
        </w:rPr>
        <w:t>资金拨付及时</w:t>
      </w:r>
      <w:r>
        <w:rPr>
          <w:rFonts w:asciiTheme="minorEastAsia" w:hAnsiTheme="minorEastAsia" w:eastAsiaTheme="minorEastAsia"/>
          <w:sz w:val="30"/>
          <w:szCs w:val="30"/>
        </w:rPr>
        <w:t>，使用合理。</w:t>
      </w:r>
    </w:p>
    <w:p>
      <w:pPr>
        <w:spacing w:line="576" w:lineRule="exact"/>
        <w:ind w:firstLine="602" w:firstLineChars="200"/>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四、项目组织实施情况</w:t>
      </w:r>
    </w:p>
    <w:p>
      <w:pPr>
        <w:spacing w:line="56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全年维修维护全县291个远教站点设施设备，更换其中70余个村居远教专用电脑，组织远教操作员、管理员培训两次，全面培训了全县291个站点的全体操作人员；积极开展远教工作检查督导，确保了远教工作的正常运行。</w:t>
      </w:r>
    </w:p>
    <w:p>
      <w:pPr>
        <w:spacing w:line="560" w:lineRule="exact"/>
        <w:ind w:firstLine="602" w:firstLineChars="200"/>
        <w:rPr>
          <w:rFonts w:asciiTheme="minorEastAsia" w:hAnsiTheme="minorEastAsia" w:eastAsiaTheme="minorEastAsia"/>
          <w:b/>
          <w:sz w:val="30"/>
          <w:szCs w:val="30"/>
        </w:rPr>
      </w:pPr>
      <w:r>
        <w:rPr>
          <w:rFonts w:asciiTheme="minorEastAsia" w:hAnsiTheme="minorEastAsia" w:eastAsiaTheme="minorEastAsia"/>
          <w:b/>
          <w:sz w:val="30"/>
          <w:szCs w:val="30"/>
        </w:rPr>
        <w:t>五、项目绩效情况</w:t>
      </w:r>
    </w:p>
    <w:p>
      <w:pPr>
        <w:spacing w:line="56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（一）社会效益。以远程教育为载体，提高了党员干部的培训参与率，提升了党员干部的素质，发挥党员先锋模范带动作用。</w:t>
      </w:r>
    </w:p>
    <w:p>
      <w:pPr>
        <w:spacing w:line="56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（三）可持续影响。充分利用网络、电教等形式不断加强党员教育管理，建立“干部经常受教育、群众长期受实惠”的长效机制。</w:t>
      </w:r>
    </w:p>
    <w:p>
      <w:pPr>
        <w:spacing w:line="560" w:lineRule="exact"/>
        <w:ind w:firstLine="602" w:firstLineChars="200"/>
        <w:rPr>
          <w:rFonts w:asciiTheme="minorEastAsia" w:hAnsiTheme="minorEastAsia" w:eastAsiaTheme="minorEastAsia"/>
          <w:b/>
          <w:sz w:val="30"/>
          <w:szCs w:val="30"/>
        </w:rPr>
      </w:pPr>
      <w:r>
        <w:rPr>
          <w:rFonts w:asciiTheme="minorEastAsia" w:hAnsiTheme="minorEastAsia" w:eastAsiaTheme="minorEastAsia"/>
          <w:b/>
          <w:sz w:val="30"/>
          <w:szCs w:val="30"/>
        </w:rPr>
        <w:t>六、项目自评结果</w:t>
      </w:r>
    </w:p>
    <w:p>
      <w:pPr>
        <w:spacing w:line="56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通过设备更新、网络维修维护及操作管理员培养，充分提高了远教设施的使用利用率，群众满意度达90%以上。</w:t>
      </w:r>
    </w:p>
    <w:p>
      <w:pPr>
        <w:spacing w:line="56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七、问题和建议</w:t>
      </w:r>
    </w:p>
    <w:p>
      <w:pPr>
        <w:spacing w:line="56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远程教育站点运营工作存在基层专业技术人才缺乏，站点维护管理不力等问题。需要进一步加大重视力度和拓宽资金来源和投入力度，加强人才队伍培</w:t>
      </w:r>
      <w:r>
        <w:rPr>
          <w:rFonts w:hint="eastAsia" w:cs="宋体" w:asciiTheme="minorEastAsia" w:hAnsiTheme="minorEastAsia" w:eastAsiaTheme="minorEastAsia"/>
          <w:sz w:val="30"/>
          <w:szCs w:val="30"/>
        </w:rPr>
        <w:t>养</w:t>
      </w:r>
      <w:r>
        <w:rPr>
          <w:rFonts w:hint="eastAsia" w:asciiTheme="minorEastAsia" w:hAnsiTheme="minorEastAsia" w:eastAsiaTheme="minorEastAsia"/>
          <w:sz w:val="30"/>
          <w:szCs w:val="30"/>
        </w:rPr>
        <w:t>，提升基层管理员认知管理水平，使得远程教育工作真正发挥作用。</w:t>
      </w:r>
    </w:p>
    <w:p>
      <w:pPr>
        <w:spacing w:line="560" w:lineRule="exact"/>
        <w:ind w:firstLine="600" w:firstLineChars="200"/>
        <w:rPr>
          <w:rFonts w:asciiTheme="minorEastAsia" w:hAnsiTheme="minorEastAsia" w:eastAsiaTheme="minorEastAsia"/>
          <w:sz w:val="30"/>
          <w:szCs w:val="30"/>
        </w:rPr>
      </w:pPr>
    </w:p>
    <w:p>
      <w:pPr>
        <w:spacing w:line="560" w:lineRule="exact"/>
        <w:ind w:firstLine="630"/>
        <w:rPr>
          <w:rFonts w:asciiTheme="minorEastAsia" w:hAnsiTheme="minorEastAsia" w:eastAsiaTheme="minorEastAsia"/>
          <w:sz w:val="30"/>
          <w:szCs w:val="30"/>
        </w:rPr>
      </w:pPr>
    </w:p>
    <w:p>
      <w:pPr>
        <w:rPr>
          <w:rFonts w:asciiTheme="minorEastAsia" w:hAnsiTheme="minorEastAsia" w:eastAsiaTheme="minorEastAsia"/>
          <w:sz w:val="30"/>
          <w:szCs w:val="30"/>
        </w:rPr>
      </w:pPr>
    </w:p>
    <w:p>
      <w:pPr>
        <w:rPr>
          <w:rFonts w:asciiTheme="minorEastAsia" w:hAnsiTheme="minorEastAsia" w:eastAsiaTheme="minorEastAsia"/>
          <w:sz w:val="30"/>
          <w:szCs w:val="30"/>
        </w:rPr>
      </w:pPr>
    </w:p>
    <w:p>
      <w:pPr>
        <w:rPr>
          <w:rFonts w:asciiTheme="minorEastAsia" w:hAnsiTheme="minorEastAsia" w:eastAsiaTheme="minorEastAsia"/>
          <w:sz w:val="30"/>
          <w:szCs w:val="30"/>
        </w:rPr>
      </w:pPr>
    </w:p>
    <w:p>
      <w:pPr>
        <w:rPr>
          <w:rFonts w:asciiTheme="minorEastAsia" w:hAnsiTheme="minorEastAsia" w:eastAsiaTheme="minorEastAsia"/>
          <w:sz w:val="30"/>
          <w:szCs w:val="30"/>
        </w:rPr>
      </w:pPr>
    </w:p>
    <w:p>
      <w:pPr>
        <w:rPr>
          <w:rFonts w:asciiTheme="minorEastAsia" w:hAnsiTheme="minorEastAsia" w:eastAsiaTheme="minorEastAsia"/>
          <w:sz w:val="30"/>
          <w:szCs w:val="30"/>
        </w:rPr>
      </w:pPr>
    </w:p>
    <w:p>
      <w:pPr>
        <w:rPr>
          <w:rFonts w:asciiTheme="minorEastAsia" w:hAnsiTheme="minorEastAsia" w:eastAsiaTheme="minorEastAsia"/>
          <w:sz w:val="30"/>
          <w:szCs w:val="30"/>
        </w:rPr>
      </w:pPr>
    </w:p>
    <w:p>
      <w:pPr>
        <w:rPr>
          <w:rFonts w:asciiTheme="minorEastAsia" w:hAnsiTheme="minorEastAsia" w:eastAsiaTheme="minorEastAsia"/>
          <w:sz w:val="30"/>
          <w:szCs w:val="30"/>
        </w:rPr>
      </w:pPr>
    </w:p>
    <w:p>
      <w:pPr>
        <w:rPr>
          <w:rFonts w:asciiTheme="minorEastAsia" w:hAnsiTheme="minorEastAsia" w:eastAsiaTheme="minorEastAsia"/>
          <w:sz w:val="30"/>
          <w:szCs w:val="30"/>
        </w:rPr>
      </w:pPr>
    </w:p>
    <w:p>
      <w:pPr>
        <w:pStyle w:val="2"/>
        <w:adjustRightInd w:val="0"/>
        <w:snapToGrid w:val="0"/>
        <w:spacing w:line="560" w:lineRule="exact"/>
        <w:jc w:val="both"/>
        <w:rPr>
          <w:rFonts w:hint="eastAsia" w:asciiTheme="minorEastAsia" w:hAnsiTheme="minorEastAsia" w:eastAsiaTheme="minorEastAsia"/>
          <w:b/>
          <w:bCs/>
          <w:w w:val="90"/>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F1FEE"/>
    <w:rsid w:val="0AC6629A"/>
    <w:rsid w:val="110B52C6"/>
    <w:rsid w:val="3CCA2D10"/>
    <w:rsid w:val="3ECC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unhideWhenUsed/>
    <w:qFormat/>
    <w:uiPriority w:val="0"/>
    <w:pPr>
      <w:keepNext/>
      <w:keepLines/>
      <w:spacing w:line="413" w:lineRule="auto"/>
      <w:jc w:val="center"/>
      <w:outlineLvl w:val="1"/>
    </w:pPr>
    <w:rPr>
      <w:rFonts w:ascii="Arial" w:hAnsi="Arial" w:eastAsia="黑体"/>
      <w:sz w:val="32"/>
      <w:szCs w:val="2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2022-08-29T05:39:10Z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y fmtid="{D5CDD505-2E9C-101B-9397-08002B2CF9AE}" pid="3" name="ICV">
    <vt:lpwstr>6E2A2993B7CF4112A5352C0F40864C0B</vt:lpwstr>
  </property>
</Properties>
</file>