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60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澧县城市管理和综合执法局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年</w:t>
      </w:r>
    </w:p>
    <w:p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Theme="min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澧县城乡垃圾处理一体化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PPP项目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绩效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评价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（一）项目单位基本情况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eastAsia="仿宋_GB2312" w:cs="仿宋_GB2312"/>
          <w:kern w:val="0"/>
          <w:sz w:val="30"/>
          <w:szCs w:val="30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机构、人员构成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澧县城市管理和综合执法局为财务独立核算的正科级行政单位，是全额拨款的一级预算单位，根据编委核定，我局内设股室5个，所属二层独立核算事业单位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个。内设股室分别是：办公室、财务股、人事股、法制股、市容环卫园林管理股。所属二层独立核算事业单位分别是：澧县城市管理行政执法大队、澧县城市管理事务中心、澧县园林绿化服务中心。我局核定编制数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人，实际在职人数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人，退休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6人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kern w:val="0"/>
          <w:sz w:val="30"/>
          <w:szCs w:val="30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单位主要职责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贯彻执行国家、省、市有关城市管理方面的法律、法规和政策；负责拟订有关城市管理领域政策及规范性文件，并组织实施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承担城市市容环境卫生监管责任；负责县城区市容市貌、环境卫生、经营性占道、公益占道、建筑垃圾和生活垃圾的管理，行使相关违法违规行为的行政处罚权；负责县城规划区户外广告设置的管理，行使相关违法违规行为的行政处罚权。负责行使城市公安交通管理方面和市政管理方面的法律、法规、规章规定的对乱停乱放车辆、当路摆摊设点、堆物作业等侵占城市道路行为的行政处罚权。负责行使工商行政管理方面法律、法规、规章规定的对无照商贩，以及有照但不按执照规定场地经营而进行店外经营、店外作业的商贩的行政处罚权。负责行使城市规划管理方面法律、法规、规章规定的对未取得《建设工程规划许可证》进行建设行为的行政处罚权，对擅自改变《建设工程规划许可证》核准的范围进行建设行为的行政处罚权。负责行使公安、安全生产管理方面法律、法规、规章规定的对县城区范围内违反烟花爆竹管理规定的行政处罚权。负责数字化城市管理平台的规划、建设和管理工作。负责城市管理行政执法队伍建设工作；负责各镇城市管理和行政执法工作的业务指导。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划入县住房和城乡建设局的市政设施运行管理有关职责；整体划入园林绿化服务中心。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承办县委、县人民政府交办的其他事项。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项目基本情况简介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澧县城乡垃圾处理一体化PPP项目对县城区327.73万平方米、农村46个社区、219个村进行清扫、清运、清洁。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一）项目绩效总目标：通过本项目实施，对区域进行清扫、清运、清洁。范围包括：县城区“三清”面积327.73万平方米，农村46个社区、219个村，果皮箱1600个，密闭式垃圾箱237个，简易垃圾站58个，压缩站21座，公厕22座，牛皮癣清理，护栏清洗，河道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（二）20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年绩效目标：对县城区327.73万平方米内进行清扫、清运、清洁，对农村46个社区、219个村、1600个果皮箱、237个密闭式垃圾箱、58个简易垃圾站、21座压缩站、22座公厕进行保洁。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（一）项目资金（包括财政资金、自筹资金）安排落实、总投入等情况：项目资金总额</w:t>
      </w:r>
      <w:r>
        <w:rPr>
          <w:rFonts w:hint="eastAsia" w:eastAsia="仿宋_GB2312" w:cs="仿宋_GB2312"/>
          <w:kern w:val="0"/>
          <w:sz w:val="30"/>
          <w:szCs w:val="30"/>
          <w:lang w:val="en-US" w:eastAsia="zh-CN"/>
        </w:rPr>
        <w:t>3026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万元，全部属于县级财政资金安排。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二）项目资金（主要指财政资金）实际使用情况：县城区“三清”面积327.73万平方米，清扫保洁和垃圾清运日产日清，清扫清运农村社区46个，垃圾处理219个村，清扫果皮箱1600个、密闭式垃圾箱237个、简易垃圾站58个、压缩站21座、公厕22座，使用资金</w:t>
      </w:r>
      <w:r>
        <w:rPr>
          <w:rFonts w:hint="eastAsia" w:eastAsia="仿宋_GB2312" w:cs="仿宋_GB2312"/>
          <w:kern w:val="0"/>
          <w:sz w:val="30"/>
          <w:szCs w:val="30"/>
          <w:lang w:val="en-US" w:eastAsia="zh-CN"/>
        </w:rPr>
        <w:t>3026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万元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（三）项目资金管理情况，主要包括管理制度、办法的制定及执行情况：成立了澧县城乡垃圾处理一体化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PPP项目考核评价办公室，</w:t>
      </w:r>
      <w:r>
        <w:rPr>
          <w:rFonts w:hint="eastAsia" w:eastAsia="仿宋_GB2312" w:cs="仿宋_GB2312"/>
          <w:kern w:val="0"/>
          <w:sz w:val="30"/>
          <w:szCs w:val="30"/>
          <w:lang w:val="en-US" w:eastAsia="zh-CN"/>
        </w:rPr>
        <w:t>具体由澧县城市管理事务中心负责实施，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制定了考核细则，按月实行考核打分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并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扣款，确保项目的完成及专项资金的规范使用。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（一）项目组织情况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：此项目属政府购买服务，由澧县兰兴清洁有限公司中标，按合同要求进行清扫清运清洁服务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（二）项目管理情况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成立澧县城乡垃圾处理一体化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PPP项目考核评价办公室，</w:t>
      </w:r>
      <w:r>
        <w:rPr>
          <w:rFonts w:hint="eastAsia" w:eastAsia="仿宋_GB2312" w:cs="仿宋_GB2312"/>
          <w:kern w:val="0"/>
          <w:sz w:val="30"/>
          <w:szCs w:val="30"/>
          <w:lang w:val="en-US" w:eastAsia="zh-CN"/>
        </w:rPr>
        <w:t>具体由澧县城市管理事务中心负责实施，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制定考核细则，按月实行考核打分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并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扣款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，确保项目资金规范使用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eastAsia="仿宋_GB2312" w:cs="仿宋_GB2312"/>
          <w:kern w:val="0"/>
          <w:sz w:val="30"/>
          <w:szCs w:val="30"/>
          <w:lang w:eastAsia="zh-CN"/>
        </w:rPr>
        <w:t>对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县城区327.73万平方米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46个农村社区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219个村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进行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清扫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清运清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洁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清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洁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果皮箱1600个、密闭式垃圾箱237个、简易垃圾站58个、压缩站21座、公厕22座，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大大提高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居民生活环境质量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，减少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对环境污染的影响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，提高居民幸福指数，使社会公众满意度日益增加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  <w:lang w:eastAsia="zh-CN"/>
        </w:rPr>
        <w:t>六、项目自评结果：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9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  <w:lang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（一）后续工作计划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：加强日常巡查，落实考核细则，确保合同区域内清扫清运清洁到位，提高居民生活环境质量。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（二）主要经验做法、存在的问题和建议</w:t>
      </w:r>
      <w:r>
        <w:rPr>
          <w:rFonts w:hint="eastAsia" w:eastAsia="仿宋_GB2312" w:cs="仿宋_GB2312"/>
          <w:kern w:val="0"/>
          <w:sz w:val="30"/>
          <w:szCs w:val="30"/>
          <w:lang w:eastAsia="zh-CN"/>
        </w:rPr>
        <w:t>：实行按月考评结账，合理利用财政资金。今后，要加大日常巡查考核力度，确保居民生活环境质量，使社会公众满意度不断提高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eastAsia="zh-CN"/>
        </w:rPr>
        <w:t>。</w:t>
      </w:r>
    </w:p>
    <w:sectPr>
      <w:headerReference r:id="rId3" w:type="default"/>
      <w:pgSz w:w="11906" w:h="16838"/>
      <w:pgMar w:top="1440" w:right="1740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ZmI3NTNkN2Y0NWRlYzc3NDQ4Y2VlNDc4NDgyODcifQ=="/>
  </w:docVars>
  <w:rsids>
    <w:rsidRoot w:val="00E64DE2"/>
    <w:rsid w:val="00061D78"/>
    <w:rsid w:val="001073B3"/>
    <w:rsid w:val="00164A35"/>
    <w:rsid w:val="001D5F82"/>
    <w:rsid w:val="001E725D"/>
    <w:rsid w:val="00240C57"/>
    <w:rsid w:val="0026042E"/>
    <w:rsid w:val="002A4890"/>
    <w:rsid w:val="002D25E0"/>
    <w:rsid w:val="00385044"/>
    <w:rsid w:val="003F3FCC"/>
    <w:rsid w:val="004348F1"/>
    <w:rsid w:val="00517D78"/>
    <w:rsid w:val="00541B5C"/>
    <w:rsid w:val="00561701"/>
    <w:rsid w:val="00570A97"/>
    <w:rsid w:val="005A085E"/>
    <w:rsid w:val="005A1105"/>
    <w:rsid w:val="005A42DD"/>
    <w:rsid w:val="0065442E"/>
    <w:rsid w:val="006F293C"/>
    <w:rsid w:val="00727977"/>
    <w:rsid w:val="00746AE9"/>
    <w:rsid w:val="00806D75"/>
    <w:rsid w:val="00814AFE"/>
    <w:rsid w:val="008367F5"/>
    <w:rsid w:val="0094322D"/>
    <w:rsid w:val="009C2DBB"/>
    <w:rsid w:val="00A300D1"/>
    <w:rsid w:val="00A32113"/>
    <w:rsid w:val="00A50D4E"/>
    <w:rsid w:val="00A62B79"/>
    <w:rsid w:val="00B66D8E"/>
    <w:rsid w:val="00B741B6"/>
    <w:rsid w:val="00B8007C"/>
    <w:rsid w:val="00CF24E0"/>
    <w:rsid w:val="00D36058"/>
    <w:rsid w:val="00D82DA2"/>
    <w:rsid w:val="00E40501"/>
    <w:rsid w:val="00E64DE2"/>
    <w:rsid w:val="00EC53F0"/>
    <w:rsid w:val="00F728A2"/>
    <w:rsid w:val="00FC32B9"/>
    <w:rsid w:val="00FF5750"/>
    <w:rsid w:val="034357E9"/>
    <w:rsid w:val="0A4C073F"/>
    <w:rsid w:val="21E07738"/>
    <w:rsid w:val="31567ADC"/>
    <w:rsid w:val="43793C8E"/>
    <w:rsid w:val="481C16CE"/>
    <w:rsid w:val="494D2CD2"/>
    <w:rsid w:val="53C63E9A"/>
    <w:rsid w:val="55EC1B56"/>
    <w:rsid w:val="698E07D2"/>
    <w:rsid w:val="6EA12881"/>
    <w:rsid w:val="7F6D2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locked/>
    <w:uiPriority w:val="99"/>
    <w:rPr>
      <w:rFonts w:ascii="Cambria" w:hAnsi="Cambria" w:eastAsia="宋体" w:cs="Times New Roman"/>
      <w:b/>
      <w:bCs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文档结构图 Char"/>
    <w:basedOn w:val="7"/>
    <w:link w:val="3"/>
    <w:semiHidden/>
    <w:qFormat/>
    <w:locked/>
    <w:uiPriority w:val="99"/>
    <w:rPr>
      <w:rFonts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1766</Words>
  <Characters>1860</Characters>
  <Lines>4</Lines>
  <Paragraphs>1</Paragraphs>
  <TotalTime>9</TotalTime>
  <ScaleCrop>false</ScaleCrop>
  <LinksUpToDate>false</LinksUpToDate>
  <CharactersWithSpaces>1860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2016-12-13T07:56:00Z</dcterms:created>
  <dc:creator>Lenovo</dc:creator>
  <cp:lastModifiedBy>鲁晓宁13975695565</cp:lastModifiedBy>
  <cp:lastPrinted>2018-04-16T00:44:00Z</cp:lastPrinted>
  <dcterms:modified xsi:type="dcterms:W3CDTF">2022-08-29T05:23:46Z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7E060E5A46304E7F8F785A6F39351ADF</vt:lpwstr>
  </property>
</Properties>
</file>