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澧县自然资源局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2022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澧县自然资源局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为了进一步规范和加强财政资金使用管理，提高资金使用效益，根据《中华人民共和国预算法》《中共中央国务院关于全面实施预算绩效管理的意见》（中发【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34号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）、《中共湖南省委办公厅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 xml:space="preserve"> 湖南省人民政府办公厅关于全面实施预算绩效管理的实施意见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》（湘办法【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10号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）、《湖南省预算支出绩效评价管理办法》（湘财绩【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7号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）有关规定，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澧县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自然资源局开展了20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年度预算支出绩效自评，现将绩效自评情况报告如下：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b/>
          <w:bCs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部门（单位）基本情况</w:t>
      </w:r>
    </w:p>
    <w:p>
      <w:pPr>
        <w:pStyle w:val="2"/>
        <w:numPr>
          <w:ilvl w:val="0"/>
          <w:numId w:val="0"/>
        </w:numPr>
        <w:ind w:firstLine="643" w:firstLineChars="200"/>
        <w:rPr>
          <w:b/>
          <w:bCs/>
        </w:rPr>
      </w:pPr>
      <w:bookmarkStart w:id="0" w:name="_Toc13063_WPSOffice_Level2"/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（一） 机构、人员构成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  <w:t>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自然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  <w:t>资源局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为独立核算的一级预算单位，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定编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303人，2021年年末实际人数548人，其中全额拨款人员303人，自收自支人员64人，其他人员70人,退休人员111人。澧县自然资源局设局长1名，副局长3名，总经济师1名。目前下设13个行政股室、14个二级事业单位和19个镇街自然资源所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bookmarkStart w:id="1" w:name="_Toc16757_WPSOffice_Level2"/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单位主要职责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依法履行全民所有土地、矿产、森林、草地、湿地、水等自然资源资产所有者职责和国土空间用途管制职责。拟订自然资源和国土空间规划等相关规范性文件草案。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　　2.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自然资源调查监测评价。依照上级自然资源调查监测评价指标体系和统计标准，建立统一规范的自然资源调查监测评价制度。实施自然资源基础调查、专项调查和监测。负责自然资源调查监测评价成果的监督管理和信息发布。指导全县自然资源调查监测评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　　3.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自然资源统一确权登记工作。组织实施各类自然资源和不动产统一确权登记、权籍调查、不动产测绘、争议调处、成果应用的制度、规范。建立健全全县自然资源和不动产登记信息管理基础平台。负责自然资源和不动产登记资料收集、整理、共享、汇交管理等。指导监督全县自然资源和不动产确权登记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自然资源资产有偿使用工作。建立全民所有自然资源资产统计制度，负责全民所有自然资源资产核算。编制全民所有自然资源资产负债表，拟订考核标准。拟订全民所有自然资源资产划拨、出让、租赁、作价出资和土地储备办法，合理配置全民所有自然资源资产。负责自然资源资产价值评估管理，依法依规征收资源收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　　5.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自然资源的合理开发利用。组织拟订自然资源发展规划和战略，拟定自然资源开发利用工作规范并组织实施，建立政府公示自然资源价格体系，组织开展自然资源分等定级价格评估，开展自然资源利用评价考核，指导节约集约利用。负责自然资源市场监管。组织研究自然资源管理涉及宏观调控、区域协调和城乡统筹的政策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建立空间规划体系并监督实施。推进主体功能区战略和制度，组织编制并监督实施国土空间规划和相关专项规划。开展国土空间开发适宜性评价，建立国土空间规划实施监测、评估和预警体系。组织划定生态保护红线、永久基本农田、城镇开发边界等控制线，构建节约资源和保护环境的生产、生活、生态空间布局。建立健全国土空间用途管制制度，研究拟订城乡规划措施并监督实施。组织拟订并实施土地等自然资源年度利用计划。负责国土空间用途转用工作。负责土地征收征用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统筹国土空间生态修复。牵头组织编制国土空间生态修复规划并实施有关生态修复重大工程。负责国土空间综合整治、土地整理复垦、矿山地质环境修复治理等工作。牵头建立和实施生态保护补偿制度，拟定合理利用社会资金进行生态修复的政策措施，提出县级重大备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组织实施最严格的耕地保护制度。牵头拟订并实施耕地保护政策，负责耕地数量和生态保护，做好耕地质量保护有关工作。组织实施耕地保护责任目标考核和永久基本农田特殊保护。完善耕地占补平衡制度，监督占用耕地补偿制度执行情况。指导未利用土地开发、土地整理、土地复垦和耕地开发的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负责管理全县地质工作。编制地质勘查规划并监督检查执行情况。管理县级地质勘查项目。组织实施重大地质矿产勘查专项。监督管理地下水过量开采引发的地面沉降等地质问题。负责古生物化石的监督管理。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 xml:space="preserve">负责地质灾害预防和治理。负责落实综合防灾减灾规划相关要求，组织编制地质灾害防治规划和工作规范并指导实施。组织指导协调和监督地质灾害调查评价及隐患普查、详查、排查。指导开展群测群防、专业监测和预报预警等工作，指导开展地质灾害工程治理工作；承担地质灾害应急救援的技术支撑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　　11.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负责矿产资源管理工作。负责矿产资源储量管理。负责矿业权管理。监督指导矿产资源合理利用和保护。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基础测绘和测绘行业管理。负责测绘资质资格与信用管理，监督管理地理信息安全和市场秩序。负责地图管理、地理信息公共服务工作,会同县民政局组织编制公布行政区划信息和行政区划图。负责测量标志保护。承担全县地理空间数据的汇集、共享工作。负责全县航空航天遥感影像数据的统一获取、处理、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推动自然资源领域科技发展。制定并实施自然资源领域科技创新发展和人才培养规划和计划。推进自然资源信息化和信息资料的公共服务。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负责城乡规划实施管理。负责城市规划区土地利用和建设活动的实施管理，核发《建设项目选址意见书》《建设用地规划许可证》《建设工程规划许可证》和《乡村建设规划许可证》。负责临时用地和临时建设许可。负责城市规划区内建设项目的规划核实，牵头组织建设工程的限时联合验收。负责权限内城乡规划设计资质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承办需报国务院和省政府、市政府审批的各类建设项目农用地转用和土地征收的审核、报批工作；参与建设项目用地的前期论证工作；协调大中型建设项目征地事宜；组织发布各类建设用地信息；检查各类建设项目土地利用实施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查处自然资源开发利用和国土空间规划及测绘重大违法案件，指导有关行政执法工作。根据县政府授权，承担相关控违拆违考核任务。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　　17.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统一领导和管理县林业局。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完成县委和县政府交办的其他任务。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职能转变。县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国土资源局因机构改革，与原规划局合并组建县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自然资源局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要落实中央关于统一行使全民所有自然资源资产所有者职责，统一行使所有国土空间用途管制和生态保护修复职责的要求，发挥国土空间规划管控作用，为保护和合理开发利用自然资源提供科学指引。进一步加强自然资源的保护和合理开发利用，建立健全源头保护和全过程修复治理相结合的工作机制，实现整体保护、系统修复、综合治理。创新激励约束并举的制度措施，推进自然资源节约集约利用。进一步精简下放有关行政审批事项、强化监管力度，充分发挥对市场对资源配置的决定性作用，更好发挥政府作用，强化自然资源管理规则、标准、制度的约束性作用，推进自然资源确权登记和评估的便民高效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</w:t>
      </w:r>
      <w:r>
        <w:rPr>
          <w:rFonts w:ascii="Times New Roman" w:hAnsi="黑体" w:eastAsia="黑体" w:cs="Times New Roman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部门财务情况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</w:pPr>
      <w:bookmarkStart w:id="2" w:name="_Toc29141_WPSOffice_Level2"/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（一）部门整体支出情况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年度收入总计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79905.83</w:t>
      </w:r>
      <w:r>
        <w:rPr>
          <w:rFonts w:hint="eastAsia" w:ascii="仿宋" w:hAnsi="仿宋" w:eastAsia="仿宋" w:cs="仿宋"/>
          <w:sz w:val="32"/>
          <w:szCs w:val="32"/>
        </w:rPr>
        <w:t>万元,其中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9889.32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63981.25万元，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6035.26万元；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79905.83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主要用于基本支出和项目支出两方面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</w:t>
      </w:r>
      <w:r>
        <w:rPr>
          <w:rFonts w:ascii="Times New Roman" w:hAnsi="仿宋" w:eastAsia="仿宋" w:cs="Times New Roman"/>
          <w:sz w:val="32"/>
          <w:szCs w:val="32"/>
        </w:rPr>
        <w:t>基本支出情况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5358.88</w:t>
      </w:r>
      <w:r>
        <w:rPr>
          <w:rFonts w:hint="eastAsia" w:ascii="仿宋" w:hAnsi="仿宋" w:eastAsia="仿宋" w:cs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4824.43</w:t>
      </w:r>
      <w:r>
        <w:rPr>
          <w:rFonts w:hint="eastAsia" w:ascii="仿宋" w:hAnsi="仿宋" w:eastAsia="仿宋" w:cs="仿宋"/>
          <w:sz w:val="32"/>
          <w:szCs w:val="32"/>
        </w:rPr>
        <w:t>万元，商品服务支出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463.83</w:t>
      </w:r>
      <w:r>
        <w:rPr>
          <w:rFonts w:hint="eastAsia" w:ascii="仿宋" w:hAnsi="仿宋" w:eastAsia="仿宋" w:cs="仿宋"/>
          <w:sz w:val="32"/>
          <w:szCs w:val="32"/>
        </w:rPr>
        <w:t>万元，对个人和家庭的补助支出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70.62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2.</w:t>
      </w: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74546.95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征地和拆迁补偿支出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55555.13万元；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土地开发支出8426.12万元；耕地保护188.00万元；地政地籍管理支出584.00万元；金土工程550.8万元；用地申报支出228.65万元；监督执法285.48万元；矿产资源管理支出585.88万元；不动产登记管理1785.35万元；非税收入执收成本422.9万元；地质灾害治理985.00万元；地热资源勘查229.00万元；1:500地形图生产与更新项目367.4万元；生态修复980.2万元；征拆经费26.8万元；县级中心工作经费88.3万元；征拆指挥部工作经费25.3万元；文明创建经费45.4万元；党建活动经费88.7万元；规划项目经费1500.8万元；国土空间一张图108.4万元；其他支出1489.34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ascii="Times New Roman" w:hAnsi="黑体" w:eastAsia="黑体" w:cs="Times New Roman"/>
          <w:b/>
          <w:bCs/>
          <w:sz w:val="32"/>
          <w:szCs w:val="32"/>
        </w:rPr>
        <w:t>一般公共预算支出情况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2021年一般公共预算支出小计15924.58万元，用于基本支出和项目支出。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基本支出5358.88万元，其中：工资福利支出4824.43万元；商品服务支出463.83万元；对个人和家庭补助70.62万元；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0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项目支出10565.7万元，其中：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耕地保护188.00万元；地政地籍管理支出584.00万元；金土工程550.8万元；用地申报支出228.65万元；监督执法285.48万元；矿产资源管理支出585.88万元；不动产登记管理1785.35万元；非税收入执收成本422.9万元；地质灾害治理985.00万元；地热资源勘查229.00万元；1:500地形图生产与更新项目367.4万元；生态修复980.2万元；征拆经费26.8万元；县级中心工作经费88.3万元；征拆指挥部工作经费25.3万元；文明创建经费45.4万元；党建活动经费88.7万元；规划项目经费1500.8万元；国土空间一张图108.4万元；其他支出1489.34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</w:pPr>
      <w:bookmarkStart w:id="3" w:name="_Toc17263_WPSOffice_Level2"/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</w:rPr>
        <w:t>（三） “三公经费”支出使用和管理情况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年度“三公经费”开支情况表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2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单位：万元</w:t>
      </w:r>
    </w:p>
    <w:tbl>
      <w:tblPr>
        <w:tblStyle w:val="5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10"/>
        <w:gridCol w:w="1186"/>
        <w:gridCol w:w="1254"/>
        <w:gridCol w:w="182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年预算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年决算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决算-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预算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21决算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接待费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92.00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18.8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18.8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-73.2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务用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车运行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维护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费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-2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因公出国出境费用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99.00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23.8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27.8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-75.2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　　2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年我局“三公经费”总支出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23.8万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元，同比下降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14.39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%。其中：公务用车运行维护费开支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5.00万元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，同比下降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44.44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%；公务接待费开支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val="en-US" w:eastAsia="zh-CN"/>
        </w:rPr>
        <w:t>18.8万</w:t>
      </w:r>
      <w:r>
        <w:rPr>
          <w:rFonts w:hint="eastAsia" w:ascii="仿宋" w:hAnsi="仿宋" w:eastAsia="仿宋" w:cs="仿宋"/>
          <w:color w:val="101010"/>
          <w:kern w:val="0"/>
          <w:sz w:val="32"/>
          <w:szCs w:val="32"/>
          <w:lang w:eastAsia="zh-CN"/>
        </w:rPr>
        <w:t>元，与去年相比无变化，主要原因是严格控制接待开支范围和金额，执行中央八项规定，同时对公务接待的具体情况及接待的标准严格把关，厉行勤俭节约，反对铺张浪费。因公出国出境费为0，与去年持平。</w:t>
      </w:r>
    </w:p>
    <w:p>
      <w:pPr>
        <w:pStyle w:val="2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三、</w:t>
      </w: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2021年政府性基金预算总支出63981.25万元，主要用于项目支出，征地和拆迁补偿55555.13万元，土地开发支出8426.12万元。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四、</w:t>
      </w: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2021年本年无国有资本经营预算支出情况。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五、</w:t>
      </w: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2021年本年无社会保险基金预算支出情况。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六、</w:t>
      </w:r>
      <w:r>
        <w:rPr>
          <w:rFonts w:ascii="Times New Roman" w:hAnsi="黑体" w:eastAsia="黑体" w:cs="Times New Roman"/>
          <w:sz w:val="32"/>
          <w:szCs w:val="32"/>
        </w:rPr>
        <w:t>单位整体支出绩效情况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2021年，澧县自然资源局在县委、县政府的坚强领导下，以服务经济建设为中心，突出保护资源、保障发展两个重点，积极履职、主动服务，较好地完成了各项目标任务。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积极开展招商，先后出让碧桂园北侧等商住地块23宗737.24亩，实现土地收入17.7亿元，净收益6.5亿元，创历史新高。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社会效益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国土空间规划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村庄规划及耕地保护专项规划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工作进度、完成质量走在全省前列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。项目用地做到“应保尽保”，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汽车机电设备及零部件生产等一大批重点项目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落地建设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违法用地实现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“双清零”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耕地保护落实“零容忍”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成为全市自然资源执法监察工作的一张新“名片”。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卫片执法工作获得省土地矿产卫片执法检查工作领导小组通报表扬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在全省督察片区工作会议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和全省自然资源行政执法业务培训会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上作了典型发言。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不动产登记、交易和缴税办理，实现“一窗受理、一次办结”。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异地搬迁户房屋确权发证工作推进有力，受到省市自然资源部门好评。集中化解房地产办证信访突出问题专项行动位列全市第一。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left="580" w:lef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生态效益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矿产资源开发利用专项整治工作成效显著，19家石煤矿山生态修复通过市级验收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家砂石土矿证照注销到位、设备设施拆除到位、生态修复到位。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left="58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可持续影响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全局各项工作推进有序。积极开展上党课、促活动、抓实践，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采取发放书籍自学、集中学习等形式，学习自然资源业务知识，真正把学习纳入常态化、制度化、规范化轨道。同时，通过开展现场交流，提升干部职工学习热情。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8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服务对象满意度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不动产将12项政务服务事项下放镇街，14项行政审批事项赋权高新区，使群众、企业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/>
        </w:rPr>
        <w:t>办事更高效、更便捷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，得到各方的认可，满意度明显提升。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初信初访工作得到省厅高度认可，经验在全省自然资源系统推广。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（一）人员问题。一是整体结构老龄化。全局35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岁以下人员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岁人员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岁以上人员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且30岁以下人员7人，后备力量不足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文化程度不均衡。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全局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拥有硕士学历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人，本科学历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人，大专学历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人，中专学历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人，高中学历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人，其中大部分属于函授学历。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三是专业人才缺乏。全局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专技人员29个（占比不到8%），其中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拥有高级职称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2人，中级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22人，初级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5人。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特别是，在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29名专技人员中，50岁以上7人，41至49岁13人，31至40岁9人，30岁以下无，年轻专业技术人员严重缺乏。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（二）机构问题。我局的干部职工主要分布在13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个行政股室、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个二级事业单位和19个镇街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资源所，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职能职责和人员分布，存在点多、面广、线长的格局，管理难度、压力非常大。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八、</w:t>
      </w: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以教育培训为抓手，提高队伍素质。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有计划地“请进来、走出去”，组织开展知识大讲堂，开设高质量培训班，提高干部职工综合业务素质。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制定年度学习计划，采取发放书籍自学、集中学习等形式，学习自然资源业务知识，真正把学习纳入常态化、制度化、规范化轨道。同时，通过开展现场交流，组织专题知识竞赛等活动，提升干部职工学习热情。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继续分批次组织</w:t>
      </w:r>
      <w:r>
        <w:rPr>
          <w:rFonts w:hint="eastAsia" w:ascii="仿宋" w:hAnsi="仿宋" w:eastAsia="仿宋" w:cs="仿宋"/>
          <w:sz w:val="32"/>
          <w:szCs w:val="32"/>
        </w:rPr>
        <w:t>19个镇街自然资源所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干部职工到执法、测绘、耕保、规划、不动产、用途管制及行政审批等股室、</w:t>
      </w:r>
      <w:r>
        <w:rPr>
          <w:rFonts w:hint="eastAsia" w:ascii="仿宋" w:hAnsi="仿宋" w:eastAsia="仿宋" w:cs="仿宋"/>
          <w:sz w:val="32"/>
          <w:szCs w:val="32"/>
        </w:rPr>
        <w:t>二级机构开展轮训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提升基层干部职工技能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2021年整体支出来看，较好的完成了绩效工作，自评结果也较为满意，公开情况真实、有效。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恳请县政府采取公开招聘的方式，将一批政治过硬、业务精通、作风优良的年轻人充实到自然资源队伍中来。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D25BA"/>
    <w:multiLevelType w:val="singleLevel"/>
    <w:tmpl w:val="92DD25B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03DD7149"/>
    <w:multiLevelType w:val="singleLevel"/>
    <w:tmpl w:val="03DD714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abstractNum w:abstractNumId="2">
    <w:nsid w:val="0E03028D"/>
    <w:multiLevelType w:val="singleLevel"/>
    <w:tmpl w:val="0E03028D"/>
    <w:lvl w:ilvl="0" w:tentative="0">
      <w:start w:val="1"/>
      <w:numFmt w:val="chineseCounting"/>
      <w:suff w:val="nothing"/>
      <w:lvlText w:val="（%1）"/>
      <w:lvlJc w:val="left"/>
      <w:pPr>
        <w:ind w:left="580" w:leftChars="0" w:firstLine="0" w:firstLineChars="0"/>
      </w:pPr>
      <w:rPr>
        <w:rFonts w:hint="eastAsia"/>
      </w:rPr>
    </w:lvl>
  </w:abstractNum>
  <w:abstractNum w:abstractNumId="3">
    <w:nsid w:val="1DFD0DFA"/>
    <w:multiLevelType w:val="singleLevel"/>
    <w:tmpl w:val="1DFD0DF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62AC3D7"/>
    <w:multiLevelType w:val="singleLevel"/>
    <w:tmpl w:val="562AC3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682969F"/>
    <w:multiLevelType w:val="singleLevel"/>
    <w:tmpl w:val="76829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D94564"/>
    <w:rsid w:val="00226E16"/>
    <w:rsid w:val="00396975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11AE38B8"/>
    <w:rsid w:val="141740CE"/>
    <w:rsid w:val="16A408A7"/>
    <w:rsid w:val="1B037481"/>
    <w:rsid w:val="1F5E5F75"/>
    <w:rsid w:val="225C4890"/>
    <w:rsid w:val="243F168E"/>
    <w:rsid w:val="24F034B9"/>
    <w:rsid w:val="27D94564"/>
    <w:rsid w:val="287C746C"/>
    <w:rsid w:val="2AF459E0"/>
    <w:rsid w:val="2AFD7671"/>
    <w:rsid w:val="2B1B1CC4"/>
    <w:rsid w:val="317966F4"/>
    <w:rsid w:val="356E5F27"/>
    <w:rsid w:val="3AD76784"/>
    <w:rsid w:val="3D4F5175"/>
    <w:rsid w:val="3E1A70B4"/>
    <w:rsid w:val="43A36DFC"/>
    <w:rsid w:val="4A6D5B48"/>
    <w:rsid w:val="4AD44F71"/>
    <w:rsid w:val="4B2A2DEB"/>
    <w:rsid w:val="4B775B0D"/>
    <w:rsid w:val="4C524BA3"/>
    <w:rsid w:val="505446A7"/>
    <w:rsid w:val="523243B0"/>
    <w:rsid w:val="525C7843"/>
    <w:rsid w:val="55435959"/>
    <w:rsid w:val="56B513BD"/>
    <w:rsid w:val="5E9A4F5C"/>
    <w:rsid w:val="5EA93E10"/>
    <w:rsid w:val="63C247FD"/>
    <w:rsid w:val="64BA24D5"/>
    <w:rsid w:val="65474C27"/>
    <w:rsid w:val="6CB13617"/>
    <w:rsid w:val="737C62D9"/>
    <w:rsid w:val="7679263F"/>
    <w:rsid w:val="78D21D5D"/>
    <w:rsid w:val="7ADB139D"/>
    <w:rsid w:val="7D035E16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88</Words>
  <Characters>503</Characters>
  <Lines>4</Lines>
  <Paragraphs>1</Paragraphs>
  <TotalTime>7</TotalTime>
  <ScaleCrop>false</ScaleCrop>
  <LinksUpToDate>false</LinksUpToDate>
  <CharactersWithSpaces>590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2022-06-28T06:50:31Z</cp:lastPrinted>
  <dcterms:modified xsi:type="dcterms:W3CDTF">2022-06-28T06:56:00Z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2C748869A0314D468FCA60B514AE4557</vt:lpwstr>
  </property>
</Properties>
</file>