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ind w:firstLine="3373" w:firstLineChars="700"/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>
        <w:rPr>
          <w:rFonts w:ascii="Times New Roman" w:hAnsi="Times New Roman" w:cs="Times New Roman"/>
          <w:b/>
          <w:sz w:val="48"/>
          <w:szCs w:val="48"/>
        </w:rPr>
        <w:t>2021年度</w:t>
      </w:r>
    </w:p>
    <w:p>
      <w:pPr>
        <w:jc w:val="center"/>
        <w:rPr>
          <w:rFonts w:hint="eastAsia" w:ascii="Times New Roman" w:hAnsi="Times New Roman" w:cs="Times New Roman"/>
          <w:b/>
          <w:sz w:val="48"/>
          <w:szCs w:val="48"/>
          <w:lang w:eastAsia="zh-CN"/>
        </w:rPr>
      </w:pP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澧县退役军人事务局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整体支出绩效</w:t>
      </w:r>
      <w:r>
        <w:rPr>
          <w:rFonts w:hint="eastAsia" w:ascii="Times New Roman" w:hAnsi="Times New Roman" w:cs="Times New Roman"/>
          <w:b/>
          <w:sz w:val="48"/>
          <w:szCs w:val="48"/>
        </w:rPr>
        <w:t>和重点项目绩效</w:t>
      </w:r>
      <w:r>
        <w:rPr>
          <w:rFonts w:ascii="Times New Roman" w:hAnsi="Times New Roman" w:cs="Times New Roman"/>
          <w:b/>
          <w:sz w:val="48"/>
          <w:szCs w:val="48"/>
        </w:rPr>
        <w:t>自评报告</w:t>
      </w:r>
    </w:p>
    <w:bookmarkEnd w:id="0"/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cs="Times New Roman" w:hAnsiTheme="majorEastAsia" w:eastAsiaTheme="majorEastAsia"/>
          <w:b/>
          <w:sz w:val="44"/>
          <w:szCs w:val="44"/>
          <w:lang w:eastAsia="zh-CN"/>
        </w:rPr>
        <w:t>澧县退役军人事务局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1，</w:t>
      </w:r>
      <w:r>
        <w:rPr>
          <w:rFonts w:ascii="Times New Roman" w:hAnsi="仿宋" w:eastAsia="仿宋" w:cs="Times New Roman"/>
          <w:sz w:val="32"/>
          <w:szCs w:val="32"/>
        </w:rPr>
        <w:t>本部门（单位）的机构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澧县退役军人事务局是2019年全县机构改革新成立的</w:t>
      </w:r>
      <w:r>
        <w:rPr>
          <w:rFonts w:hint="eastAsia" w:ascii="仿宋" w:hAnsi="仿宋" w:eastAsia="仿宋" w:cs="仿宋"/>
          <w:sz w:val="32"/>
          <w:szCs w:val="32"/>
        </w:rPr>
        <w:t>独立核算的行政单位，属一级预算单位;2020年与上级主管部门同步增设双拥办,现单位内设办公室（包括办公室、财务、政工、纪检、档案管理等）、拥军优抚股、双拥办、军转移交安置股、思想政治权益维护股、退役军人服务中心6个业务股室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人员情况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根据编委核定，原行政编制人数为6人,事业编制10人，现因增设双拥办及相关业务股室业务的增加,现事业编制数增为14个,现共计编制人数20人；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因退役士兵安置1人，公务员招聘1人，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外单位选调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1人，外单位公务员调进1人，</w:t>
      </w:r>
      <w:r>
        <w:rPr>
          <w:rFonts w:hint="eastAsia" w:ascii="仿宋" w:hAnsi="仿宋" w:eastAsia="仿宋" w:cs="仿宋"/>
          <w:sz w:val="32"/>
          <w:szCs w:val="32"/>
        </w:rPr>
        <w:t>实际到岗人数为1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与去年相比增加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主要职责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主要职能是</w:t>
      </w:r>
      <w:r>
        <w:rPr>
          <w:rFonts w:hint="eastAsia" w:ascii="仿宋" w:hAnsi="仿宋" w:eastAsia="仿宋" w:cs="仿宋"/>
          <w:sz w:val="32"/>
          <w:szCs w:val="32"/>
        </w:rPr>
        <w:t>贯彻执行中央、省、市关于退役军人思想政治、管理保障和安置优抚等工作的政策法规，拟订全县关于退役军人事务发展规划和政策措施并组织实施，褒扬彰显退役军人为党、国家和人民牺牲奉献的精神风范和价值导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财务情况以及绩效目标等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本单位基本支出年初预算按照资金性质列为一般公共财政拨款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155.01万元，按照支出性质分为基本支出141.01万元、项目支出14万元，属全额财政拨款单位，上年结转322.40万元，预算调整7485.31万元，属上级来文专项资金，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年我单位年初部门预算</w:t>
      </w:r>
      <w:r>
        <w:rPr>
          <w:rFonts w:hint="eastAsia" w:ascii="仿宋_GB2312" w:eastAsia="仿宋_GB2312"/>
          <w:sz w:val="32"/>
          <w:szCs w:val="32"/>
          <w:lang w:eastAsia="zh-CN"/>
        </w:rPr>
        <w:t>调整后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7962.72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同比增加7609.06万元，同比增长96%，主要原因是将中央和省级资金纳入年度预算和人员经费增加。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eastAsia" w:ascii="宋体" w:hAnsi="宋体" w:eastAsia="仿宋_GB2312"/>
          <w:color w:val="000000" w:themeColor="text1"/>
          <w:sz w:val="32"/>
          <w:szCs w:val="28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基本支出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决算数为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313.07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万元，其中人员经费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220.29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一般商品和服务支出（公用经费）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92.78万元，一般商品和服务支出中“三公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经费3.15万元、一般公用经费53.03万元，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同比减少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349.95万元，下降52%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主要是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2021年决算个人和家庭的补助全部纳入项目支出决算。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spacing w:line="480" w:lineRule="exact"/>
        <w:ind w:firstLine="57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color w:val="000000" w:themeColor="text1"/>
          <w:sz w:val="32"/>
          <w:szCs w:val="28"/>
        </w:rPr>
        <w:t>项目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eastAsia="zh-CN"/>
        </w:rPr>
        <w:t>支出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val="en-US" w:eastAsia="zh-CN"/>
        </w:rPr>
        <w:t>8343.07</w:t>
      </w:r>
      <w:r>
        <w:rPr>
          <w:rFonts w:hint="eastAsia" w:ascii="宋体" w:hAnsi="宋体" w:eastAsia="仿宋_GB2312"/>
          <w:color w:val="000000" w:themeColor="text1"/>
          <w:sz w:val="32"/>
          <w:szCs w:val="28"/>
        </w:rPr>
        <w:t>万元，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eastAsia="zh-CN"/>
        </w:rPr>
        <w:t>属上级来问资金，全部体现在部门整体支出绩效自评表中，</w:t>
      </w:r>
      <w:r>
        <w:rPr>
          <w:rFonts w:hint="eastAsia" w:ascii="宋体" w:hAnsi="宋体" w:eastAsia="仿宋_GB2312"/>
          <w:color w:val="000000" w:themeColor="text1"/>
          <w:sz w:val="32"/>
          <w:szCs w:val="28"/>
        </w:rPr>
        <w:t>比上年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eastAsia="zh-CN"/>
        </w:rPr>
        <w:t>减少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val="en-US" w:eastAsia="zh-CN"/>
        </w:rPr>
        <w:t>198.19</w:t>
      </w:r>
      <w:r>
        <w:rPr>
          <w:rFonts w:hint="eastAsia" w:ascii="宋体" w:hAnsi="宋体" w:eastAsia="仿宋_GB2312"/>
          <w:color w:val="000000" w:themeColor="text1"/>
          <w:sz w:val="32"/>
          <w:szCs w:val="28"/>
        </w:rPr>
        <w:t>万元，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eastAsia="zh-CN"/>
        </w:rPr>
        <w:t>与上年同期比下降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val="en-US" w:eastAsia="zh-CN"/>
        </w:rPr>
        <w:t>2.3</w:t>
      </w:r>
      <w:r>
        <w:rPr>
          <w:rFonts w:hint="eastAsia" w:ascii="宋体" w:hAnsi="宋体" w:eastAsia="仿宋_GB2312"/>
          <w:color w:val="000000" w:themeColor="text1"/>
          <w:sz w:val="32"/>
          <w:szCs w:val="28"/>
        </w:rPr>
        <w:t>%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eastAsia="zh-CN"/>
        </w:rPr>
        <w:t>。下降的主要原因是优抚对象不确定性；</w:t>
      </w:r>
      <w:r>
        <w:rPr>
          <w:rFonts w:hint="eastAsia" w:ascii="宋体" w:hAnsi="宋体" w:eastAsia="仿宋_GB2312"/>
          <w:color w:val="000000" w:themeColor="text1"/>
          <w:sz w:val="32"/>
          <w:szCs w:val="28"/>
          <w:lang w:val="en-US" w:eastAsia="zh-CN"/>
        </w:rPr>
        <w:t>2021年度专项支出绩效自评项目明细表中的各项优抚资金700万属年初非部门专项预算数，属县财政回收存量资金，年末资金已回收，在此不予绩效评价，特此说明。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无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Times New Roman" w:hAnsi="黑体" w:eastAsia="黑体" w:cs="Times New Roman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年，我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hint="eastAsia" w:eastAsia="仿宋_GB2312"/>
          <w:sz w:val="32"/>
          <w:szCs w:val="32"/>
        </w:rPr>
        <w:t>整体支出绩效评价作为财政预算资金使用管理的一项重要工作，切实加强预算收支管理，全面梳理内部管理流程，建立健全内部管理制度，有效提升了部门整体支出管理水平。</w:t>
      </w:r>
    </w:p>
    <w:p>
      <w:pPr>
        <w:spacing w:line="7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支出总额</w:t>
      </w:r>
      <w:r>
        <w:rPr>
          <w:rFonts w:hint="eastAsia" w:eastAsia="仿宋_GB2312"/>
          <w:sz w:val="32"/>
          <w:szCs w:val="32"/>
          <w:lang w:eastAsia="zh-CN"/>
        </w:rPr>
        <w:t>全年执行数超过全年预算数，是因为我们的优抚对象人数和军转干部人数不确定性，</w:t>
      </w:r>
      <w:r>
        <w:rPr>
          <w:rFonts w:hint="eastAsia" w:eastAsia="仿宋_GB2312"/>
          <w:sz w:val="32"/>
          <w:szCs w:val="32"/>
        </w:rPr>
        <w:t>我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预算内专项资金在取得财政批复时随批复一同下达，投入进度正常。</w:t>
      </w:r>
      <w:r>
        <w:rPr>
          <w:rFonts w:hint="eastAsia" w:eastAsia="仿宋_GB2312"/>
          <w:sz w:val="32"/>
          <w:szCs w:val="32"/>
          <w:lang w:eastAsia="zh-CN"/>
        </w:rPr>
        <w:t>产出指标中重点工作：各类优抚对象人数核定分别为：残疾军人</w:t>
      </w:r>
      <w:r>
        <w:rPr>
          <w:rFonts w:hint="eastAsia" w:eastAsia="仿宋_GB2312"/>
          <w:sz w:val="32"/>
          <w:szCs w:val="32"/>
          <w:lang w:val="en-US" w:eastAsia="zh-CN"/>
        </w:rPr>
        <w:t>452人、三属65人、在乡复员军人88人、带病回乡退伍军人1405人、参战参试1651人、60岁以上退伍军人4454人、60岁以上老烈士子女39人、义务兵家庭数量483人、退役士官、军人数量230人；</w:t>
      </w:r>
      <w:r>
        <w:rPr>
          <w:rFonts w:hint="eastAsia" w:eastAsia="仿宋_GB2312"/>
          <w:sz w:val="32"/>
          <w:szCs w:val="32"/>
          <w:lang w:eastAsia="zh-CN"/>
        </w:rPr>
        <w:t>优抚待遇核定合规率、发放标准合格率、发放金额准确率都为</w:t>
      </w:r>
      <w:r>
        <w:rPr>
          <w:rFonts w:hint="eastAsia" w:eastAsia="仿宋_GB2312"/>
          <w:sz w:val="32"/>
          <w:szCs w:val="32"/>
          <w:lang w:val="en-US" w:eastAsia="zh-CN"/>
        </w:rPr>
        <w:t>100%，发放时效性、完成及时性100%；上级党建任务完成率100%；优抚对象及其他转业军人上访次数明显减少，基本生活得到改善；社会影响力明显提高，民众征兵入伍积极性明显提高，拥军优属机制进一步完善。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严格按照相关法律、法规及财经纪律进行财务管理、绩效管理、决算组织、编报、审核工作。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无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Times New Roman" w:hAnsi="黑体" w:eastAsia="黑体" w:cs="Times New Roman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八</w:t>
      </w:r>
      <w:r>
        <w:rPr>
          <w:rFonts w:ascii="Times New Roman" w:hAnsi="黑体" w:eastAsia="黑体" w:cs="Times New Roman"/>
          <w:sz w:val="32"/>
          <w:szCs w:val="32"/>
        </w:rPr>
        <w:t>、单位整体支出绩效自评结果拟应用和公开情况</w:t>
      </w:r>
    </w:p>
    <w:p>
      <w:pPr>
        <w:widowControl/>
        <w:spacing w:line="315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决算及绩效工作开展顺利，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已在澧县澧县退役军人事务局门户网站公开。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其他需要说明的情况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F75AE"/>
    <w:multiLevelType w:val="singleLevel"/>
    <w:tmpl w:val="8E8F75AE"/>
    <w:lvl w:ilvl="0" w:tentative="0">
      <w:start w:val="2"/>
      <w:numFmt w:val="decimal"/>
      <w:suff w:val="nothing"/>
      <w:lvlText w:val="%1，"/>
      <w:lvlJc w:val="left"/>
    </w:lvl>
  </w:abstractNum>
  <w:abstractNum w:abstractNumId="1">
    <w:nsid w:val="D43ED10D"/>
    <w:multiLevelType w:val="singleLevel"/>
    <w:tmpl w:val="D43ED10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2951FDC"/>
    <w:multiLevelType w:val="singleLevel"/>
    <w:tmpl w:val="E2951F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D1A3A9"/>
    <w:multiLevelType w:val="singleLevel"/>
    <w:tmpl w:val="1FD1A3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lYmExNTIwZmYwMGNkYjk0YWNjOGFhYjVmNjcyM2Y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1CC2467"/>
    <w:rsid w:val="02E602C3"/>
    <w:rsid w:val="0569626F"/>
    <w:rsid w:val="0CE34CD0"/>
    <w:rsid w:val="110526C0"/>
    <w:rsid w:val="16F5264F"/>
    <w:rsid w:val="178F151F"/>
    <w:rsid w:val="17A96398"/>
    <w:rsid w:val="1E152207"/>
    <w:rsid w:val="1F5E5F75"/>
    <w:rsid w:val="21232D14"/>
    <w:rsid w:val="225C4890"/>
    <w:rsid w:val="27D94564"/>
    <w:rsid w:val="287C746C"/>
    <w:rsid w:val="2AD7476B"/>
    <w:rsid w:val="2AF459E0"/>
    <w:rsid w:val="2D8C7E13"/>
    <w:rsid w:val="30605C8E"/>
    <w:rsid w:val="356E5F27"/>
    <w:rsid w:val="363610F7"/>
    <w:rsid w:val="39BE4C18"/>
    <w:rsid w:val="3AD76784"/>
    <w:rsid w:val="3D415928"/>
    <w:rsid w:val="3E1A70B4"/>
    <w:rsid w:val="41EF3699"/>
    <w:rsid w:val="438375E9"/>
    <w:rsid w:val="4AD44F71"/>
    <w:rsid w:val="4B2A2DEB"/>
    <w:rsid w:val="4B775B0D"/>
    <w:rsid w:val="4DFC069D"/>
    <w:rsid w:val="505446A7"/>
    <w:rsid w:val="51D84C80"/>
    <w:rsid w:val="525C7843"/>
    <w:rsid w:val="5EA93E10"/>
    <w:rsid w:val="64BA24D5"/>
    <w:rsid w:val="650E4F5D"/>
    <w:rsid w:val="65474C27"/>
    <w:rsid w:val="72513B8C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5</Pages>
  <Words>1501</Words>
  <Characters>1649</Characters>
  <Lines>4</Lines>
  <Paragraphs>1</Paragraphs>
  <TotalTime>111</TotalTime>
  <ScaleCrop>false</ScaleCrop>
  <LinksUpToDate>false</LinksUpToDate>
  <CharactersWithSpaces>1665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【晴】。</cp:lastModifiedBy>
  <cp:lastPrinted>2022-05-23T01:40:00Z</cp:lastPrinted>
  <dcterms:modified xsi:type="dcterms:W3CDTF">2023-09-22T03:22:27Z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88FB8BCD14CF471483F6BD0F93851C31</vt:lpwstr>
  </property>
</Properties>
</file>