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pStyle w:val="2"/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</w:rPr>
        <w:t>澧县渔政监督管理站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>
        <w:rPr>
          <w:rFonts w:ascii="Times New Roman" w:hAnsi="Times New Roman" w:cs="Times New Roman"/>
          <w:b/>
          <w:sz w:val="48"/>
          <w:szCs w:val="48"/>
        </w:rPr>
        <w:t>绩效</w:t>
      </w:r>
      <w:r>
        <w:rPr>
          <w:rFonts w:hint="eastAsia" w:ascii="Times New Roman" w:hAnsi="Times New Roman" w:cs="Times New Roman"/>
          <w:b/>
          <w:sz w:val="48"/>
          <w:szCs w:val="48"/>
        </w:rPr>
        <w:t>和重点项目绩效</w:t>
      </w:r>
      <w:r>
        <w:rPr>
          <w:rFonts w:ascii="Times New Roman" w:hAnsi="Times New Roman" w:cs="Times New Roman"/>
          <w:b/>
          <w:sz w:val="48"/>
          <w:szCs w:val="48"/>
        </w:rPr>
        <w:t>自评报告</w:t>
      </w:r>
    </w:p>
    <w:bookmarkEnd w:id="0"/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2021年度澧县渔政监督管理站整体支出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一、单位基本情况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机构设置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澧县渔政监督管理站是财政全额拨款事业单位，是澧县畜牧兽医水产事务中心下属二级机构，执行政府会计制度。2021年本单位共有编制数17人，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在职14人，离退休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单位职能职责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全县渔业水域生态及水生野生动物保护工作；组织实施保护区、禁渔区、禁渔期的监督管理；办理捕捞许可证，组织征收渔业资源费；组织和协调重大渔政执法行动；协调重大渔业纠纷，查处严重渔业违规事件；组织编制全县渔业船舶发展规划，负责对全县水库、江河捕捞渔船、养殖用船人员的专业技能培训与职称考试管理。负责辖区内渔船的检验、年审、统计及汇总上报，做好档案归类管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部门整体支出情况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2021年度全年收入为202.05万元，其中财政拨款202.05万元。全年支出214.06万元，其中财政拨款基本支出184.06万元，项目支出30万元。</w:t>
      </w:r>
    </w:p>
    <w:p>
      <w:pPr>
        <w:pStyle w:val="2"/>
        <w:rPr>
          <w:rFonts w:hint="eastAsia"/>
          <w:color w:val="FF0000"/>
        </w:rPr>
      </w:pP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2021年预算收入197.07万元，其中，社会保障和就业支出14.98万元，卫生健康支出7.02万元，农林水支出163.83万元，住房保障支出11.24万元。支出197.07万元，其中基本支出183.07万元，项目支出14万元。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部门预算收支决算情况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本年支出决算数214.06万元，比年初预算数197.07万元增加8%。其中基本支出184.06万元， 比年初预算数142.4万元增加23%，财政拨款支出按功能科目分类，社会保障和就业支出14.53万元，占本年支出的7.19%；卫生健康支出6.51万元，占本年支出的3.22%；农林水支出160.70万元，占本年支出的79.53%；住房保障支出11.24万元，占本年支出的5.56%。 </w:t>
      </w:r>
    </w:p>
    <w:p>
      <w:pPr>
        <w:widowControl/>
        <w:ind w:firstLine="560" w:firstLineChars="200"/>
        <w:rPr>
          <w:rFonts w:ascii="仿宋" w:hAnsi="仿宋" w:eastAsia="仿宋" w:cs="仿宋_GB2312"/>
          <w:color w:val="FF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FF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年单位收入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202.05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万元，其中财政拨款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202.05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万元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eastAsia="zh-CN"/>
        </w:rPr>
        <w:t>，占比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100%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。其中</w:t>
      </w:r>
      <w:r>
        <w:rPr>
          <w:rFonts w:hint="eastAsia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社会保障和就业支出14.53万元，占比7.19%，卫生健康支出6.51万元，占比3.22%，农林水支出160.70万元，占比79.53%，交通运输支出9.08万元，占比4.49%，住房保障支出11.24万元，占比5.56%。</w:t>
      </w:r>
    </w:p>
    <w:p>
      <w:pPr>
        <w:widowControl/>
        <w:ind w:firstLine="560" w:firstLineChars="200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_GB2312"/>
          <w:color w:val="FF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年单位支出合计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214.06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万元，其中基本支出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184.07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万元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eastAsia="zh-CN"/>
        </w:rPr>
        <w:t>，占比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85.99%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项目支出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29.99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万元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eastAsia="zh-CN"/>
        </w:rPr>
        <w:t>，占比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  <w:lang w:val="en-US" w:eastAsia="zh-CN"/>
        </w:rPr>
        <w:t>14.01%</w:t>
      </w:r>
      <w:r>
        <w:rPr>
          <w:rFonts w:hint="eastAsia" w:ascii="仿宋" w:hAnsi="仿宋" w:eastAsia="仿宋" w:cs="仿宋_GB2312"/>
          <w:color w:val="FF0000"/>
          <w:kern w:val="0"/>
          <w:sz w:val="28"/>
          <w:szCs w:val="28"/>
        </w:rPr>
        <w:t>。</w:t>
      </w:r>
    </w:p>
    <w:p>
      <w:pPr>
        <w:pStyle w:val="2"/>
        <w:rPr>
          <w:rFonts w:hint="eastAsia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“三公”经费支出使用和管理情况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2021年三公经费支出2.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4万元。其中：公务接待费支出1.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2万元，公务用车购置费及运行维护费1.02万元，和上年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。三公经费支出严格落实中央和省委省政府要求，厉行节约，严格三公经费支出的审核把关和规范三公经费支出程序。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Calibri" w:hAnsi="Calibri" w:cs="Calibri"/>
          <w:i w:val="0"/>
          <w:caps w:val="0"/>
          <w:color w:val="FF0000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（1）“三公”经费支出情况。</w:t>
      </w:r>
    </w:p>
    <w:p>
      <w:pPr>
        <w:spacing w:line="360" w:lineRule="auto"/>
        <w:ind w:firstLine="560" w:firstLineChars="200"/>
        <w:rPr>
          <w:rFonts w:hint="eastAsia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2021年“三公”经费共支出2.64万元，其中，公务用车运行维护费1.02万元，年初预算3.50万元，与上年相比有增加 ，未超过相关部门规定，年终公务用车保有量1辆。公务接待费1.62万元，年初预算1.85万元，与上年相比有减少，主要是严格执行相关规定，严控公务接待费支出，共接待批次18个，接待人次 151人。 2021年我单位没有发生因公出境费用。</w:t>
      </w:r>
    </w:p>
    <w:p>
      <w:pPr>
        <w:spacing w:line="360" w:lineRule="auto"/>
        <w:ind w:firstLine="560" w:firstLineChars="200"/>
        <w:rPr>
          <w:rFonts w:hint="eastAsia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（2）会议费支出情况。</w:t>
      </w:r>
      <w:r>
        <w:rPr>
          <w:rFonts w:hint="eastAsia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2021年我单位无会议费支出，与上年相同。</w:t>
      </w:r>
    </w:p>
    <w:p>
      <w:pPr>
        <w:spacing w:line="360" w:lineRule="auto"/>
        <w:ind w:firstLine="560" w:firstLineChars="200"/>
        <w:rPr>
          <w:rFonts w:hint="eastAsia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（3）培训费支出情况。</w:t>
      </w:r>
      <w:r>
        <w:rPr>
          <w:rFonts w:hint="eastAsia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2021年我单位无培训费实际支出，与上年相同。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jc w:val="both"/>
        <w:rPr>
          <w:rFonts w:hint="default" w:ascii="Calibri" w:hAnsi="Calibri" w:cs="Calibri"/>
          <w:i w:val="0"/>
          <w:caps w:val="0"/>
          <w:color w:val="FF0000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（4）其他对单位影响较大的支出情况。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Calibri" w:eastAsia="仿宋_GB2312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宋体"/>
          <w:color w:val="FF0000"/>
          <w:kern w:val="0"/>
          <w:sz w:val="28"/>
          <w:szCs w:val="28"/>
          <w:lang w:val="en-US" w:eastAsia="zh-CN"/>
        </w:rPr>
        <w:t>项目中列支对个人和家庭的补助资金-个人农业生产补贴资金29.99万元，主要是人工增殖放流鱼类和渔政执法,属于个人补助项目资金。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无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无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无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六</w:t>
      </w:r>
      <w:r>
        <w:rPr>
          <w:rFonts w:ascii="Times New Roman" w:hAnsi="黑体" w:eastAsia="黑体" w:cs="Times New Roman"/>
          <w:sz w:val="32"/>
          <w:szCs w:val="32"/>
        </w:rPr>
        <w:t>、单位整体支出绩效情况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仿宋" w:eastAsia="仿宋" w:cs="Times New Roman"/>
          <w:sz w:val="32"/>
          <w:szCs w:val="32"/>
        </w:rPr>
        <w:t>总结归纳本单位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四本预算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支出的绩效目标完成情况，实现产出和取得效益的情况。围绕单位职责、行业发展规划，以预算资金管理为主线，总结单位资产管理和开展业务情况，从运行成本、管理效率、履职效能、社会效应、可持续发展能力和服务对象满意度等方面，衡量单位整体及核心业务实施效果。</w:t>
      </w:r>
    </w:p>
    <w:p>
      <w:pPr>
        <w:pStyle w:val="2"/>
        <w:rPr>
          <w:rFonts w:hint="default" w:eastAsia="黑体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我站主要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工作重点由退捕转为禁捕，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年是“十年禁捕”的开局之年，按中央“起好步管得住”的 要求，为禁捕工作打下良好基础。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1.禁捕长效机制有序建立。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一是经各部门积极建议献策，出台《澧县建立打击非法捕捞长效机制工作实施方案》。二是各镇街护渔员上岗，加强对禁捕河段巡查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三是镇街、各部门之间配合协调正常，接举报或办理案件时，各镇街、部门能迅速响应，分工协作，及时处理各类问题。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2.禁捕宣传氛围浓厚。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对禁捕工作进行了全方位、多形式宣传。各类媒体宣传报道100余次，其中湖南卫视、常德电视台各报道我县禁捕工作1次；建立了禁捕退捕工作微信群，及时调度、交流工作；县电视台和澧县融媒、以澧为荣微信公众号及时宣传报道禁捕退捕工作15次；在澧水、松滋水沿线设置大型宣传牌110余块，其中今年新设置50块；县禁捕办制作典型案例宣传挂图，由公安、渔政、相关镇街张贴3000余张，发放其他宣传资料2万余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3.打击非法捕捞成绩显著。</w:t>
      </w:r>
      <w:r>
        <w:rPr>
          <w:rFonts w:hint="eastAsia" w:ascii="仿宋_GB2312" w:hAnsi="仿宋_GB2312" w:eastAsia="仿宋_GB2312" w:cs="仿宋_GB2312"/>
          <w:sz w:val="32"/>
          <w:szCs w:val="32"/>
        </w:rPr>
        <w:t>禁捕工作开展以来，公安、渔政紧密配合，坚持节假日值守不休息，白天巡查与夜间蹲守相结合，2021年共办理涉渔案件24起，24起案件由渔政移交或配合公安部门立刑事案件10起，涉案12人，治安处罚立案6起，拘留6人，渔政行政立案8起，处罚8人，罚款20000元。通过案件办理，极大的震慑了违法捕捞行为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4.规范垂钓成效明显。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加大垂钓管理巡查力度，出台了《澧县人民政府关于规范禁捕水域垂钓行为的通告》，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年来共宣传劝导垂钓人员1800人次，发放规范垂钓通告6000份，收缴鱼竿240余根。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5.“三无”船舶管理规范。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再次对“三无”船舶清理回收工作进行回头看，全县2020年7月以来共清理处置“三无”船舶622艘，执法过程中打击销毁“三无”渔船17艘，集中销毁537艘，垸内养殖船舶714艘，外河留用标识船舶80艘（生活船55艘、公益船2艘、农用船23艘），在整改过程中新增标识农用船12艘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6.智慧渔政建成落实网格化管理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智慧渔政基本建成，全县松滋水、澧水水域设置监控点位33个，禁捕水域做到实行全天候监控，实现了人防与技防相结合。全县网格化管理，全县实行县、镇（街道）、村（社区）三级网格制度，将全县禁捕水域两岸214.3公里岸线区域划分为9个镇街网格，51个村居子网格，实施禁捕水域以岸线为基准网格化管理。今后将进一步完善智慧渔政监控点与网格化管理结合模式，做到人防与技防互补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7.退捕渔民跟踪服务到位。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继续落实包保责任，掌握所有渔民退捕后基本状况，精确了解我县确定为“十省百县千户”样本的28户渔民情况。二是为所有渔民搞好跟踪服务，对他们进行了点对点就业服务，有就业意愿的渔民保持动态清零。三是为所有渔民发放过渡期生活补助133.92万元，共发2年，已完成发放。四是为其他持证渔民243户479人发放转产帮扶和生活困难补助95.8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8.澧水人工放流高质量完成。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，上级下达我县增殖放流任务为210万尾，据此制定放流工作方案，通过政府采购平台在省级苗种场购买优质鱼苗，主要品种有鳙鱼、鲢鱼、青鱼、草鱼、鳊鱼、南方大口鲶，规格均在4cm以上，有效修复澧水水生生物资源，为禁捕退捕工作锦上添花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七</w:t>
      </w:r>
      <w:r>
        <w:rPr>
          <w:rFonts w:ascii="Times New Roman" w:hAnsi="黑体" w:eastAsia="黑体" w:cs="Times New Roman"/>
          <w:sz w:val="32"/>
          <w:szCs w:val="32"/>
        </w:rPr>
        <w:t>、存在的问题及原因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执法工作</w:t>
      </w:r>
      <w:r>
        <w:rPr>
          <w:rFonts w:hint="eastAsia" w:ascii="楷体_GB2312" w:hAnsi="楷体_GB2312" w:eastAsia="楷体_GB2312" w:cs="楷体_GB2312"/>
          <w:sz w:val="32"/>
          <w:szCs w:val="32"/>
        </w:rPr>
        <w:t>人心不稳。</w:t>
      </w:r>
      <w:r>
        <w:rPr>
          <w:rFonts w:hint="eastAsia" w:ascii="仿宋_GB2312" w:hAnsi="仿宋_GB2312" w:eastAsia="仿宋_GB2312" w:cs="仿宋_GB2312"/>
          <w:sz w:val="32"/>
          <w:szCs w:val="32"/>
        </w:rPr>
        <w:t>渔政执法机构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从事渔政执法工作人员现受农业农村局委托参与执法，机制没有完全理顺，禁捕工作任务繁重，执法有所顾虑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导致人心不稳。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2.渔政执法力量薄弱。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全县打击非法捕捞任务繁重，境内河流岸线长约386公里，水域面积141平方公里，其中禁捕水域94平方公里，渔政现有执法人员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仅9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人手不够，执法装备虽有添加，也仍有差缺。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禁捕执法工作经费紧张。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县财政加大了禁捕工作的投入，县财政将禁捕执法工作经费纳入部门预算，但不能及时拨付或常年保证，执法工作开展可能受限，需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满足当前禁捕退捕工作新形势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仍要加大保障力度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八</w:t>
      </w:r>
      <w:r>
        <w:rPr>
          <w:rFonts w:ascii="Times New Roman" w:hAnsi="黑体" w:eastAsia="黑体" w:cs="Times New Roman"/>
          <w:sz w:val="32"/>
          <w:szCs w:val="32"/>
        </w:rPr>
        <w:t>、下一步改进措施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进一步完善、细化各项财务制度，并严格执行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及时填报好预决算公开资料，及时进行财务调整。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3.以节约为原则，合理使用资金。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九、</w:t>
      </w: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numPr>
          <w:ilvl w:val="0"/>
          <w:numId w:val="1"/>
        </w:numPr>
        <w:spacing w:line="580" w:lineRule="exact"/>
        <w:ind w:left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针对我单位对</w:t>
      </w:r>
      <w:r>
        <w:rPr>
          <w:rFonts w:hint="eastAsia" w:ascii="仿宋" w:hAnsi="仿宋" w:eastAsia="仿宋" w:cs="仿宋"/>
          <w:sz w:val="32"/>
          <w:szCs w:val="32"/>
        </w:rPr>
        <w:t>绩效编制和绩效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</w:rPr>
        <w:t>学习不深，已制定相关学习方案，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一季度拟</w:t>
      </w:r>
      <w:r>
        <w:rPr>
          <w:rFonts w:hint="eastAsia" w:ascii="仿宋" w:hAnsi="仿宋" w:eastAsia="仿宋" w:cs="仿宋"/>
          <w:sz w:val="32"/>
          <w:szCs w:val="32"/>
        </w:rPr>
        <w:t>开一次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相关知识培训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，把绩效工作落到实处。</w:t>
      </w:r>
    </w:p>
    <w:p>
      <w:pPr>
        <w:numPr>
          <w:ilvl w:val="0"/>
          <w:numId w:val="0"/>
        </w:numPr>
        <w:spacing w:line="580" w:lineRule="exact"/>
        <w:ind w:left="0" w:leftChars="0"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2、对单位</w:t>
      </w:r>
      <w:r>
        <w:rPr>
          <w:rFonts w:hint="eastAsia" w:ascii="仿宋" w:hAnsi="仿宋" w:eastAsia="仿宋" w:cs="仿宋"/>
          <w:sz w:val="32"/>
          <w:szCs w:val="32"/>
        </w:rPr>
        <w:t>自评结果公开，自评报告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及专项自评表及单位基础表格</w:t>
      </w:r>
      <w:r>
        <w:rPr>
          <w:rFonts w:hint="eastAsia" w:ascii="仿宋" w:hAnsi="仿宋" w:eastAsia="仿宋" w:cs="仿宋"/>
          <w:sz w:val="32"/>
          <w:szCs w:val="32"/>
        </w:rPr>
        <w:t>公开在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工作群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并申请公开在政府网站。</w:t>
      </w:r>
    </w:p>
    <w:p>
      <w:pPr>
        <w:numPr>
          <w:ilvl w:val="0"/>
          <w:numId w:val="0"/>
        </w:numPr>
        <w:spacing w:line="580" w:lineRule="exact"/>
        <w:ind w:left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3、将</w:t>
      </w:r>
      <w:r>
        <w:rPr>
          <w:rFonts w:hint="eastAsia" w:ascii="仿宋" w:hAnsi="仿宋" w:eastAsia="仿宋" w:cs="仿宋"/>
          <w:sz w:val="32"/>
          <w:szCs w:val="32"/>
        </w:rPr>
        <w:t>自评结果运用与预算安排相结合，精细化预算后发现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各项专项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仍有较大的缺口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附</w:t>
      </w:r>
      <w:r>
        <w:rPr>
          <w:rFonts w:ascii="Times New Roman" w:hAnsi="仿宋" w:eastAsia="仿宋" w:cs="Times New Roman"/>
          <w:sz w:val="32"/>
          <w:szCs w:val="32"/>
        </w:rPr>
        <w:t>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pStyle w:val="2"/>
        <w:rPr>
          <w:rFonts w:hint="eastAsia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DB5316"/>
    <w:multiLevelType w:val="singleLevel"/>
    <w:tmpl w:val="D1DB53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OTExMmM5MjM4ZGIxZDJiYzI1NzBiMzdhZTQ5YmY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06C040CA"/>
    <w:rsid w:val="0B416304"/>
    <w:rsid w:val="1F5E5F75"/>
    <w:rsid w:val="225C4890"/>
    <w:rsid w:val="26410C24"/>
    <w:rsid w:val="27D94564"/>
    <w:rsid w:val="287C746C"/>
    <w:rsid w:val="2AF459E0"/>
    <w:rsid w:val="356E5F27"/>
    <w:rsid w:val="3AD76784"/>
    <w:rsid w:val="3E1A70B4"/>
    <w:rsid w:val="434417C7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700" w:lineRule="exact"/>
    </w:pPr>
    <w:rPr>
      <w:rFonts w:ascii="仿宋" w:hAnsi="仿宋" w:eastAsia="仿宋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2263</Words>
  <Characters>2467</Characters>
  <Lines>4</Lines>
  <Paragraphs>1</Paragraphs>
  <TotalTime>3</TotalTime>
  <ScaleCrop>false</ScaleCrop>
  <LinksUpToDate>false</LinksUpToDate>
  <CharactersWithSpaces>2474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【晴】。</cp:lastModifiedBy>
  <cp:lastPrinted>2022-03-28T07:16:00Z</cp:lastPrinted>
  <dcterms:modified xsi:type="dcterms:W3CDTF">2023-09-22T03:40:41Z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CC50E7B4D2E040EE92D734D5E71C1FE5</vt:lpwstr>
  </property>
</Properties>
</file>