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s>
        <w:spacing w:line="500" w:lineRule="exact"/>
        <w:jc w:val="center"/>
        <w:rPr>
          <w:rFonts w:ascii="黑体" w:hAnsi="黑体" w:eastAsia="黑体" w:cs="黑体"/>
          <w:sz w:val="44"/>
          <w:szCs w:val="44"/>
        </w:rPr>
      </w:pPr>
      <w:bookmarkStart w:id="1" w:name="_GoBack"/>
      <w:r>
        <w:rPr>
          <w:rFonts w:hint="eastAsia" w:ascii="黑体" w:hAnsi="黑体" w:eastAsia="黑体" w:cs="黑体"/>
          <w:sz w:val="44"/>
          <w:szCs w:val="44"/>
        </w:rPr>
        <w:t>澧县官垸镇人民政府</w:t>
      </w:r>
    </w:p>
    <w:p>
      <w:pPr>
        <w:tabs>
          <w:tab w:val="left" w:pos="6480"/>
        </w:tabs>
        <w:spacing w:line="500" w:lineRule="exact"/>
        <w:jc w:val="center"/>
        <w:rPr>
          <w:rFonts w:ascii="黑体" w:hAnsi="黑体" w:eastAsia="黑体" w:cs="黑体"/>
          <w:sz w:val="44"/>
          <w:szCs w:val="44"/>
        </w:rPr>
      </w:pPr>
      <w:r>
        <w:rPr>
          <w:rFonts w:hint="eastAsia" w:ascii="黑体" w:hAnsi="黑体" w:eastAsia="黑体" w:cs="黑体"/>
          <w:sz w:val="44"/>
          <w:szCs w:val="44"/>
        </w:rPr>
        <w:t>2021年度整体支出绩效和重点项目绩效评价报告</w:t>
      </w:r>
    </w:p>
    <w:bookmarkEnd w:id="1"/>
    <w:p>
      <w:pPr>
        <w:pStyle w:val="2"/>
        <w:rPr>
          <w:rFonts w:ascii="黑体" w:hAnsi="黑体" w:eastAsia="黑体" w:cs="黑体"/>
          <w:bCs/>
          <w:sz w:val="44"/>
          <w:szCs w:val="44"/>
        </w:rPr>
      </w:pPr>
    </w:p>
    <w:p>
      <w:pPr>
        <w:snapToGrid w:val="0"/>
        <w:spacing w:line="560" w:lineRule="exact"/>
        <w:ind w:firstLine="640" w:firstLineChars="200"/>
        <w:rPr>
          <w:rFonts w:ascii="黑体" w:hAnsi="黑体" w:eastAsia="黑体"/>
          <w:sz w:val="32"/>
          <w:szCs w:val="32"/>
        </w:rPr>
      </w:pPr>
      <w:bookmarkStart w:id="0" w:name="YS060101"/>
      <w:r>
        <w:rPr>
          <w:rFonts w:hint="eastAsia" w:ascii="黑体" w:hAnsi="黑体" w:eastAsia="黑体"/>
          <w:sz w:val="32"/>
          <w:szCs w:val="32"/>
        </w:rPr>
        <w:t>一、单位情况</w:t>
      </w:r>
    </w:p>
    <w:bookmarkEnd w:id="0"/>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治党向基层延伸。</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（2）统筹区域发展。参与拟订县级关于辖区发展的重大决策和建设规划并统筹落实，负责促进辖区经济建设，承担优化发展环境、采集企业信息、服务辖区企业、促进项目发展等工作。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（4）实施公共管理。负责辖区内生态环境保护、城镇管理、控违拆违、征地拆迁等综合性管理工作。</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（5）维护公共安全。承担辖区内社会治安综合治理、平安建设、应急管理等有关工作，接待群众来信来访，反映社情民意，化解矛盾纠纷等。</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（6）监督执法管理。对辖区内各类行政执法工作进行统筹协调，组织开展群众监督和社会监督。</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（7）保障居民自治。指导村（居）委员会建设，健全村（居）民自治平台，组织村（居）民参与村（社区）建设、管理。</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根据2020年《澧县机构改革实施方案》文件精神，对镇机构统一设置如下：</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（1）对镇党政内设机构统一设置为6个。即党政办公室、党建办公室、经济发展办公室、社会事务办公室、自然资源和生态环境办公室、社会治安和应急管理办公室。</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（2）统一设置1个执法机构。综合行政执法队。</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（3）统一设置事业单位6个。即农业和农村经营管理服务站、水利管理站、民政和社会保障站、综合文化站、安全生产监督管理站、退役军人服务站。</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年，我镇行政编制人数</w:t>
      </w:r>
      <w:r>
        <w:rPr>
          <w:rFonts w:ascii="仿宋_GB2312" w:hAnsi="仿宋" w:eastAsia="仿宋_GB2312"/>
          <w:sz w:val="32"/>
          <w:szCs w:val="32"/>
        </w:rPr>
        <w:t>39</w:t>
      </w:r>
      <w:r>
        <w:rPr>
          <w:rFonts w:hint="eastAsia" w:ascii="仿宋_GB2312" w:hAnsi="仿宋" w:eastAsia="仿宋_GB2312"/>
          <w:sz w:val="32"/>
          <w:szCs w:val="32"/>
        </w:rPr>
        <w:t>个；实有人数</w:t>
      </w:r>
      <w:r>
        <w:rPr>
          <w:rFonts w:ascii="仿宋_GB2312" w:hAnsi="仿宋" w:eastAsia="仿宋_GB2312"/>
          <w:sz w:val="32"/>
          <w:szCs w:val="32"/>
        </w:rPr>
        <w:t>39</w:t>
      </w:r>
      <w:r>
        <w:rPr>
          <w:rFonts w:hint="eastAsia" w:ascii="仿宋_GB2312" w:hAnsi="仿宋" w:eastAsia="仿宋_GB2312"/>
          <w:sz w:val="32"/>
          <w:szCs w:val="32"/>
        </w:rPr>
        <w:t>个。</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年，我镇事业编制人数</w:t>
      </w:r>
      <w:r>
        <w:rPr>
          <w:rFonts w:ascii="仿宋_GB2312" w:hAnsi="仿宋" w:eastAsia="仿宋_GB2312"/>
          <w:sz w:val="32"/>
          <w:szCs w:val="32"/>
        </w:rPr>
        <w:t>31</w:t>
      </w:r>
      <w:r>
        <w:rPr>
          <w:rFonts w:hint="eastAsia" w:ascii="仿宋_GB2312" w:hAnsi="仿宋" w:eastAsia="仿宋_GB2312"/>
          <w:sz w:val="32"/>
          <w:szCs w:val="32"/>
        </w:rPr>
        <w:t>个；实有人数</w:t>
      </w:r>
      <w:r>
        <w:rPr>
          <w:rFonts w:ascii="仿宋_GB2312" w:hAnsi="仿宋" w:eastAsia="仿宋_GB2312"/>
          <w:sz w:val="32"/>
          <w:szCs w:val="32"/>
        </w:rPr>
        <w:t>31</w:t>
      </w:r>
      <w:r>
        <w:rPr>
          <w:rFonts w:hint="eastAsia" w:ascii="仿宋_GB2312" w:hAnsi="仿宋" w:eastAsia="仿宋_GB2312"/>
          <w:sz w:val="32"/>
          <w:szCs w:val="32"/>
        </w:rPr>
        <w:t>个。</w:t>
      </w:r>
    </w:p>
    <w:p>
      <w:pPr>
        <w:widowControl/>
        <w:spacing w:line="560" w:lineRule="exact"/>
        <w:ind w:firstLine="640" w:firstLineChars="200"/>
        <w:rPr>
          <w:rFonts w:ascii="仿宋_GB2312" w:hAnsi="仿宋" w:eastAsia="仿宋_GB2312"/>
          <w:sz w:val="32"/>
          <w:szCs w:val="32"/>
        </w:rPr>
      </w:pPr>
      <w:r>
        <w:rPr>
          <w:rFonts w:hint="eastAsia" w:ascii="黑体" w:hAnsi="黑体" w:eastAsia="黑体"/>
          <w:sz w:val="32"/>
          <w:szCs w:val="32"/>
        </w:rPr>
        <w:t>二、绩效完成情况</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（一）部门整体支出管理情况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1、严格按照内部控制制度要求并结合本镇实际情况，规范报账审批流程，进一步完善政府采购制度和固定资产管理办法。</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2、成立预算绩效管理领导小组，对绩效目标实现过程、资金支出进度实施全程监控。</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3、资金支出严格按照预算执行，做到专款专用，合理安排经费开支，厉行节约。</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（二）预算执行情况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1、年初预算批复情况</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年，年初预算收入安排</w:t>
      </w:r>
      <w:r>
        <w:rPr>
          <w:rFonts w:ascii="仿宋_GB2312" w:hAnsi="仿宋" w:eastAsia="仿宋_GB2312"/>
          <w:sz w:val="32"/>
          <w:szCs w:val="32"/>
        </w:rPr>
        <w:t>698.2</w:t>
      </w:r>
      <w:r>
        <w:rPr>
          <w:rFonts w:hint="eastAsia" w:ascii="仿宋_GB2312" w:hAnsi="仿宋" w:eastAsia="仿宋_GB2312"/>
          <w:sz w:val="32"/>
          <w:szCs w:val="32"/>
        </w:rPr>
        <w:t>万元</w:t>
      </w:r>
      <w:r>
        <w:rPr>
          <w:rFonts w:hint="eastAsia" w:ascii="仿宋_GB2312" w:hAnsi="仿宋" w:eastAsia="仿宋_GB2312"/>
          <w:sz w:val="36"/>
          <w:szCs w:val="32"/>
        </w:rPr>
        <w:t>。</w:t>
      </w:r>
      <w:r>
        <w:rPr>
          <w:rFonts w:hint="eastAsia" w:ascii="仿宋_GB2312" w:hAnsi="仿宋" w:eastAsia="仿宋_GB2312"/>
          <w:sz w:val="32"/>
          <w:szCs w:val="32"/>
        </w:rPr>
        <w:t>其中：人员经费</w:t>
      </w:r>
      <w:r>
        <w:rPr>
          <w:rFonts w:ascii="仿宋_GB2312" w:hAnsi="仿宋" w:eastAsia="仿宋_GB2312"/>
          <w:sz w:val="32"/>
          <w:szCs w:val="32"/>
        </w:rPr>
        <w:t>350.75</w:t>
      </w:r>
      <w:r>
        <w:rPr>
          <w:rFonts w:hint="eastAsia" w:ascii="仿宋_GB2312" w:hAnsi="仿宋" w:eastAsia="仿宋_GB2312"/>
          <w:sz w:val="32"/>
          <w:szCs w:val="32"/>
        </w:rPr>
        <w:t>万元；日常公用经费</w:t>
      </w:r>
      <w:r>
        <w:rPr>
          <w:rFonts w:ascii="仿宋_GB2312" w:hAnsi="仿宋" w:eastAsia="仿宋_GB2312"/>
          <w:sz w:val="32"/>
          <w:szCs w:val="32"/>
        </w:rPr>
        <w:t>347.45</w:t>
      </w:r>
      <w:r>
        <w:rPr>
          <w:rFonts w:hint="eastAsia" w:ascii="仿宋_GB2312" w:hAnsi="仿宋" w:eastAsia="仿宋_GB2312"/>
          <w:sz w:val="32"/>
          <w:szCs w:val="32"/>
        </w:rPr>
        <w:t xml:space="preserve">万元；项目支出0万元。 </w:t>
      </w:r>
    </w:p>
    <w:p>
      <w:pPr>
        <w:widowControl/>
        <w:spacing w:line="560" w:lineRule="exact"/>
        <w:ind w:firstLine="640" w:firstLineChars="200"/>
        <w:jc w:val="left"/>
      </w:pPr>
      <w:r>
        <w:rPr>
          <w:rFonts w:hint="eastAsia" w:ascii="仿宋_GB2312" w:hAnsi="仿宋" w:eastAsia="仿宋_GB2312"/>
          <w:sz w:val="32"/>
          <w:szCs w:val="32"/>
        </w:rPr>
        <w:t>2、全年总预算执行情况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年本年收入</w:t>
      </w:r>
      <w:r>
        <w:rPr>
          <w:rFonts w:ascii="仿宋_GB2312" w:hAnsi="仿宋" w:eastAsia="仿宋_GB2312"/>
          <w:sz w:val="32"/>
          <w:szCs w:val="32"/>
        </w:rPr>
        <w:t>1924.05</w:t>
      </w:r>
      <w:r>
        <w:rPr>
          <w:rFonts w:hint="eastAsia" w:ascii="仿宋_GB2312" w:hAnsi="仿宋" w:eastAsia="仿宋_GB2312"/>
          <w:sz w:val="32"/>
          <w:szCs w:val="32"/>
        </w:rPr>
        <w:t>万元。其中：一般公共预算财政拨款收入</w:t>
      </w:r>
      <w:r>
        <w:rPr>
          <w:rFonts w:ascii="仿宋_GB2312" w:hAnsi="仿宋" w:eastAsia="仿宋_GB2312"/>
          <w:sz w:val="32"/>
          <w:szCs w:val="32"/>
        </w:rPr>
        <w:t>1832.97</w:t>
      </w:r>
      <w:r>
        <w:rPr>
          <w:rFonts w:hint="eastAsia" w:ascii="仿宋_GB2312" w:hAnsi="仿宋" w:eastAsia="仿宋_GB2312"/>
          <w:sz w:val="32"/>
          <w:szCs w:val="32"/>
        </w:rPr>
        <w:t>万元；政府性基金预算财政拨款收入</w:t>
      </w:r>
      <w:r>
        <w:rPr>
          <w:rFonts w:ascii="仿宋_GB2312" w:hAnsi="仿宋" w:eastAsia="仿宋_GB2312"/>
          <w:sz w:val="32"/>
          <w:szCs w:val="32"/>
        </w:rPr>
        <w:t>91.08</w:t>
      </w:r>
      <w:r>
        <w:rPr>
          <w:rFonts w:hint="eastAsia" w:ascii="仿宋_GB2312" w:hAnsi="仿宋" w:eastAsia="仿宋_GB2312"/>
          <w:sz w:val="32"/>
          <w:szCs w:val="32"/>
        </w:rPr>
        <w:t>万元。202</w:t>
      </w:r>
      <w:r>
        <w:rPr>
          <w:rFonts w:ascii="仿宋_GB2312" w:hAnsi="仿宋" w:eastAsia="仿宋_GB2312"/>
          <w:sz w:val="32"/>
          <w:szCs w:val="32"/>
        </w:rPr>
        <w:t>1</w:t>
      </w:r>
      <w:r>
        <w:rPr>
          <w:rFonts w:hint="eastAsia" w:ascii="仿宋_GB2312" w:hAnsi="仿宋" w:eastAsia="仿宋_GB2312"/>
          <w:sz w:val="32"/>
          <w:szCs w:val="32"/>
        </w:rPr>
        <w:t>年年初结余</w:t>
      </w:r>
      <w:r>
        <w:rPr>
          <w:rFonts w:ascii="仿宋_GB2312" w:hAnsi="仿宋" w:eastAsia="仿宋_GB2312"/>
          <w:sz w:val="32"/>
          <w:szCs w:val="32"/>
        </w:rPr>
        <w:t>30</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万元。</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年本年支出</w:t>
      </w:r>
      <w:r>
        <w:rPr>
          <w:rFonts w:ascii="仿宋_GB2312" w:hAnsi="仿宋" w:eastAsia="仿宋_GB2312"/>
          <w:sz w:val="32"/>
          <w:szCs w:val="32"/>
        </w:rPr>
        <w:t>1954.15</w:t>
      </w:r>
      <w:r>
        <w:rPr>
          <w:rFonts w:hint="eastAsia" w:ascii="仿宋_GB2312" w:hAnsi="仿宋" w:eastAsia="仿宋_GB2312"/>
          <w:sz w:val="32"/>
          <w:szCs w:val="32"/>
        </w:rPr>
        <w:t>万元。其中：一般公共预算财政拨款支出</w:t>
      </w:r>
      <w:r>
        <w:rPr>
          <w:rFonts w:ascii="仿宋_GB2312" w:hAnsi="仿宋" w:eastAsia="仿宋_GB2312"/>
          <w:sz w:val="32"/>
          <w:szCs w:val="32"/>
        </w:rPr>
        <w:t>1863.07</w:t>
      </w:r>
      <w:r>
        <w:rPr>
          <w:rFonts w:hint="eastAsia" w:ascii="仿宋_GB2312" w:hAnsi="仿宋" w:eastAsia="仿宋_GB2312"/>
          <w:sz w:val="32"/>
          <w:szCs w:val="32"/>
        </w:rPr>
        <w:t>万元；政府性基金预算财政拨款支出</w:t>
      </w:r>
      <w:r>
        <w:rPr>
          <w:rFonts w:ascii="仿宋_GB2312" w:hAnsi="仿宋" w:eastAsia="仿宋_GB2312"/>
          <w:sz w:val="32"/>
          <w:szCs w:val="32"/>
        </w:rPr>
        <w:t>91.08</w:t>
      </w:r>
      <w:r>
        <w:rPr>
          <w:rFonts w:hint="eastAsia" w:ascii="仿宋_GB2312" w:hAnsi="仿宋" w:eastAsia="仿宋_GB2312"/>
          <w:sz w:val="32"/>
          <w:szCs w:val="32"/>
        </w:rPr>
        <w:t>万元。</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年本年收入</w:t>
      </w:r>
      <w:r>
        <w:rPr>
          <w:rFonts w:ascii="仿宋_GB2312" w:hAnsi="仿宋" w:eastAsia="仿宋_GB2312"/>
          <w:sz w:val="32"/>
          <w:szCs w:val="32"/>
        </w:rPr>
        <w:t>1924.05</w:t>
      </w:r>
      <w:r>
        <w:rPr>
          <w:rFonts w:hint="eastAsia" w:ascii="仿宋_GB2312" w:hAnsi="仿宋" w:eastAsia="仿宋_GB2312"/>
          <w:sz w:val="32"/>
          <w:szCs w:val="32"/>
        </w:rPr>
        <w:t>万元，加上年结余收入</w:t>
      </w:r>
      <w:r>
        <w:rPr>
          <w:rFonts w:ascii="仿宋_GB2312" w:hAnsi="仿宋" w:eastAsia="仿宋_GB2312"/>
          <w:sz w:val="32"/>
          <w:szCs w:val="32"/>
        </w:rPr>
        <w:t>30</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万元，减本年支出</w:t>
      </w:r>
      <w:r>
        <w:rPr>
          <w:rFonts w:ascii="仿宋_GB2312" w:hAnsi="仿宋" w:eastAsia="仿宋_GB2312"/>
          <w:sz w:val="32"/>
          <w:szCs w:val="32"/>
        </w:rPr>
        <w:t>1954.15</w:t>
      </w:r>
      <w:r>
        <w:rPr>
          <w:rFonts w:hint="eastAsia" w:ascii="仿宋_GB2312" w:hAnsi="仿宋" w:eastAsia="仿宋_GB2312"/>
          <w:sz w:val="32"/>
          <w:szCs w:val="32"/>
        </w:rPr>
        <w:t>万元，年终结转结余为</w:t>
      </w:r>
      <w:r>
        <w:rPr>
          <w:rFonts w:ascii="仿宋_GB2312" w:hAnsi="仿宋" w:eastAsia="仿宋_GB2312"/>
          <w:sz w:val="32"/>
          <w:szCs w:val="32"/>
        </w:rPr>
        <w:t>0</w:t>
      </w:r>
      <w:r>
        <w:rPr>
          <w:rFonts w:hint="eastAsia" w:ascii="仿宋_GB2312" w:hAnsi="仿宋" w:eastAsia="仿宋_GB2312"/>
          <w:sz w:val="32"/>
          <w:szCs w:val="32"/>
        </w:rPr>
        <w:t>万元，实现收支平衡。</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3、“三公”经费执行情况</w:t>
      </w:r>
    </w:p>
    <w:p>
      <w:pPr>
        <w:widowControl/>
        <w:rPr>
          <w:rFonts w:hint="eastAsia" w:ascii="宋体" w:hAnsi="宋体" w:cs="Arial"/>
          <w:color w:val="000000"/>
          <w:kern w:val="0"/>
          <w:sz w:val="22"/>
          <w:szCs w:val="22"/>
        </w:rPr>
      </w:pPr>
      <w:r>
        <w:rPr>
          <w:rFonts w:hint="eastAsia" w:ascii="仿宋_GB2312" w:hAnsi="仿宋" w:eastAsia="仿宋_GB2312"/>
          <w:sz w:val="32"/>
          <w:szCs w:val="32"/>
        </w:rPr>
        <w:t>“三公”经费财政拨款支出决算为</w:t>
      </w:r>
      <w:r>
        <w:rPr>
          <w:rFonts w:ascii="仿宋_GB2312" w:hAnsi="仿宋" w:eastAsia="仿宋_GB2312"/>
          <w:sz w:val="32"/>
          <w:szCs w:val="32"/>
        </w:rPr>
        <w:t>34</w:t>
      </w:r>
      <w:r>
        <w:rPr>
          <w:rFonts w:hint="eastAsia" w:ascii="仿宋_GB2312" w:hAnsi="仿宋" w:eastAsia="仿宋_GB2312"/>
          <w:sz w:val="32"/>
          <w:szCs w:val="32"/>
        </w:rPr>
        <w:t>万元，其中公务用车运行费7万元；公务接待费27万元。</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4、资金结余情况</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年结转结余为</w:t>
      </w:r>
      <w:r>
        <w:rPr>
          <w:rFonts w:ascii="仿宋_GB2312" w:hAnsi="仿宋" w:eastAsia="仿宋_GB2312"/>
          <w:sz w:val="32"/>
          <w:szCs w:val="32"/>
        </w:rPr>
        <w:t>0</w:t>
      </w:r>
      <w:r>
        <w:rPr>
          <w:rFonts w:hint="eastAsia" w:ascii="仿宋_GB2312" w:hAnsi="仿宋" w:eastAsia="仿宋_GB2312"/>
          <w:sz w:val="32"/>
          <w:szCs w:val="32"/>
        </w:rPr>
        <w:t>万元。</w:t>
      </w:r>
    </w:p>
    <w:p>
      <w:pPr>
        <w:snapToGrid w:val="0"/>
        <w:spacing w:line="56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（三）绩效目标完成情况</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1、优化产业结构，促进增产增收，筑牢农业发展基础地位。</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hint="eastAsia" w:ascii="方正仿宋_GB2312" w:hAnsi="方正仿宋_GB2312" w:eastAsia="方正仿宋_GB2312" w:cs="方正仿宋_GB2312"/>
          <w:color w:val="000000"/>
          <w:sz w:val="32"/>
          <w:szCs w:val="32"/>
        </w:rPr>
        <w:t>特色产业快速发展，粮食保障坚实有力。</w:t>
      </w:r>
      <w:r>
        <w:rPr>
          <w:rFonts w:hint="eastAsia" w:ascii="方正仿宋_GB2312" w:hAnsi="方正仿宋_GB2312" w:eastAsia="方正仿宋_GB2312" w:cs="方正仿宋_GB2312"/>
          <w:sz w:val="32"/>
          <w:szCs w:val="32"/>
        </w:rPr>
        <w:t>全镇上下紧紧围绕“争创全国农业特色小镇”目标，依靠得天独厚的资源禀赋，投入几千万元，全面提升以南美白对虾养殖为龙头的生态养殖示范园区和以“阳光玫瑰”葡萄为特色的水果种植示范园区。</w:t>
      </w:r>
      <w:r>
        <w:rPr>
          <w:rFonts w:hint="eastAsia" w:ascii="方正仿宋_GB2312" w:hAnsi="方正仿宋_GB2312" w:eastAsia="方正仿宋_GB2312" w:cs="方正仿宋_GB2312"/>
          <w:color w:val="000000"/>
          <w:sz w:val="32"/>
          <w:szCs w:val="32"/>
        </w:rPr>
        <w:t>全年完成水稻种植4万亩，其中优质稻订单面积1.5万亩，双季稻1万亩。紧抓经济作物生产不松懈，全镇棉花种植面积1.5万亩，推广油菜种植面积4万亩。品牌推荐有声有色。</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2、狠抓乡村振兴，美化人居环境，构建生态环境重要地位。</w:t>
      </w:r>
    </w:p>
    <w:p>
      <w:pPr>
        <w:pStyle w:val="2"/>
        <w:spacing w:line="560" w:lineRule="exact"/>
        <w:ind w:firstLine="640" w:firstLineChars="200"/>
        <w:rPr>
          <w:rFonts w:ascii="方正仿宋_GB2312" w:hAnsi="方正仿宋_GB2312" w:eastAsia="方正仿宋_GB2312" w:cs="方正仿宋_GB2312"/>
          <w:sz w:val="32"/>
          <w:szCs w:val="32"/>
        </w:rPr>
      </w:pPr>
      <w:r>
        <w:rPr>
          <w:rFonts w:hint="eastAsia" w:ascii="仿宋_GB2312" w:hAnsi="仿宋" w:eastAsia="仿宋_GB2312"/>
          <w:sz w:val="32"/>
          <w:szCs w:val="32"/>
        </w:rPr>
        <w:t>（1）创新工作方式，不断提高脱贫攻坚质量。</w:t>
      </w:r>
      <w:r>
        <w:rPr>
          <w:rFonts w:hint="eastAsia" w:ascii="方正仿宋_GB2312" w:hAnsi="方正仿宋_GB2312" w:eastAsia="方正仿宋_GB2312" w:cs="方正仿宋_GB2312"/>
          <w:sz w:val="32"/>
          <w:szCs w:val="32"/>
        </w:rPr>
        <w:t>全镇采取村与村结对子的方式，让“第一书记”、包村干部、村干部互相找问题、互相改问题、互相学方法，帮扶措施、走访效果、档案整理均有较大提升。产业基础稳步壮大，发挥产业发展兴旺的优势，大力推进产业扶贫，目前全镇参与扶贫的新型农业经营主体共27家，流转土地面积12893亩，贫困人口参与务工共1235个务工日，人均增收4000多元，产业扶贫工作登上央视频道。脱贫成就稳步向好。全镇296户，875人达到一超过两不愁三保障标准，全面稳步脱贫。</w:t>
      </w:r>
    </w:p>
    <w:p>
      <w:pPr>
        <w:spacing w:line="560" w:lineRule="exact"/>
        <w:ind w:firstLine="640" w:firstLineChars="200"/>
        <w:textAlignment w:val="baseline"/>
        <w:rPr>
          <w:rFonts w:ascii="方正仿宋_GB2312" w:hAnsi="方正仿宋_GB2312" w:eastAsia="方正仿宋_GB2312" w:cs="方正仿宋_GB2312"/>
          <w:szCs w:val="32"/>
        </w:rPr>
      </w:pPr>
      <w:r>
        <w:rPr>
          <w:rFonts w:hint="eastAsia" w:ascii="仿宋_GB2312" w:hAnsi="仿宋" w:eastAsia="仿宋_GB2312"/>
          <w:sz w:val="32"/>
          <w:szCs w:val="32"/>
        </w:rPr>
        <w:t>（</w:t>
      </w:r>
      <w:r>
        <w:rPr>
          <w:rFonts w:hint="eastAsia" w:ascii="方正仿宋_GB2312" w:hAnsi="方正仿宋_GB2312" w:eastAsia="方正仿宋_GB2312" w:cs="方正仿宋_GB2312"/>
          <w:sz w:val="32"/>
          <w:szCs w:val="32"/>
        </w:rPr>
        <w:t>2）强化人居环境整治力度，创建文明卫生镇。源头治理不松劲，全镇发起“垃圾不落地”环境整治行动，取消了全镇300多个垃圾桶和垃圾池，安排垃圾清运车每天固定线路、固定时间、收集全镇垃圾，有效推动了环境卫生管理从“末端垃圾清理”向“源头污染防治”、从“政府单向管理”向“社会参与共治”转变，成功创建市级卫生镇。氛围营造不松劲，以鸟儿洲村为试点，投入80多万元对具有集中居住特色的台区进行美化绿化，在台区进口和西侧打造4km宣传长廊，彩绘、喷涂25面文化墙等，全面营造了乡村振兴氛围。精神引领不松劲，全镇投入近百万元，建成官垸镇中学乡村少年宫和官垸镇自动图书室，极大提高了全镇精神文明质量，成功创建市级文明镇。</w:t>
      </w:r>
    </w:p>
    <w:p>
      <w:pPr>
        <w:pStyle w:val="2"/>
        <w:spacing w:line="560" w:lineRule="exact"/>
        <w:ind w:firstLine="640" w:firstLineChars="200"/>
        <w:rPr>
          <w:rFonts w:ascii="方正仿宋_GB2312" w:hAnsi="方正仿宋_GB2312" w:eastAsia="方正仿宋_GB2312" w:cs="方正仿宋_GB2312"/>
          <w:sz w:val="32"/>
          <w:szCs w:val="32"/>
        </w:rPr>
      </w:pPr>
      <w:r>
        <w:rPr>
          <w:rFonts w:hint="eastAsia" w:ascii="仿宋_GB2312" w:hAnsi="仿宋" w:eastAsia="仿宋_GB2312"/>
          <w:sz w:val="32"/>
          <w:szCs w:val="32"/>
        </w:rPr>
        <w:t>（3）</w:t>
      </w:r>
      <w:r>
        <w:rPr>
          <w:rFonts w:hint="eastAsia" w:ascii="楷体_GB2312" w:hAnsi="楷体_GB2312" w:eastAsia="楷体_GB2312" w:cs="楷体_GB2312"/>
          <w:sz w:val="32"/>
          <w:szCs w:val="32"/>
        </w:rPr>
        <w:t>强化基础设施建设，提升基层公共服务质量</w:t>
      </w:r>
      <w:r>
        <w:rPr>
          <w:rFonts w:hint="eastAsia" w:ascii="仿宋_GB2312" w:hAnsi="仿宋" w:eastAsia="仿宋_GB2312"/>
          <w:sz w:val="32"/>
          <w:szCs w:val="32"/>
        </w:rPr>
        <w:t>。</w:t>
      </w:r>
      <w:r>
        <w:rPr>
          <w:rFonts w:hint="eastAsia" w:ascii="方正仿宋_GB2312" w:hAnsi="方正仿宋_GB2312" w:eastAsia="方正仿宋_GB2312" w:cs="方正仿宋_GB2312"/>
          <w:sz w:val="32"/>
          <w:szCs w:val="32"/>
        </w:rPr>
        <w:t>202</w:t>
      </w: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年，全镇总投资1.5亿元的电网改造工程逐步推进、4000亩高标准农田改造项目正在收尾、4000万元的污水集中处理厂项目全面完成，官垸镇的基础设施建设正在不断强化。公共服务卓有口碑，镇里投资100万元，实施集镇道路高标准亮化工程，为群众点亮街道，打造集镇文化体育中心、拓宽集镇道路、植树造绿15万株，实现集镇“品质”升级。民生福祉卓有改善，投资200万元，为五保老人改造了30间独立卫生间，实现老有所养；投资300万元，；投入584万元新建学生宿舍、教师周转房，进一步改善了学生、老师教学环境，投资2000多万元，全面更新改造小区自来水管网和水表，成为全省第一个用上最先进物联网智能水表的农村集镇，让老百姓用上干净、放心的自来水。</w:t>
      </w:r>
    </w:p>
    <w:p>
      <w:pPr>
        <w:pStyle w:val="3"/>
        <w:ind w:left="0" w:firstLine="640" w:firstLineChars="200"/>
        <w:rPr>
          <w:rFonts w:ascii="仿宋_GB2312" w:hAnsi="仿宋" w:eastAsia="仿宋_GB2312"/>
          <w:sz w:val="32"/>
          <w:szCs w:val="32"/>
        </w:rPr>
      </w:pPr>
      <w:r>
        <w:rPr>
          <w:rFonts w:hint="eastAsia" w:ascii="仿宋_GB2312" w:hAnsi="仿宋" w:eastAsia="仿宋_GB2312"/>
          <w:sz w:val="32"/>
          <w:szCs w:val="32"/>
        </w:rPr>
        <w:t>3、强化综合治理，社会大局和谐稳定</w:t>
      </w:r>
    </w:p>
    <w:p>
      <w:pPr>
        <w:spacing w:line="560" w:lineRule="exact"/>
        <w:ind w:firstLine="640" w:firstLineChars="200"/>
        <w:textAlignment w:val="baseline"/>
        <w:rPr>
          <w:rFonts w:ascii="方正仿宋_GB2312" w:hAnsi="方正仿宋_GB2312" w:eastAsia="方正仿宋_GB2312" w:cs="方正仿宋_GB2312"/>
          <w:sz w:val="20"/>
          <w:szCs w:val="32"/>
        </w:rPr>
      </w:pPr>
      <w:r>
        <w:rPr>
          <w:rFonts w:hint="eastAsia" w:ascii="仿宋_GB2312" w:hAnsi="仿宋" w:eastAsia="仿宋_GB2312"/>
          <w:sz w:val="32"/>
          <w:szCs w:val="32"/>
        </w:rPr>
        <w:t>（1）聚焦源头重心不移。</w:t>
      </w:r>
      <w:r>
        <w:rPr>
          <w:rFonts w:hint="eastAsia" w:ascii="方正仿宋_GB2312" w:hAnsi="方正仿宋_GB2312" w:eastAsia="方正仿宋_GB2312" w:cs="方正仿宋_GB2312"/>
          <w:sz w:val="32"/>
          <w:szCs w:val="32"/>
        </w:rPr>
        <w:t>全镇综治维稳工作进一步上劲，坚持维稳关口上移，对退役军人、退捕渔民等重点人群上门走访</w:t>
      </w:r>
      <w:r>
        <w:rPr>
          <w:rFonts w:hint="eastAsia" w:ascii="仿宋_GB2312" w:hAnsi="仿宋" w:eastAsia="仿宋_GB2312"/>
          <w:sz w:val="32"/>
          <w:szCs w:val="32"/>
        </w:rPr>
        <w:t>，了解诉求，从源头化解矛盾，实现全年无重点人群上访的情况，荣获常德市“无上访村（社区）”优秀乡镇称号。聚焦主线劲头不松，紧绷安全生产工作的“弦”不放松，出动执法人员300多人次，开展疫情防控宣传和监督检查515家次，约谈经营店主6家，制止私自建盖房屋、违规占地共11户，严厉打击违法捕捞行为5起，全年无安全生产事故出现。聚焦主题靶心不变，全镇上下</w:t>
      </w:r>
      <w:r>
        <w:rPr>
          <w:rFonts w:hint="eastAsia" w:ascii="方正仿宋_GB2312" w:hAnsi="方正仿宋_GB2312" w:eastAsia="方正仿宋_GB2312" w:cs="方正仿宋_GB2312"/>
          <w:sz w:val="32"/>
          <w:szCs w:val="32"/>
        </w:rPr>
        <w:t>时刻把防范政治安全风险置于首位，守住敏感事件、涉稳事件、严重刑事案件“零发生”的底线。</w:t>
      </w:r>
    </w:p>
    <w:p>
      <w:pPr>
        <w:pStyle w:val="3"/>
        <w:ind w:left="0" w:firstLine="640" w:firstLineChars="200"/>
        <w:rPr>
          <w:rFonts w:ascii="仿宋_GB2312" w:hAnsi="仿宋" w:eastAsia="仿宋_GB2312"/>
          <w:sz w:val="32"/>
          <w:szCs w:val="32"/>
        </w:rPr>
      </w:pPr>
      <w:r>
        <w:rPr>
          <w:rFonts w:hint="eastAsia" w:ascii="仿宋_GB2312" w:hAnsi="仿宋" w:eastAsia="仿宋_GB2312"/>
          <w:sz w:val="32"/>
          <w:szCs w:val="32"/>
        </w:rPr>
        <w:t>4、强化党风廉政，树立良好形象，发挥基层党建引领地位。</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廉政教育深入人心。按照“一级抓一级、层层抓落实”的原则，突出抓好党风廉政建设警示教育，筑牢干部拒腐防变思想防线，努力打造风清气正干部队伍。截止至目前，共开展例行谈心谈话132次，给予诫勉谈话1人，警示谈话4人，查办案件1起，筑牢了党员干部“不敢为”的党纪红线。</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党建引领助力疫控。今年春节发生的新冠疫情，使群众的生命和社会经济发展受到了严重的损失，为科学应对疫情，我镇充分发挥共产党员的先锋模范作用和基层党组织的战斗堡垒作用，党员自发成立宣传小分队，加入疫情防控队伍；选派了疫情防控工作联络员协助做好工业企业复工复产；推荐了疫情防控一线基层党组织、共产党员先进典型数名。</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三、问题及建议</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1、存在问题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（1）各站所、村（居）参与预算绩效评价工作的意识不够。</w:t>
      </w:r>
    </w:p>
    <w:p>
      <w:pPr>
        <w:pStyle w:val="3"/>
        <w:spacing w:line="56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（2）各类预算绩效目标和定量指标的制定不够全面。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2、改进建议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（1）组织各站所、村（居）参加预算绩效培训，制定工作方案。</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（2）针对本镇的工作计划与工作要点，细化预算绩效目标与指标。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wYjRmYjY3ZTA0OGI2N2U2Y2MzM2U4ZWViN2E0NjYifQ=="/>
  </w:docVars>
  <w:rsids>
    <w:rsidRoot w:val="2ED34C9A"/>
    <w:rsid w:val="00254380"/>
    <w:rsid w:val="003875FA"/>
    <w:rsid w:val="003B0FAD"/>
    <w:rsid w:val="003C6D21"/>
    <w:rsid w:val="008125CE"/>
    <w:rsid w:val="009C62C6"/>
    <w:rsid w:val="00B701EF"/>
    <w:rsid w:val="00D171D8"/>
    <w:rsid w:val="00E043A6"/>
    <w:rsid w:val="00E41EB6"/>
    <w:rsid w:val="00E83BCE"/>
    <w:rsid w:val="2D984D48"/>
    <w:rsid w:val="2ED34C9A"/>
    <w:rsid w:val="34687BB2"/>
    <w:rsid w:val="5533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491</Words>
  <Characters>2799</Characters>
  <Lines>23</Lines>
  <Paragraphs>6</Paragraphs>
  <TotalTime>21</TotalTime>
  <ScaleCrop>false</ScaleCrop>
  <LinksUpToDate>false</LinksUpToDate>
  <CharactersWithSpaces>3284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2022-08-29T02:32:00Z</dcterms:created>
  <dc:creator>Administrator</dc:creator>
  <cp:lastModifiedBy>【晴】。</cp:lastModifiedBy>
  <dcterms:modified xsi:type="dcterms:W3CDTF">2023-10-19T09:08:15Z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912214DAC572426F8557C9FF28ACE04D</vt:lpwstr>
  </property>
</Properties>
</file>