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w:t>
      </w:r>
      <w:r>
        <w:rPr>
          <w:rFonts w:hint="eastAsia" w:ascii="Times New Roman" w:hAnsi="Times New Roman" w:eastAsiaTheme="majorEastAsia"/>
          <w:b/>
          <w:kern w:val="0"/>
          <w:sz w:val="44"/>
          <w:szCs w:val="44"/>
          <w:lang w:val="en-US" w:eastAsia="zh-CN"/>
        </w:rPr>
        <w:t>1</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澧县如东镇人民政府</w:t>
      </w:r>
    </w:p>
    <w:p>
      <w:pPr>
        <w:spacing w:line="560" w:lineRule="exact"/>
        <w:jc w:val="center"/>
        <w:rPr>
          <w:rFonts w:ascii="Times New Roman" w:hAnsi="Times New Roman" w:eastAsiaTheme="majorEastAsia"/>
          <w:b/>
          <w:kern w:val="0"/>
          <w:sz w:val="44"/>
          <w:szCs w:val="44"/>
        </w:rPr>
      </w:pPr>
      <w:bookmarkStart w:id="0" w:name="_GoBack"/>
      <w:bookmarkEnd w:id="0"/>
      <w:r>
        <w:rPr>
          <w:rFonts w:hint="eastAsia" w:ascii="Times New Roman" w:hAnsi="Times New Roman" w:eastAsiaTheme="majorEastAsia"/>
          <w:b/>
          <w:kern w:val="0"/>
          <w:sz w:val="44"/>
          <w:szCs w:val="44"/>
        </w:rPr>
        <w:t>整体支出绩效和重点项目绩效评价报告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snapToGrid w:val="0"/>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澧县如东镇人民政府为独立核算的行政单位，属一级预算单位，经费来源是全额拨款，执行政府会计制度，当年无变动情况。</w:t>
      </w:r>
      <w:r>
        <w:rPr>
          <w:rFonts w:ascii="仿宋" w:hAnsi="仿宋" w:eastAsia="仿宋" w:cs="宋体"/>
          <w:color w:val="000000" w:themeColor="text1"/>
          <w:kern w:val="0"/>
          <w:sz w:val="32"/>
          <w:szCs w:val="32"/>
          <w14:textFill>
            <w14:solidFill>
              <w14:schemeClr w14:val="tx1"/>
            </w14:solidFill>
          </w14:textFill>
        </w:rPr>
        <w:t>202</w:t>
      </w:r>
      <w:r>
        <w:rPr>
          <w:rFonts w:hint="eastAsia" w:ascii="仿宋" w:hAnsi="仿宋" w:eastAsia="仿宋" w:cs="宋体"/>
          <w:color w:val="000000" w:themeColor="text1"/>
          <w:kern w:val="0"/>
          <w:sz w:val="32"/>
          <w:szCs w:val="32"/>
          <w:lang w:val="en-US" w:eastAsia="zh-CN"/>
          <w14:textFill>
            <w14:solidFill>
              <w14:schemeClr w14:val="tx1"/>
            </w14:solidFill>
          </w14:textFill>
        </w:rPr>
        <w:t>1</w:t>
      </w:r>
      <w:r>
        <w:rPr>
          <w:rFonts w:ascii="仿宋" w:hAnsi="仿宋" w:eastAsia="仿宋" w:cs="宋体"/>
          <w:color w:val="000000" w:themeColor="text1"/>
          <w:kern w:val="0"/>
          <w:sz w:val="32"/>
          <w:szCs w:val="32"/>
          <w14:textFill>
            <w14:solidFill>
              <w14:schemeClr w14:val="tx1"/>
            </w14:solidFill>
          </w14:textFill>
        </w:rPr>
        <w:t>年在职人员</w:t>
      </w:r>
      <w:r>
        <w:rPr>
          <w:rFonts w:hint="eastAsia" w:ascii="仿宋" w:hAnsi="仿宋" w:eastAsia="仿宋" w:cs="宋体"/>
          <w:color w:val="000000" w:themeColor="text1"/>
          <w:kern w:val="0"/>
          <w:sz w:val="32"/>
          <w:szCs w:val="32"/>
          <w14:textFill>
            <w14:solidFill>
              <w14:schemeClr w14:val="tx1"/>
            </w14:solidFill>
          </w14:textFill>
        </w:rPr>
        <w:t>6</w:t>
      </w:r>
      <w:r>
        <w:rPr>
          <w:rFonts w:hint="eastAsia" w:ascii="仿宋" w:hAnsi="仿宋" w:eastAsia="仿宋" w:cs="宋体"/>
          <w:color w:val="000000" w:themeColor="text1"/>
          <w:kern w:val="0"/>
          <w:sz w:val="32"/>
          <w:szCs w:val="32"/>
          <w:lang w:val="en-US" w:eastAsia="zh-CN"/>
          <w14:textFill>
            <w14:solidFill>
              <w14:schemeClr w14:val="tx1"/>
            </w14:solidFill>
          </w14:textFill>
        </w:rPr>
        <w:t>9</w:t>
      </w:r>
      <w:r>
        <w:rPr>
          <w:rFonts w:ascii="仿宋" w:hAnsi="仿宋" w:eastAsia="仿宋" w:cs="宋体"/>
          <w:color w:val="000000" w:themeColor="text1"/>
          <w:kern w:val="0"/>
          <w:sz w:val="32"/>
          <w:szCs w:val="32"/>
          <w14:textFill>
            <w14:solidFill>
              <w14:schemeClr w14:val="tx1"/>
            </w14:solidFill>
          </w14:textFill>
        </w:rPr>
        <w:t>人。较20</w:t>
      </w:r>
      <w:r>
        <w:rPr>
          <w:rFonts w:hint="eastAsia" w:ascii="仿宋" w:hAnsi="仿宋" w:eastAsia="仿宋" w:cs="宋体"/>
          <w:color w:val="000000" w:themeColor="text1"/>
          <w:kern w:val="0"/>
          <w:sz w:val="32"/>
          <w:szCs w:val="32"/>
          <w:lang w:val="en-US" w:eastAsia="zh-CN"/>
          <w14:textFill>
            <w14:solidFill>
              <w14:schemeClr w14:val="tx1"/>
            </w14:solidFill>
          </w14:textFill>
        </w:rPr>
        <w:t>20</w:t>
      </w:r>
      <w:r>
        <w:rPr>
          <w:rFonts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14:textFill>
            <w14:solidFill>
              <w14:schemeClr w14:val="tx1"/>
            </w14:solidFill>
          </w14:textFill>
        </w:rPr>
        <w:t>增加3</w:t>
      </w:r>
      <w:r>
        <w:rPr>
          <w:rFonts w:ascii="仿宋" w:hAnsi="仿宋" w:eastAsia="仿宋" w:cs="宋体"/>
          <w:color w:val="000000" w:themeColor="text1"/>
          <w:kern w:val="0"/>
          <w:sz w:val="32"/>
          <w:szCs w:val="32"/>
          <w14:textFill>
            <w14:solidFill>
              <w14:schemeClr w14:val="tx1"/>
            </w14:solidFill>
          </w14:textFill>
        </w:rPr>
        <w:t>人。</w:t>
      </w:r>
    </w:p>
    <w:p>
      <w:pPr>
        <w:spacing w:line="600" w:lineRule="exact"/>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widowControl/>
        <w:ind w:firstLine="640" w:firstLineChars="200"/>
        <w:rPr>
          <w:rFonts w:hint="eastAsia"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1.宣传贯彻执行法律法规，落实党和国家的方针、政策；制定村镇发展规划和年度计划并组织实施；坚持依法行政，推进乡镇民主政治发展，加强基层党组织建设。</w:t>
      </w:r>
    </w:p>
    <w:p>
      <w:pPr>
        <w:widowControl/>
        <w:ind w:firstLine="640" w:firstLineChars="200"/>
        <w:rPr>
          <w:rFonts w:hint="eastAsia"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2.承担发展区域经济、增加村（居）民收入的责任。组织指导区域经济结构调整；加强工农业综合生产能力建设；健全农村社会化服务体系，完善产业支持保护体系，推进农村现代化；着力提升经济发展的质量和水平，增加农民收入，不断提高人民生活水平。</w:t>
      </w:r>
    </w:p>
    <w:p>
      <w:pPr>
        <w:widowControl/>
        <w:ind w:firstLine="640" w:firstLineChars="200"/>
        <w:rPr>
          <w:rFonts w:hint="eastAsia"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3.加强社会管理和基础设施建设，创造良好环境。规范农村集体经济管理，推进政务、村务公开；加强生态环境保护工作，提升生态文明建设水平，建设美丽村镇；抓好人口和计划生育工作，保障妇女儿童合法权益；加强安全生产和公共安全，组织抢险救灾、优抚救助，及时上报和处置重大社情、疫情、险情，保护人民群众的生命财产安全。</w:t>
      </w:r>
    </w:p>
    <w:p>
      <w:pPr>
        <w:widowControl/>
        <w:ind w:firstLine="640" w:firstLineChars="200"/>
        <w:rPr>
          <w:rFonts w:hint="eastAsia"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4.发展公益事业，提供公共服务。搞好村镇公共设施建设，开展社会保障服务，着力解决群众生产生活中的问题；发展科教文卫事业，提供经济发展和社会进步的信息服务，促进精神文明建设。</w:t>
      </w:r>
    </w:p>
    <w:p>
      <w:pPr>
        <w:widowControl/>
        <w:ind w:firstLine="640" w:firstLineChars="200"/>
        <w:rPr>
          <w:rFonts w:hint="eastAsia"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5.加强综合治理，维护社会稳定。调解民事纠纷、化解社会矛盾，接待上访群众，处理群体性突发事件，保证社会公正，维护社会秩序和社会稳定。</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6.监督执法管理。对辖区内各类行政执法工作进行统筹协调，组织开展群众监督和社会监督。</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7.保障居民自治。指导村（居）委员会建设，健全村（居）民自治平台，组织村（居）民参与村（社区）建设、管理。</w:t>
      </w:r>
    </w:p>
    <w:p>
      <w:pPr>
        <w:widowControl/>
        <w:rPr>
          <w:rFonts w:ascii="Times New Roman" w:hAnsi="Times New Roman" w:eastAsia="仿宋_GB2312"/>
          <w:color w:val="222222"/>
          <w:kern w:val="0"/>
          <w:sz w:val="32"/>
          <w:szCs w:val="32"/>
        </w:rPr>
      </w:pP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7"/>
        <w:ind w:firstLine="480" w:firstLineChars="150"/>
        <w:outlineLvl w:val="0"/>
        <w:rPr>
          <w:rFonts w:hint="eastAsia" w:ascii="仿宋" w:hAnsi="仿宋" w:eastAsia="仿宋"/>
          <w:color w:val="222222"/>
          <w:sz w:val="32"/>
          <w:szCs w:val="32"/>
        </w:rPr>
      </w:pPr>
      <w:r>
        <w:rPr>
          <w:rFonts w:hint="eastAsia" w:ascii="仿宋" w:hAnsi="仿宋" w:eastAsia="仿宋"/>
          <w:color w:val="222222"/>
          <w:sz w:val="32"/>
          <w:szCs w:val="32"/>
        </w:rPr>
        <w:t>2021年度财政拨款支出2,605.65万元，主要用于以下方面：一般公共服务支出819.1万元，占31.44%；教育支出5万元，占0.19%；文化旅游体育与传媒支出186.09万元，占7.14%；社会保障和就业支出74.24万元，占2.85%；卫生健康支出31.8万元，占1.22%；节能环保支出5.01万元，占0.19%；城乡社区支出116.76万元，占4.48%；农林水支出1,268.85万元，占48.7%；交通运输支出8.33万元，占0.32%；资源勘探工业信息等支出10万元，占0.38%；商业服务业等支出6万元，占0.23%；金融支出2万元，占0.08%；住房保障支出46.07万元，占1.77%；灾害防治及应急管理支出26.4万元，占1.01%。</w:t>
      </w:r>
    </w:p>
    <w:p>
      <w:pPr>
        <w:pStyle w:val="127"/>
        <w:ind w:firstLine="480" w:firstLineChars="150"/>
        <w:outlineLvl w:val="0"/>
        <w:rPr>
          <w:rFonts w:ascii="仿宋" w:hAnsi="仿宋" w:eastAsia="仿宋"/>
          <w:b/>
          <w:bCs/>
          <w:sz w:val="32"/>
          <w:szCs w:val="32"/>
        </w:rPr>
      </w:pPr>
      <w:r>
        <w:rPr>
          <w:rFonts w:ascii="仿宋" w:hAnsi="仿宋" w:eastAsia="仿宋"/>
          <w:color w:val="222222"/>
          <w:sz w:val="32"/>
          <w:szCs w:val="32"/>
        </w:rPr>
        <w:t>（二）部门预算收支决算情况</w:t>
      </w:r>
    </w:p>
    <w:p>
      <w:pPr>
        <w:pStyle w:val="127"/>
        <w:ind w:firstLine="640" w:firstLineChars="200"/>
        <w:rPr>
          <w:rFonts w:ascii="仿宋" w:hAnsi="仿宋" w:eastAsia="仿宋" w:cs="宋体"/>
          <w:sz w:val="32"/>
          <w:szCs w:val="32"/>
        </w:rPr>
      </w:pPr>
      <w:r>
        <w:rPr>
          <w:rFonts w:hint="eastAsia" w:ascii="仿宋" w:hAnsi="仿宋" w:eastAsia="仿宋" w:cs="宋体"/>
          <w:sz w:val="32"/>
          <w:szCs w:val="32"/>
        </w:rPr>
        <w:t>本年收入合计</w:t>
      </w:r>
      <w:r>
        <w:rPr>
          <w:rFonts w:hint="eastAsia" w:ascii="仿宋" w:hAnsi="仿宋" w:eastAsia="仿宋" w:cs="宋体"/>
          <w:sz w:val="32"/>
          <w:szCs w:val="32"/>
          <w:lang w:val="en-US" w:eastAsia="zh-CN"/>
        </w:rPr>
        <w:t>2712.76</w:t>
      </w:r>
      <w:r>
        <w:rPr>
          <w:rFonts w:hint="eastAsia" w:ascii="仿宋" w:hAnsi="仿宋" w:eastAsia="仿宋" w:cs="宋体"/>
          <w:sz w:val="32"/>
          <w:szCs w:val="32"/>
        </w:rPr>
        <w:t>万元，其中：财政拨款收入</w:t>
      </w:r>
      <w:r>
        <w:rPr>
          <w:rFonts w:hint="eastAsia" w:ascii="仿宋" w:hAnsi="仿宋" w:eastAsia="仿宋" w:cs="宋体"/>
          <w:sz w:val="32"/>
          <w:szCs w:val="32"/>
          <w:lang w:val="en-US" w:eastAsia="zh-CN"/>
        </w:rPr>
        <w:t>2712.76</w:t>
      </w:r>
      <w:r>
        <w:rPr>
          <w:rFonts w:hint="eastAsia" w:ascii="仿宋" w:hAnsi="仿宋" w:eastAsia="仿宋" w:cs="宋体"/>
          <w:sz w:val="32"/>
          <w:szCs w:val="32"/>
        </w:rPr>
        <w:t>万元，占100%；上级补助收入0万元，占0%；事业收入0万元，占0%；经营收入0万元，占0%；附属单位上缴收入0万元，占0%；其他收入0万元，占0%。</w:t>
      </w:r>
    </w:p>
    <w:p>
      <w:pPr>
        <w:pStyle w:val="127"/>
        <w:ind w:firstLine="640" w:firstLineChars="200"/>
        <w:rPr>
          <w:rFonts w:ascii="仿宋" w:hAnsi="仿宋" w:eastAsia="仿宋" w:cs="Times New Roman"/>
          <w:sz w:val="32"/>
          <w:szCs w:val="32"/>
        </w:rPr>
      </w:pPr>
      <w:r>
        <w:rPr>
          <w:rFonts w:hint="eastAsia" w:ascii="仿宋" w:hAnsi="仿宋" w:eastAsia="仿宋" w:cs="宋体"/>
          <w:sz w:val="32"/>
          <w:szCs w:val="32"/>
        </w:rPr>
        <w:t>本年支出合计</w:t>
      </w:r>
      <w:r>
        <w:rPr>
          <w:rFonts w:hint="eastAsia" w:ascii="仿宋" w:hAnsi="仿宋" w:eastAsia="仿宋" w:cs="宋体"/>
          <w:sz w:val="32"/>
          <w:szCs w:val="32"/>
          <w:lang w:val="en-US" w:eastAsia="zh-CN"/>
        </w:rPr>
        <w:t>2741.16</w:t>
      </w:r>
      <w:r>
        <w:rPr>
          <w:rFonts w:hint="eastAsia" w:ascii="仿宋" w:hAnsi="仿宋" w:eastAsia="仿宋" w:cs="宋体"/>
          <w:sz w:val="32"/>
          <w:szCs w:val="32"/>
        </w:rPr>
        <w:t>万元，其中：基本支出</w:t>
      </w:r>
      <w:r>
        <w:rPr>
          <w:rFonts w:hint="eastAsia" w:ascii="仿宋" w:hAnsi="仿宋" w:eastAsia="仿宋" w:cs="宋体"/>
          <w:sz w:val="32"/>
          <w:szCs w:val="32"/>
          <w:lang w:val="en-US" w:eastAsia="zh-CN"/>
        </w:rPr>
        <w:t>802.16</w:t>
      </w:r>
      <w:r>
        <w:rPr>
          <w:rFonts w:hint="eastAsia" w:ascii="仿宋" w:hAnsi="仿宋" w:eastAsia="仿宋" w:cs="宋体"/>
          <w:sz w:val="32"/>
          <w:szCs w:val="32"/>
        </w:rPr>
        <w:t>万元，占</w:t>
      </w:r>
      <w:r>
        <w:rPr>
          <w:rFonts w:hint="eastAsia" w:ascii="仿宋" w:hAnsi="仿宋" w:eastAsia="仿宋" w:cs="宋体"/>
          <w:sz w:val="32"/>
          <w:szCs w:val="32"/>
          <w:lang w:val="en-US" w:eastAsia="zh-CN"/>
        </w:rPr>
        <w:t>29.26</w:t>
      </w:r>
      <w:r>
        <w:rPr>
          <w:rFonts w:hint="eastAsia" w:ascii="仿宋" w:hAnsi="仿宋" w:eastAsia="仿宋" w:cs="宋体"/>
          <w:sz w:val="32"/>
          <w:szCs w:val="32"/>
        </w:rPr>
        <w:t>%；项目支出</w:t>
      </w:r>
      <w:r>
        <w:rPr>
          <w:rFonts w:hint="eastAsia" w:ascii="仿宋" w:hAnsi="仿宋" w:eastAsia="仿宋" w:cs="宋体"/>
          <w:sz w:val="32"/>
          <w:szCs w:val="32"/>
          <w:lang w:val="en-US" w:eastAsia="zh-CN"/>
        </w:rPr>
        <w:t>1939</w:t>
      </w:r>
      <w:r>
        <w:rPr>
          <w:rFonts w:hint="eastAsia" w:ascii="仿宋" w:hAnsi="仿宋" w:eastAsia="仿宋" w:cs="宋体"/>
          <w:sz w:val="32"/>
          <w:szCs w:val="32"/>
        </w:rPr>
        <w:t>万元，占</w:t>
      </w:r>
      <w:r>
        <w:rPr>
          <w:rFonts w:hint="eastAsia" w:ascii="仿宋" w:hAnsi="仿宋" w:eastAsia="仿宋" w:cs="宋体"/>
          <w:sz w:val="32"/>
          <w:szCs w:val="32"/>
          <w:lang w:val="en-US" w:eastAsia="zh-CN"/>
        </w:rPr>
        <w:t>70.74</w:t>
      </w:r>
      <w:r>
        <w:rPr>
          <w:rFonts w:hint="eastAsia" w:ascii="仿宋" w:hAnsi="仿宋" w:eastAsia="仿宋" w:cs="宋体"/>
          <w:sz w:val="32"/>
          <w:szCs w:val="32"/>
        </w:rPr>
        <w:t>%；上缴上级支出0万元，占0%；经营支出0万元，占0%；对附属单位补助支出0万元，占0%。</w:t>
      </w:r>
    </w:p>
    <w:p>
      <w:pPr>
        <w:pStyle w:val="127"/>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127"/>
        <w:ind w:firstLine="640" w:firstLineChars="200"/>
        <w:rPr>
          <w:rFonts w:ascii="仿宋" w:hAnsi="仿宋" w:eastAsia="仿宋" w:cs="Times New Roman"/>
          <w:sz w:val="32"/>
          <w:szCs w:val="32"/>
        </w:rPr>
      </w:pPr>
      <w:r>
        <w:rPr>
          <w:rFonts w:ascii="仿宋" w:hAnsi="仿宋" w:eastAsia="仿宋" w:cs="宋体"/>
          <w:sz w:val="32"/>
          <w:szCs w:val="32"/>
        </w:rPr>
        <w:t>202</w:t>
      </w:r>
      <w:r>
        <w:rPr>
          <w:rFonts w:hint="eastAsia" w:ascii="仿宋" w:hAnsi="仿宋" w:eastAsia="仿宋" w:cs="宋体"/>
          <w:sz w:val="32"/>
          <w:szCs w:val="32"/>
          <w:lang w:val="en-US" w:eastAsia="zh-CN"/>
        </w:rPr>
        <w:t>1</w:t>
      </w:r>
      <w:r>
        <w:rPr>
          <w:rFonts w:hint="eastAsia" w:ascii="仿宋" w:hAnsi="仿宋" w:eastAsia="仿宋" w:cs="宋体"/>
          <w:sz w:val="32"/>
          <w:szCs w:val="32"/>
        </w:rPr>
        <w:t>年度“三公”经费财政拨款支出决算中，公务接待费支出决算</w:t>
      </w:r>
      <w:r>
        <w:rPr>
          <w:rFonts w:hint="eastAsia" w:ascii="仿宋" w:hAnsi="仿宋" w:eastAsia="仿宋" w:cs="宋体"/>
          <w:sz w:val="32"/>
          <w:szCs w:val="32"/>
          <w:lang w:val="en-US" w:eastAsia="zh-CN"/>
        </w:rPr>
        <w:t>12</w:t>
      </w:r>
      <w:r>
        <w:rPr>
          <w:rFonts w:hint="eastAsia" w:ascii="仿宋" w:hAnsi="仿宋" w:eastAsia="仿宋" w:cs="宋体"/>
          <w:sz w:val="32"/>
          <w:szCs w:val="32"/>
        </w:rPr>
        <w:t>万元，占</w:t>
      </w:r>
      <w:r>
        <w:rPr>
          <w:rFonts w:hint="eastAsia" w:ascii="仿宋" w:hAnsi="仿宋" w:eastAsia="仿宋" w:cs="宋体"/>
          <w:sz w:val="32"/>
          <w:szCs w:val="32"/>
          <w:lang w:val="en-US" w:eastAsia="zh-CN"/>
        </w:rPr>
        <w:t>96</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因公出国（境）费支出决算0万元，占0</w:t>
      </w:r>
      <w:r>
        <w:rPr>
          <w:rFonts w:ascii="仿宋" w:hAnsi="仿宋" w:eastAsia="仿宋" w:cs="宋体"/>
          <w:sz w:val="32"/>
          <w:szCs w:val="32"/>
        </w:rPr>
        <w:t>%,</w:t>
      </w:r>
      <w:r>
        <w:rPr>
          <w:rFonts w:hint="eastAsia" w:ascii="仿宋" w:hAnsi="仿宋" w:eastAsia="仿宋" w:cs="宋体"/>
          <w:sz w:val="32"/>
          <w:szCs w:val="32"/>
        </w:rPr>
        <w:t>公务用车购置费及运行维护费支出决算0.5万元，占</w:t>
      </w:r>
      <w:r>
        <w:rPr>
          <w:rFonts w:hint="eastAsia" w:ascii="仿宋" w:hAnsi="仿宋" w:eastAsia="仿宋" w:cs="宋体"/>
          <w:sz w:val="32"/>
          <w:szCs w:val="32"/>
          <w:lang w:val="en-US" w:eastAsia="zh-CN"/>
        </w:rPr>
        <w:t>4</w:t>
      </w:r>
      <w:r>
        <w:rPr>
          <w:rFonts w:hint="eastAsia" w:ascii="仿宋" w:hAnsi="仿宋" w:eastAsia="仿宋" w:cs="宋体"/>
          <w:sz w:val="32"/>
          <w:szCs w:val="32"/>
        </w:rPr>
        <w:t>%。其中：</w:t>
      </w:r>
    </w:p>
    <w:p>
      <w:pPr>
        <w:pStyle w:val="127"/>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宋体"/>
          <w:sz w:val="32"/>
          <w:szCs w:val="32"/>
        </w:rPr>
        <w:t>1</w:t>
      </w:r>
      <w:r>
        <w:rPr>
          <w:rFonts w:hint="eastAsia" w:ascii="仿宋" w:hAnsi="仿宋" w:eastAsia="仿宋" w:cs="宋体"/>
          <w:sz w:val="32"/>
          <w:szCs w:val="32"/>
        </w:rPr>
        <w:t>、因公出国（境）费支出决算为0万元，全年安排因公出国（境）团组0个，累计0人次</w:t>
      </w:r>
      <w:r>
        <w:rPr>
          <w:rFonts w:hint="eastAsia" w:ascii="仿宋" w:hAnsi="仿宋" w:eastAsia="仿宋" w:cs="宋体"/>
          <w:i/>
          <w:iCs/>
          <w:color w:val="000000" w:themeColor="text1"/>
          <w:sz w:val="32"/>
          <w:szCs w:val="32"/>
          <w14:textFill>
            <w14:solidFill>
              <w14:schemeClr w14:val="tx1"/>
            </w14:solidFill>
          </w14:textFill>
        </w:rPr>
        <w:t>。</w:t>
      </w:r>
    </w:p>
    <w:p>
      <w:pPr>
        <w:ind w:firstLine="800" w:firstLineChars="250"/>
        <w:rPr>
          <w:rFonts w:hint="eastAsia"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、公务接待费支出决算为</w:t>
      </w:r>
      <w:r>
        <w:rPr>
          <w:rFonts w:hint="eastAsia" w:ascii="仿宋" w:hAnsi="仿宋" w:eastAsia="仿宋" w:cs="宋体"/>
          <w:sz w:val="32"/>
          <w:szCs w:val="32"/>
          <w:lang w:val="en-US" w:eastAsia="zh-CN"/>
        </w:rPr>
        <w:t>12</w:t>
      </w:r>
      <w:r>
        <w:rPr>
          <w:rFonts w:hint="eastAsia" w:ascii="仿宋" w:hAnsi="仿宋" w:eastAsia="仿宋" w:cs="宋体"/>
          <w:sz w:val="32"/>
          <w:szCs w:val="32"/>
        </w:rPr>
        <w:t>万元，全年共接待来访团组</w:t>
      </w:r>
      <w:r>
        <w:rPr>
          <w:rFonts w:hint="eastAsia" w:ascii="仿宋" w:hAnsi="仿宋" w:eastAsia="仿宋" w:cs="宋体"/>
          <w:sz w:val="32"/>
          <w:szCs w:val="32"/>
          <w:lang w:val="en-US" w:eastAsia="zh-CN"/>
        </w:rPr>
        <w:t>400</w:t>
      </w:r>
      <w:r>
        <w:rPr>
          <w:rFonts w:hint="eastAsia" w:ascii="仿宋" w:hAnsi="仿宋" w:eastAsia="仿宋" w:cs="宋体"/>
          <w:sz w:val="32"/>
          <w:szCs w:val="32"/>
        </w:rPr>
        <w:t>个，来宾</w:t>
      </w:r>
      <w:r>
        <w:rPr>
          <w:rFonts w:hint="eastAsia" w:ascii="仿宋" w:hAnsi="仿宋" w:eastAsia="仿宋" w:cs="宋体"/>
          <w:sz w:val="32"/>
          <w:szCs w:val="32"/>
          <w:lang w:val="en-US" w:eastAsia="zh-CN"/>
        </w:rPr>
        <w:t>1450</w:t>
      </w:r>
      <w:r>
        <w:rPr>
          <w:rFonts w:hint="eastAsia" w:ascii="仿宋" w:hAnsi="仿宋" w:eastAsia="仿宋" w:cs="宋体"/>
          <w:sz w:val="32"/>
          <w:szCs w:val="32"/>
        </w:rPr>
        <w:t>人次，主要</w:t>
      </w:r>
      <w:r>
        <w:rPr>
          <w:rFonts w:hint="eastAsia" w:ascii="仿宋" w:hAnsi="仿宋" w:eastAsia="仿宋" w:cs="宋体"/>
          <w:sz w:val="32"/>
          <w:szCs w:val="32"/>
          <w:lang w:eastAsia="zh-CN"/>
        </w:rPr>
        <w:t>是</w:t>
      </w:r>
      <w:r>
        <w:rPr>
          <w:rFonts w:hint="eastAsia" w:ascii="仿宋" w:hAnsi="仿宋" w:eastAsia="仿宋" w:cs="宋体"/>
          <w:sz w:val="32"/>
          <w:szCs w:val="32"/>
        </w:rPr>
        <w:t>乡村振兴、人居环境整治等工作的督查督导及其他发生的接待支出。</w:t>
      </w:r>
    </w:p>
    <w:p>
      <w:pPr>
        <w:ind w:firstLine="800" w:firstLineChars="250"/>
        <w:rPr>
          <w:rFonts w:ascii="仿宋" w:hAnsi="仿宋" w:eastAsia="仿宋"/>
          <w:color w:val="000000"/>
          <w:kern w:val="0"/>
          <w:sz w:val="32"/>
          <w:szCs w:val="32"/>
        </w:rPr>
      </w:pPr>
      <w:r>
        <w:rPr>
          <w:rFonts w:ascii="仿宋" w:hAnsi="仿宋" w:eastAsia="仿宋" w:cs="宋体"/>
          <w:sz w:val="32"/>
          <w:szCs w:val="32"/>
        </w:rPr>
        <w:t>3</w:t>
      </w:r>
      <w:r>
        <w:rPr>
          <w:rFonts w:hint="eastAsia" w:ascii="仿宋" w:hAnsi="仿宋" w:eastAsia="仿宋" w:cs="宋体"/>
          <w:sz w:val="32"/>
          <w:szCs w:val="32"/>
        </w:rPr>
        <w:t>、公务用车购置费及运行维护费支出决算为</w:t>
      </w:r>
      <w:r>
        <w:rPr>
          <w:rFonts w:hint="eastAsia" w:ascii="仿宋" w:hAnsi="仿宋" w:eastAsia="仿宋" w:cs="宋体"/>
          <w:sz w:val="32"/>
          <w:szCs w:val="32"/>
          <w:lang w:val="en-US" w:eastAsia="zh-CN"/>
        </w:rPr>
        <w:t>0.5</w:t>
      </w:r>
      <w:r>
        <w:rPr>
          <w:rFonts w:hint="eastAsia" w:ascii="仿宋" w:hAnsi="仿宋" w:eastAsia="仿宋" w:cs="宋体"/>
          <w:sz w:val="32"/>
          <w:szCs w:val="32"/>
        </w:rPr>
        <w:t>万元，其中：公务用车购置费0万元，单位本级更新公务用车0辆</w:t>
      </w:r>
      <w:r>
        <w:rPr>
          <w:rFonts w:hint="eastAsia" w:ascii="仿宋" w:hAnsi="仿宋" w:eastAsia="仿宋" w:cs="宋体"/>
          <w:color w:val="000000"/>
          <w:sz w:val="32"/>
          <w:szCs w:val="32"/>
        </w:rPr>
        <w:t>。</w:t>
      </w:r>
      <w:r>
        <w:rPr>
          <w:rFonts w:hint="eastAsia" w:ascii="仿宋" w:hAnsi="仿宋" w:eastAsia="仿宋" w:cs="宋体"/>
          <w:sz w:val="32"/>
          <w:szCs w:val="32"/>
        </w:rPr>
        <w:t>公务用车运行维护费0.5万元。截止</w:t>
      </w:r>
      <w:r>
        <w:rPr>
          <w:rFonts w:ascii="仿宋" w:hAnsi="仿宋" w:eastAsia="仿宋" w:cs="宋体"/>
          <w:sz w:val="32"/>
          <w:szCs w:val="32"/>
        </w:rPr>
        <w:t>202</w:t>
      </w:r>
      <w:r>
        <w:rPr>
          <w:rFonts w:hint="eastAsia" w:ascii="仿宋" w:hAnsi="仿宋" w:eastAsia="仿宋" w:cs="宋体"/>
          <w:sz w:val="32"/>
          <w:szCs w:val="32"/>
          <w:lang w:val="en-US" w:eastAsia="zh-CN"/>
        </w:rPr>
        <w:t>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日，我单位开支财政拨款的公务用车保有量为1辆。</w:t>
      </w:r>
    </w:p>
    <w:p>
      <w:pPr>
        <w:widowControl/>
        <w:ind w:firstLine="640" w:firstLineChars="20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pStyle w:val="127"/>
        <w:ind w:firstLine="640" w:firstLineChars="200"/>
        <w:jc w:val="both"/>
        <w:rPr>
          <w:rFonts w:hint="eastAsia" w:ascii="仿宋" w:hAnsi="仿宋" w:eastAsia="仿宋_GB2312"/>
          <w:sz w:val="32"/>
          <w:szCs w:val="32"/>
          <w:lang w:eastAsia="zh-CN"/>
        </w:rPr>
      </w:pPr>
      <w:r>
        <w:rPr>
          <w:rFonts w:hint="eastAsia" w:ascii="仿宋" w:hAnsi="仿宋" w:eastAsia="仿宋"/>
          <w:sz w:val="32"/>
          <w:szCs w:val="32"/>
        </w:rPr>
        <w:t>1、改善人居环境，发展生态经济。围绕“生态如东·美丽湖乡”发展思路：一是改善人居环境。实行每月人居环境交叉检查，全面落实月评季奖</w:t>
      </w:r>
      <w:r>
        <w:rPr>
          <w:rFonts w:hint="eastAsia" w:ascii="仿宋" w:hAnsi="仿宋" w:eastAsia="仿宋"/>
          <w:sz w:val="32"/>
          <w:szCs w:val="32"/>
          <w:lang w:eastAsia="zh-CN"/>
        </w:rPr>
        <w:t>。二是打造幸福屋场，</w:t>
      </w:r>
      <w:r>
        <w:rPr>
          <w:rFonts w:hint="eastAsia" w:eastAsia="仿宋_GB2312"/>
          <w:sz w:val="32"/>
          <w:szCs w:val="32"/>
        </w:rPr>
        <w:t>举办开展县委、县政府主导的乡村振兴现场会</w:t>
      </w:r>
      <w:r>
        <w:rPr>
          <w:rFonts w:hint="eastAsia" w:eastAsia="仿宋_GB2312"/>
          <w:sz w:val="32"/>
          <w:szCs w:val="32"/>
          <w:lang w:eastAsia="zh-CN"/>
        </w:rPr>
        <w:t>。三是发展生态产业。加强示范引领，以连片示范为引领，快速推动产业面积扩大。稳定发展粮棉油等传统产业，</w:t>
      </w:r>
      <w:r>
        <w:rPr>
          <w:rFonts w:eastAsia="仿宋_GB2312"/>
          <w:sz w:val="32"/>
          <w:szCs w:val="32"/>
        </w:rPr>
        <w:t>保障技术培训</w:t>
      </w:r>
      <w:r>
        <w:rPr>
          <w:rFonts w:hint="eastAsia" w:eastAsia="仿宋_GB2312"/>
          <w:sz w:val="32"/>
          <w:szCs w:val="32"/>
          <w:lang w:eastAsia="zh-CN"/>
        </w:rPr>
        <w:t>，培训内容以葡萄、柑橘、湘莲、优质稻等高产栽培技术为主，对提高农民种植水平，增加收入，改善群众生活起到了科技致富作用。落实惠民政策，为了提高惠农补贴工作，积极组织各村干部，认真逐户落实，做到不多报、不瞒报、也不漏报，做到群众满意，基本完成地力补贴及稻谷差价补贴工作。</w:t>
      </w:r>
    </w:p>
    <w:p>
      <w:pPr>
        <w:widowControl/>
        <w:snapToGrid w:val="0"/>
        <w:spacing w:line="560" w:lineRule="exact"/>
        <w:ind w:firstLine="640" w:firstLineChars="200"/>
        <w:outlineLvl w:val="2"/>
        <w:rPr>
          <w:rFonts w:hint="eastAsia" w:eastAsia="仿宋_GB2312"/>
          <w:sz w:val="32"/>
          <w:szCs w:val="32"/>
          <w:lang w:eastAsia="zh-CN"/>
        </w:rPr>
      </w:pPr>
      <w:r>
        <w:rPr>
          <w:rFonts w:hint="eastAsia" w:ascii="仿宋" w:hAnsi="仿宋" w:eastAsia="仿宋"/>
          <w:sz w:val="32"/>
          <w:szCs w:val="32"/>
        </w:rPr>
        <w:t>2、促进民生实事，提升民生福祉。</w:t>
      </w:r>
      <w:r>
        <w:rPr>
          <w:rFonts w:eastAsia="仿宋_GB2312"/>
          <w:sz w:val="32"/>
          <w:szCs w:val="32"/>
        </w:rPr>
        <w:t>坚持以建党100周年维稳为主线，全力维护社会大局稳定。用好“雪亮工程”，把安全隐患消灭在萌芽状态，做好日常维护，加强平台管理。加强矛盾纠纷排查化解，严格落实“五包一”制度，做好重点群体信访维稳工作，守住进京上访红线</w:t>
      </w:r>
      <w:r>
        <w:rPr>
          <w:rFonts w:hint="eastAsia" w:eastAsia="仿宋_GB2312"/>
          <w:sz w:val="32"/>
          <w:szCs w:val="32"/>
          <w:lang w:eastAsia="zh-CN"/>
        </w:rPr>
        <w:t>。同时</w:t>
      </w:r>
      <w:r>
        <w:rPr>
          <w:rFonts w:eastAsia="仿宋_GB2312"/>
          <w:sz w:val="32"/>
          <w:szCs w:val="32"/>
        </w:rPr>
        <w:t>坚持不懈抓实抓细疫情防控，抓好重点地区返澧人员摸排，做好管控措施，督促重点场所实施“三查”防控，</w:t>
      </w:r>
      <w:r>
        <w:rPr>
          <w:rFonts w:hint="eastAsia" w:eastAsia="仿宋_GB2312"/>
          <w:sz w:val="32"/>
          <w:szCs w:val="32"/>
        </w:rPr>
        <w:t>对</w:t>
      </w:r>
      <w:r>
        <w:rPr>
          <w:rFonts w:eastAsia="仿宋_GB2312"/>
          <w:sz w:val="32"/>
          <w:szCs w:val="32"/>
        </w:rPr>
        <w:t>入境及中高风险地区返乡人员做好精准排查，并按照防疫要求进行核酸检测和人员隔离。按要求有序进行</w:t>
      </w:r>
      <w:r>
        <w:rPr>
          <w:rFonts w:hint="eastAsia" w:eastAsia="仿宋_GB2312"/>
          <w:sz w:val="32"/>
          <w:szCs w:val="32"/>
        </w:rPr>
        <w:t>各年龄段的</w:t>
      </w:r>
      <w:r>
        <w:rPr>
          <w:rFonts w:eastAsia="仿宋_GB2312"/>
          <w:sz w:val="32"/>
          <w:szCs w:val="32"/>
        </w:rPr>
        <w:t>疫苗接种工作，做到应接尽接</w:t>
      </w:r>
      <w:r>
        <w:rPr>
          <w:rFonts w:hint="eastAsia" w:eastAsia="仿宋_GB2312"/>
          <w:sz w:val="32"/>
          <w:szCs w:val="32"/>
        </w:rPr>
        <w:t>，较好完成了我镇全年</w:t>
      </w:r>
      <w:r>
        <w:rPr>
          <w:rFonts w:eastAsia="仿宋_GB2312"/>
          <w:sz w:val="32"/>
          <w:szCs w:val="32"/>
        </w:rPr>
        <w:t>疫苗接种任务。</w:t>
      </w:r>
    </w:p>
    <w:p>
      <w:pPr>
        <w:ind w:firstLine="640" w:firstLineChars="200"/>
        <w:rPr>
          <w:rFonts w:ascii="仿宋" w:hAnsi="仿宋" w:eastAsia="仿宋" w:cs="仿宋"/>
          <w:color w:val="000000"/>
          <w:sz w:val="32"/>
          <w:szCs w:val="32"/>
        </w:rPr>
      </w:pPr>
      <w:r>
        <w:rPr>
          <w:rFonts w:hint="eastAsia" w:ascii="仿宋" w:hAnsi="仿宋" w:eastAsia="仿宋"/>
          <w:sz w:val="32"/>
          <w:szCs w:val="32"/>
        </w:rPr>
        <w:t>3、</w:t>
      </w:r>
      <w:r>
        <w:rPr>
          <w:rFonts w:hint="eastAsia" w:ascii="仿宋" w:hAnsi="仿宋" w:eastAsia="仿宋" w:cs="仿宋"/>
          <w:color w:val="000000"/>
          <w:sz w:val="32"/>
          <w:szCs w:val="32"/>
        </w:rPr>
        <w:t>落实主体责任，形成工作合力。按照“谁主管、谁使用、谁负责”的原则，强化预算部门绩效管理的主体责任，将绩效目标、绩效监控、部门自评等绩效工具，作为提高资金使用效益的重要抓手;财政部门通过检查、督促、重点评价等方式进行监督管理。为了提高财政重点绩效评价的质量，我们将继续邀请部分专业领域的人大代表和政协委员共同参与,合谋共评。</w:t>
      </w:r>
    </w:p>
    <w:p>
      <w:pPr>
        <w:widowControl/>
        <w:ind w:left="638" w:leftChars="304"/>
        <w:rPr>
          <w:rFonts w:hint="eastAsia" w:ascii="仿宋" w:hAnsi="仿宋" w:eastAsia="仿宋"/>
          <w:sz w:val="32"/>
          <w:szCs w:val="32"/>
        </w:rPr>
      </w:pPr>
      <w:r>
        <w:rPr>
          <w:rFonts w:hint="eastAsia" w:ascii="仿宋" w:hAnsi="仿宋" w:eastAsia="仿宋"/>
          <w:sz w:val="32"/>
          <w:szCs w:val="32"/>
        </w:rPr>
        <w:t>4、加强财政管理，着力提高保障水平。</w:t>
      </w:r>
    </w:p>
    <w:p>
      <w:pPr>
        <w:widowControl/>
        <w:rPr>
          <w:rFonts w:hint="eastAsia" w:ascii="仿宋" w:hAnsi="仿宋" w:eastAsia="仿宋"/>
          <w:sz w:val="32"/>
          <w:szCs w:val="32"/>
        </w:rPr>
      </w:pPr>
      <w:r>
        <w:rPr>
          <w:rFonts w:hint="eastAsia" w:ascii="仿宋" w:hAnsi="仿宋" w:eastAsia="仿宋"/>
          <w:sz w:val="32"/>
          <w:szCs w:val="32"/>
        </w:rPr>
        <w:t>紧紧围绕财政目标任务，进一步提高财政管理水平,克服组织收入过程中的一切困难，确保完成年度目标任务，同时挖掘非税收入潜力，规范非税收入管理；切实调整优化支出结构，努力解决好事关人民群众切身利益和社会稳定的突出问题。</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根据绩效评价的要求，我单位领导高度重视，成立了自评工作领导小组，由单位领导任组长，相关股室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spacing w:line="576" w:lineRule="exact"/>
        <w:ind w:firstLine="640" w:firstLineChars="200"/>
        <w:rPr>
          <w:rFonts w:hint="eastAsia" w:ascii="仿宋" w:hAnsi="仿宋" w:eastAsia="仿宋" w:cs="楷体"/>
          <w:color w:val="000000" w:themeColor="text1"/>
          <w:sz w:val="32"/>
          <w:szCs w:val="32"/>
          <w:lang w:eastAsia="zh-CN"/>
          <w14:textFill>
            <w14:solidFill>
              <w14:schemeClr w14:val="tx1"/>
            </w14:solidFill>
          </w14:textFill>
        </w:rPr>
      </w:pPr>
      <w:r>
        <w:rPr>
          <w:rFonts w:hint="eastAsia" w:ascii="仿宋" w:hAnsi="仿宋" w:eastAsia="仿宋" w:cs="楷体"/>
          <w:color w:val="000000" w:themeColor="text1"/>
          <w:sz w:val="32"/>
          <w:szCs w:val="32"/>
          <w14:textFill>
            <w14:solidFill>
              <w14:schemeClr w14:val="tx1"/>
            </w14:solidFill>
          </w14:textFill>
        </w:rPr>
        <w:t>(一)推进农业规模化发展</w:t>
      </w:r>
      <w:r>
        <w:rPr>
          <w:rFonts w:hint="eastAsia" w:ascii="仿宋" w:hAnsi="仿宋" w:eastAsia="仿宋" w:cs="楷体"/>
          <w:color w:val="000000" w:themeColor="text1"/>
          <w:sz w:val="32"/>
          <w:szCs w:val="32"/>
          <w:lang w:eastAsia="zh-CN"/>
          <w14:textFill>
            <w14:solidFill>
              <w14:schemeClr w14:val="tx1"/>
            </w14:solidFill>
          </w14:textFill>
        </w:rPr>
        <w:t>，改善人居环境</w:t>
      </w:r>
    </w:p>
    <w:p>
      <w:pPr>
        <w:spacing w:line="576" w:lineRule="exact"/>
        <w:ind w:firstLine="640" w:firstLineChars="200"/>
        <w:rPr>
          <w:rFonts w:hint="eastAsia" w:eastAsia="仿宋_GB2312"/>
          <w:sz w:val="32"/>
          <w:szCs w:val="32"/>
          <w:lang w:eastAsia="zh-CN"/>
        </w:rPr>
      </w:pPr>
      <w:r>
        <w:rPr>
          <w:rFonts w:hint="eastAsia" w:eastAsia="仿宋_GB2312"/>
          <w:sz w:val="32"/>
          <w:szCs w:val="32"/>
          <w:lang w:eastAsia="zh-CN"/>
        </w:rPr>
        <w:t>一是</w:t>
      </w:r>
      <w:r>
        <w:rPr>
          <w:rFonts w:eastAsia="仿宋_GB2312"/>
          <w:sz w:val="32"/>
          <w:szCs w:val="32"/>
        </w:rPr>
        <w:t>稳定发展粮棉油等传统产业，完成早稻任务1.3万亩，集中育秧4500亩，办好双季稻镇级3个千亩示范点、各村300亩示范点，建设千亩棉油轮作示范项目，促进全镇油菜生产。积极发展特色高效产业，新扩阳光玫瑰1339亩，新扩桔柚1130亩，将湘莲全部换种成太空莲36号。保障技术培训，全镇共举办农业技术培训</w:t>
      </w:r>
      <w:r>
        <w:rPr>
          <w:rFonts w:hint="eastAsia" w:eastAsia="仿宋_GB2312"/>
          <w:sz w:val="32"/>
          <w:szCs w:val="32"/>
        </w:rPr>
        <w:t>5</w:t>
      </w:r>
      <w:r>
        <w:rPr>
          <w:rFonts w:eastAsia="仿宋_GB2312"/>
          <w:sz w:val="32"/>
          <w:szCs w:val="32"/>
        </w:rPr>
        <w:t>次，村级培训1</w:t>
      </w:r>
      <w:r>
        <w:rPr>
          <w:rFonts w:hint="eastAsia" w:eastAsia="仿宋_GB2312"/>
          <w:sz w:val="32"/>
          <w:szCs w:val="32"/>
        </w:rPr>
        <w:t>6</w:t>
      </w:r>
      <w:r>
        <w:rPr>
          <w:rFonts w:eastAsia="仿宋_GB2312"/>
          <w:sz w:val="32"/>
          <w:szCs w:val="32"/>
        </w:rPr>
        <w:t>次，并利用广播等工具宣传多次，培训人数达到</w:t>
      </w:r>
      <w:r>
        <w:rPr>
          <w:rFonts w:hint="eastAsia" w:eastAsia="仿宋_GB2312"/>
          <w:sz w:val="32"/>
          <w:szCs w:val="32"/>
        </w:rPr>
        <w:t>8</w:t>
      </w:r>
      <w:r>
        <w:rPr>
          <w:rFonts w:eastAsia="仿宋_GB2312"/>
          <w:sz w:val="32"/>
          <w:szCs w:val="32"/>
        </w:rPr>
        <w:t>000人次，发放各种技术宣传资料</w:t>
      </w:r>
      <w:r>
        <w:rPr>
          <w:rFonts w:hint="eastAsia" w:eastAsia="仿宋_GB2312"/>
          <w:sz w:val="32"/>
          <w:szCs w:val="32"/>
        </w:rPr>
        <w:t>7</w:t>
      </w:r>
      <w:r>
        <w:rPr>
          <w:rFonts w:eastAsia="仿宋_GB2312"/>
          <w:sz w:val="32"/>
          <w:szCs w:val="32"/>
        </w:rPr>
        <w:t>000余份</w:t>
      </w:r>
      <w:r>
        <w:rPr>
          <w:rFonts w:hint="eastAsia" w:eastAsia="仿宋_GB2312"/>
          <w:sz w:val="32"/>
          <w:szCs w:val="32"/>
          <w:lang w:eastAsia="zh-CN"/>
        </w:rPr>
        <w:t>。二是围绕“生态如东·美丽湖乡”发展思路：一是改善人居环境。2021年，全镇共发放宣传资料20000余份，召开屋场会150余场。沟渠扫障60多公里，疏浚清淤16000余米，拆除空心房40余间，乱搭乱建85余处，清理广告牌20余个、墙体广告300余处</w:t>
      </w:r>
    </w:p>
    <w:p>
      <w:pPr>
        <w:numPr>
          <w:ilvl w:val="0"/>
          <w:numId w:val="1"/>
        </w:numPr>
        <w:spacing w:line="576"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巩固脱贫成果，助推乡村振兴</w:t>
      </w:r>
    </w:p>
    <w:p>
      <w:pPr>
        <w:spacing w:line="560" w:lineRule="exact"/>
        <w:ind w:firstLine="640" w:firstLineChars="200"/>
        <w:rPr>
          <w:rFonts w:eastAsia="仿宋_GB2312"/>
          <w:sz w:val="32"/>
          <w:szCs w:val="32"/>
        </w:rPr>
      </w:pPr>
      <w:r>
        <w:rPr>
          <w:rFonts w:eastAsia="仿宋_GB2312"/>
          <w:bCs/>
          <w:sz w:val="32"/>
          <w:szCs w:val="32"/>
        </w:rPr>
        <w:t>全镇共有市县派工作队4</w:t>
      </w:r>
      <w:r>
        <w:rPr>
          <w:rFonts w:eastAsia="仿宋_GB2312"/>
          <w:sz w:val="32"/>
          <w:szCs w:val="32"/>
        </w:rPr>
        <w:t>支</w:t>
      </w:r>
      <w:r>
        <w:rPr>
          <w:rFonts w:eastAsia="仿宋_GB2312"/>
          <w:bCs/>
          <w:sz w:val="32"/>
          <w:szCs w:val="32"/>
        </w:rPr>
        <w:t>（传讯、长福、枫林、永镇），</w:t>
      </w:r>
      <w:r>
        <w:rPr>
          <w:rFonts w:eastAsia="仿宋_GB2312"/>
          <w:sz w:val="32"/>
          <w:szCs w:val="32"/>
        </w:rPr>
        <w:t>落实了结对帮扶</w:t>
      </w:r>
      <w:r>
        <w:rPr>
          <w:rFonts w:eastAsia="仿宋_GB2312"/>
          <w:sz w:val="30"/>
          <w:szCs w:val="30"/>
        </w:rPr>
        <w:t>全覆盖</w:t>
      </w:r>
      <w:r>
        <w:rPr>
          <w:rFonts w:eastAsia="仿宋_GB2312"/>
          <w:sz w:val="32"/>
          <w:szCs w:val="32"/>
        </w:rPr>
        <w:t>。脱贫户享受一类兜底44户97人，二、三类兜底368户514人，安饮、医疗、教育、就业等政策已全覆盖落实。产业扶贫主要是围绕扶持新型经营主体，拓展利益联结，带动贫困户增收。交通、水利、电力等涉及群众切身利益的基础设施建设项目，在上级支持下也已逐渐完善。</w:t>
      </w:r>
    </w:p>
    <w:p>
      <w:pPr>
        <w:spacing w:line="576" w:lineRule="exact"/>
        <w:ind w:firstLine="640" w:firstLineChars="200"/>
        <w:rPr>
          <w:rFonts w:ascii="仿宋" w:hAnsi="仿宋" w:eastAsia="仿宋" w:cs="楷体"/>
          <w:color w:val="000000" w:themeColor="text1"/>
          <w:sz w:val="32"/>
          <w:szCs w:val="32"/>
          <w14:textFill>
            <w14:solidFill>
              <w14:schemeClr w14:val="tx1"/>
            </w14:solidFill>
          </w14:textFill>
        </w:rPr>
      </w:pPr>
      <w:r>
        <w:rPr>
          <w:rFonts w:hint="eastAsia" w:ascii="仿宋" w:hAnsi="仿宋" w:eastAsia="仿宋" w:cs="楷体"/>
          <w:color w:val="000000" w:themeColor="text1"/>
          <w:sz w:val="32"/>
          <w:szCs w:val="32"/>
          <w14:textFill>
            <w14:solidFill>
              <w14:schemeClr w14:val="tx1"/>
            </w14:solidFill>
          </w14:textFill>
        </w:rPr>
        <w:t>（三）维护安全稳定，狠抓社会治理</w:t>
      </w:r>
    </w:p>
    <w:p>
      <w:pPr>
        <w:widowControl/>
        <w:spacing w:line="560" w:lineRule="exact"/>
        <w:ind w:firstLine="640" w:firstLineChars="200"/>
        <w:rPr>
          <w:rFonts w:ascii="仿宋_GB2312" w:hAnsi="Calibri" w:eastAsia="仿宋_GB2312" w:cs="宋体"/>
          <w:color w:val="000000"/>
          <w:kern w:val="0"/>
          <w:sz w:val="32"/>
          <w:szCs w:val="32"/>
        </w:rPr>
      </w:pPr>
      <w:r>
        <w:rPr>
          <w:rFonts w:eastAsia="仿宋_GB2312"/>
          <w:sz w:val="32"/>
          <w:szCs w:val="32"/>
        </w:rPr>
        <w:t>落实安全生产“一岗双责”，班子成员每月带队排查隐患，无安全生产事故发生，</w:t>
      </w:r>
      <w:r>
        <w:rPr>
          <w:rFonts w:eastAsia="仿宋_GB2312"/>
          <w:sz w:val="32"/>
          <w:szCs w:val="32"/>
          <w:shd w:val="clear" w:color="auto" w:fill="FFFFFF"/>
        </w:rPr>
        <w:t>召开了安全生产工作会议5次，制定下发了《如东镇2021年党政负责人、镇直单位安全生产责任清单》《企业安全生产包保责任表》《如东镇“查隐患、防事故、庆七一、保安全”大排查大整治工作清单》等一系列文件10余份 ，组织开展专项检查3次，排查整改隐患问题32个。</w:t>
      </w:r>
      <w:r>
        <w:rPr>
          <w:rFonts w:eastAsia="仿宋_GB2312"/>
          <w:sz w:val="32"/>
          <w:szCs w:val="32"/>
        </w:rPr>
        <w:t>深入开展平安建设、信访维稳工作。切实按照“属地管理、谁主管谁负责”原则，压实责任，靠前化解矛盾纠纷，坚持党政负责人包案处理突出信访，落实“三到位一处理”。</w:t>
      </w:r>
    </w:p>
    <w:p>
      <w:pPr>
        <w:spacing w:line="576" w:lineRule="exact"/>
        <w:ind w:firstLine="640" w:firstLineChars="200"/>
        <w:rPr>
          <w:rFonts w:ascii="仿宋" w:hAnsi="仿宋" w:eastAsia="仿宋" w:cs="楷体"/>
          <w:color w:val="000000" w:themeColor="text1"/>
          <w:sz w:val="32"/>
          <w:szCs w:val="32"/>
          <w14:textFill>
            <w14:solidFill>
              <w14:schemeClr w14:val="tx1"/>
            </w14:solidFill>
          </w14:textFill>
        </w:rPr>
      </w:pPr>
      <w:r>
        <w:rPr>
          <w:rFonts w:hint="eastAsia" w:ascii="仿宋" w:hAnsi="仿宋" w:eastAsia="仿宋" w:cs="楷体"/>
          <w:color w:val="000000" w:themeColor="text1"/>
          <w:sz w:val="32"/>
          <w:szCs w:val="32"/>
          <w14:textFill>
            <w14:solidFill>
              <w14:schemeClr w14:val="tx1"/>
            </w14:solidFill>
          </w14:textFill>
        </w:rPr>
        <w:t>（四）作风建设动真格，保持干部队伍的生机活力</w:t>
      </w:r>
    </w:p>
    <w:p>
      <w:pPr>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重点加强对村社干部日常考核力度，出台《如东镇村（社区）月讲季评年考考核办法》，采取干部分管工作每月一讲评，班子综合工作一季度一考评，年终考核相结合方式，突出考平常、考经常，考评结果作为干部评先评优 、奖惩问责的主要依据，对排名靠后的干部由镇纪委组织进行约谈，视情节程度进行处理，对持续表现不担当、不干事、不作为的按程序予以免职，坚决实行优胜劣汰，让混日子不干事的干部退下去，增强干部干事创业的劲头，促进年轻干部更快成长，提升工作的积极性和主动性。去年来共立案6起，追责问责23人，形成了严抓严惩的高压态势。进一步加强村“两委”班子常态性调整，坚持庸者下能者上劣者汰的原则，对不想事不干事混日子的干部坚决予以免职，对年轻后备干部加强全面培养力度，安排到最困难最有挑战的岗位上进行锻炼，村支部书记要做到“带好头、重培养、强推荐”，坚持成熟一个、使用一个，始终保持干部队伍的生机活力。</w:t>
      </w: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rPr>
          <w:rFonts w:ascii="仿宋" w:hAnsi="仿宋" w:eastAsia="仿宋" w:cs="宋体"/>
          <w:b/>
          <w:bCs/>
          <w:kern w:val="0"/>
          <w:sz w:val="32"/>
          <w:szCs w:val="32"/>
        </w:rPr>
      </w:pPr>
    </w:p>
    <w:p>
      <w:pPr>
        <w:spacing w:line="560" w:lineRule="exact"/>
        <w:ind w:firstLine="2570" w:firstLineChars="800"/>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2"/>
        <w:tblW w:w="10771" w:type="dxa"/>
        <w:jc w:val="center"/>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Layout w:type="fixed"/>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Layout w:type="fixed"/>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1</w:t>
            </w:r>
          </w:p>
        </w:tc>
      </w:tr>
      <w:tr>
        <w:tblPrEx>
          <w:tblLayout w:type="fixed"/>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4</w:t>
            </w:r>
          </w:p>
        </w:tc>
      </w:tr>
      <w:tr>
        <w:tblPrEx>
          <w:tblLayout w:type="fixed"/>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Layout w:type="fixed"/>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Layout w:type="fixed"/>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Layout w:type="fixed"/>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eastAsia="宋体"/>
                <w:kern w:val="0"/>
                <w:sz w:val="24"/>
                <w:szCs w:val="24"/>
                <w:lang w:val="en-US" w:eastAsia="zh-CN"/>
              </w:rPr>
            </w:pPr>
            <w:r>
              <w:rPr>
                <w:rFonts w:hint="eastAsia" w:ascii="宋体" w:hAnsi="宋体" w:cs="宋体"/>
                <w:kern w:val="0"/>
                <w:sz w:val="24"/>
                <w:szCs w:val="24"/>
              </w:rPr>
              <w:t>9</w:t>
            </w:r>
            <w:r>
              <w:rPr>
                <w:rFonts w:hint="eastAsia" w:ascii="宋体" w:hAnsi="宋体" w:cs="宋体"/>
                <w:kern w:val="0"/>
                <w:sz w:val="24"/>
                <w:szCs w:val="24"/>
                <w:lang w:val="en-US" w:eastAsia="zh-CN"/>
              </w:rPr>
              <w:t>0</w:t>
            </w:r>
          </w:p>
        </w:tc>
      </w:tr>
    </w:tbl>
    <w:p>
      <w:pPr>
        <w:spacing w:line="560" w:lineRule="exact"/>
        <w:jc w:val="both"/>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7710"/>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澧县如东镇人民政府</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2"/>
        <w:tblW w:w="10339" w:type="dxa"/>
        <w:jc w:val="center"/>
        <w:tblInd w:w="0" w:type="dxa"/>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Layout w:type="fixed"/>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Layout w:type="fixed"/>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ascii="Times New Roman" w:hAnsi="Times New Roman" w:eastAsia="仿宋_GB2312"/>
                <w:kern w:val="0"/>
                <w:sz w:val="24"/>
              </w:rPr>
              <w:t>　</w:t>
            </w:r>
            <w:r>
              <w:rPr>
                <w:rFonts w:hint="eastAsia" w:ascii="Times New Roman" w:hAnsi="Times New Roman" w:eastAsia="仿宋_GB2312"/>
                <w:kern w:val="0"/>
                <w:sz w:val="24"/>
                <w:lang w:val="en-US" w:eastAsia="zh-CN"/>
              </w:rPr>
              <w:t>94</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69</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73.41</w:t>
            </w:r>
            <w:r>
              <w:rPr>
                <w:rFonts w:hint="eastAsia" w:ascii="Times New Roman" w:hAnsi="Times New Roman" w:eastAsia="仿宋_GB2312"/>
                <w:kern w:val="0"/>
                <w:sz w:val="24"/>
              </w:rPr>
              <w:t>%</w:t>
            </w: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lang w:val="en-US" w:eastAsia="zh-CN"/>
              </w:rPr>
              <w:t>0</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w:t>
            </w:r>
            <w:r>
              <w:rPr>
                <w:rFonts w:hint="eastAsia" w:ascii="Times New Roman" w:hAnsi="Times New Roman" w:eastAsia="仿宋_GB2312"/>
                <w:b/>
                <w:bCs/>
                <w:kern w:val="0"/>
                <w:sz w:val="24"/>
                <w:lang w:val="en-US" w:eastAsia="zh-CN"/>
              </w:rPr>
              <w:t>1</w:t>
            </w:r>
            <w:r>
              <w:rPr>
                <w:rFonts w:ascii="Times New Roman" w:hAnsi="Times New Roman" w:eastAsia="仿宋_GB2312"/>
                <w:b/>
                <w:bCs/>
                <w:kern w:val="0"/>
                <w:sz w:val="24"/>
              </w:rPr>
              <w:t>年决算数</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17.7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12.5</w:t>
            </w: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37"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17.2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17.2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12</w:t>
            </w: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98.96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159.75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115.70</w:t>
            </w:r>
          </w:p>
        </w:tc>
      </w:tr>
      <w:tr>
        <w:tblPrEx>
          <w:tblLayout w:type="fixed"/>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38.86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14.91</w:t>
            </w:r>
          </w:p>
        </w:tc>
      </w:tr>
      <w:tr>
        <w:tblPrEx>
          <w:tblLayout w:type="fixed"/>
          <w:tblCellMar>
            <w:top w:w="0" w:type="dxa"/>
            <w:left w:w="108" w:type="dxa"/>
            <w:bottom w:w="0" w:type="dxa"/>
            <w:right w:w="108" w:type="dxa"/>
          </w:tblCellMar>
        </w:tblPrEx>
        <w:trPr>
          <w:trHeight w:val="355"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24.5</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38.5</w:t>
            </w: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30.76</w:t>
            </w: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0.76</w:t>
            </w: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val="en-US" w:eastAsia="zh-CN"/>
              </w:rPr>
              <w:t>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0.76</w:t>
            </w: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Layout w:type="fixed"/>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w:t>
            </w:r>
            <w:r>
              <w:rPr>
                <w:rFonts w:hint="eastAsia" w:ascii="Times New Roman" w:hAnsi="Times New Roman" w:eastAsia="仿宋_GB2312"/>
                <w:kern w:val="0"/>
                <w:sz w:val="24"/>
                <w:lang w:val="en-US" w:eastAsia="zh-CN"/>
              </w:rPr>
              <w:t>021</w:t>
            </w:r>
            <w:r>
              <w:rPr>
                <w:rFonts w:ascii="Times New Roman" w:hAnsi="Times New Roman" w:eastAsia="仿宋_GB2312"/>
                <w:kern w:val="0"/>
                <w:sz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Layout w:type="fixed"/>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Layout w:type="fixed"/>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5</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DB3"/>
    <w:multiLevelType w:val="singleLevel"/>
    <w:tmpl w:val="3D7A3D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dmY2Y2Mjg4YjQxNGE3NTExMzBiNmEzM2YxYTIifQ=="/>
  </w:docVars>
  <w:rsids>
    <w:rsidRoot w:val="007974AB"/>
    <w:rsid w:val="0000298E"/>
    <w:rsid w:val="00002AE4"/>
    <w:rsid w:val="0002235E"/>
    <w:rsid w:val="0003050A"/>
    <w:rsid w:val="00031747"/>
    <w:rsid w:val="0003456A"/>
    <w:rsid w:val="00037035"/>
    <w:rsid w:val="000469BA"/>
    <w:rsid w:val="000516DC"/>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7BA7"/>
    <w:rsid w:val="001A5697"/>
    <w:rsid w:val="001A64A0"/>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062D8"/>
    <w:rsid w:val="0031038E"/>
    <w:rsid w:val="00312736"/>
    <w:rsid w:val="003134F7"/>
    <w:rsid w:val="00313CA6"/>
    <w:rsid w:val="00317AB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4987"/>
    <w:rsid w:val="00377B71"/>
    <w:rsid w:val="0038212B"/>
    <w:rsid w:val="00383377"/>
    <w:rsid w:val="00383992"/>
    <w:rsid w:val="00383D6A"/>
    <w:rsid w:val="00392B58"/>
    <w:rsid w:val="00394ABB"/>
    <w:rsid w:val="003A4ACA"/>
    <w:rsid w:val="003A7FDD"/>
    <w:rsid w:val="003B23EB"/>
    <w:rsid w:val="003B2F4F"/>
    <w:rsid w:val="003B7FA2"/>
    <w:rsid w:val="003C4907"/>
    <w:rsid w:val="003C523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BC1"/>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B09F8"/>
    <w:rsid w:val="004B4B8D"/>
    <w:rsid w:val="004C10B1"/>
    <w:rsid w:val="004C2AEE"/>
    <w:rsid w:val="004D1BED"/>
    <w:rsid w:val="004D5F90"/>
    <w:rsid w:val="004E1AF5"/>
    <w:rsid w:val="004E2593"/>
    <w:rsid w:val="004E394D"/>
    <w:rsid w:val="004E6235"/>
    <w:rsid w:val="004E6E44"/>
    <w:rsid w:val="004F40BB"/>
    <w:rsid w:val="004F4E0C"/>
    <w:rsid w:val="004F53C1"/>
    <w:rsid w:val="00500075"/>
    <w:rsid w:val="00503CDE"/>
    <w:rsid w:val="00505F55"/>
    <w:rsid w:val="00507BC7"/>
    <w:rsid w:val="00510B86"/>
    <w:rsid w:val="00514E72"/>
    <w:rsid w:val="00525493"/>
    <w:rsid w:val="00536A21"/>
    <w:rsid w:val="005377C3"/>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662C"/>
    <w:rsid w:val="005A6E3C"/>
    <w:rsid w:val="005B537E"/>
    <w:rsid w:val="005B70C2"/>
    <w:rsid w:val="005C1C09"/>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36CF9"/>
    <w:rsid w:val="00640E29"/>
    <w:rsid w:val="006412C9"/>
    <w:rsid w:val="00651EB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6F3485"/>
    <w:rsid w:val="00700CD4"/>
    <w:rsid w:val="00701DF4"/>
    <w:rsid w:val="00704174"/>
    <w:rsid w:val="00704536"/>
    <w:rsid w:val="0071201B"/>
    <w:rsid w:val="00723417"/>
    <w:rsid w:val="00725B1D"/>
    <w:rsid w:val="0073058B"/>
    <w:rsid w:val="007349D4"/>
    <w:rsid w:val="00737891"/>
    <w:rsid w:val="00754120"/>
    <w:rsid w:val="00756B93"/>
    <w:rsid w:val="0076124E"/>
    <w:rsid w:val="00766862"/>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7E67"/>
    <w:rsid w:val="00832102"/>
    <w:rsid w:val="00833FA8"/>
    <w:rsid w:val="0084564C"/>
    <w:rsid w:val="00850144"/>
    <w:rsid w:val="00851F1E"/>
    <w:rsid w:val="00853362"/>
    <w:rsid w:val="008662AB"/>
    <w:rsid w:val="00867DE4"/>
    <w:rsid w:val="00885497"/>
    <w:rsid w:val="008862A7"/>
    <w:rsid w:val="00892869"/>
    <w:rsid w:val="008A3FCC"/>
    <w:rsid w:val="008B03AA"/>
    <w:rsid w:val="008B1FF5"/>
    <w:rsid w:val="008B33CC"/>
    <w:rsid w:val="008B3530"/>
    <w:rsid w:val="008D36D8"/>
    <w:rsid w:val="008D5806"/>
    <w:rsid w:val="008D614F"/>
    <w:rsid w:val="008D7CE8"/>
    <w:rsid w:val="008E6AF7"/>
    <w:rsid w:val="008E7DED"/>
    <w:rsid w:val="008E7F9D"/>
    <w:rsid w:val="008F0E86"/>
    <w:rsid w:val="0090366D"/>
    <w:rsid w:val="00905011"/>
    <w:rsid w:val="00911DD8"/>
    <w:rsid w:val="00917770"/>
    <w:rsid w:val="00917BD6"/>
    <w:rsid w:val="00921D22"/>
    <w:rsid w:val="00921EF0"/>
    <w:rsid w:val="00931AA0"/>
    <w:rsid w:val="00940031"/>
    <w:rsid w:val="0094137E"/>
    <w:rsid w:val="00943B87"/>
    <w:rsid w:val="009442C5"/>
    <w:rsid w:val="0094685F"/>
    <w:rsid w:val="00954435"/>
    <w:rsid w:val="0095529F"/>
    <w:rsid w:val="00956048"/>
    <w:rsid w:val="00961BF1"/>
    <w:rsid w:val="0096338E"/>
    <w:rsid w:val="009709F2"/>
    <w:rsid w:val="00971562"/>
    <w:rsid w:val="0097377E"/>
    <w:rsid w:val="0097487E"/>
    <w:rsid w:val="00977060"/>
    <w:rsid w:val="00980482"/>
    <w:rsid w:val="0098378E"/>
    <w:rsid w:val="00986F29"/>
    <w:rsid w:val="009901AD"/>
    <w:rsid w:val="00991EA4"/>
    <w:rsid w:val="009943A8"/>
    <w:rsid w:val="009947D3"/>
    <w:rsid w:val="009965AB"/>
    <w:rsid w:val="009A55AE"/>
    <w:rsid w:val="009B0D0F"/>
    <w:rsid w:val="009B2AC1"/>
    <w:rsid w:val="009B5011"/>
    <w:rsid w:val="009B5851"/>
    <w:rsid w:val="009C09EB"/>
    <w:rsid w:val="009C406D"/>
    <w:rsid w:val="009C5DDA"/>
    <w:rsid w:val="009D6DA7"/>
    <w:rsid w:val="009E02A8"/>
    <w:rsid w:val="009E265C"/>
    <w:rsid w:val="009E5869"/>
    <w:rsid w:val="009E5A22"/>
    <w:rsid w:val="009F404C"/>
    <w:rsid w:val="00A00330"/>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E82"/>
    <w:rsid w:val="00A949AD"/>
    <w:rsid w:val="00AA1753"/>
    <w:rsid w:val="00AB11DB"/>
    <w:rsid w:val="00AC2C79"/>
    <w:rsid w:val="00AC3596"/>
    <w:rsid w:val="00AC5189"/>
    <w:rsid w:val="00AD0292"/>
    <w:rsid w:val="00AD09F4"/>
    <w:rsid w:val="00AD797A"/>
    <w:rsid w:val="00AE2DA1"/>
    <w:rsid w:val="00AE4204"/>
    <w:rsid w:val="00AE777B"/>
    <w:rsid w:val="00AF02BC"/>
    <w:rsid w:val="00AF1354"/>
    <w:rsid w:val="00B04987"/>
    <w:rsid w:val="00B0551B"/>
    <w:rsid w:val="00B067B2"/>
    <w:rsid w:val="00B07A1C"/>
    <w:rsid w:val="00B07ECC"/>
    <w:rsid w:val="00B12151"/>
    <w:rsid w:val="00B13B33"/>
    <w:rsid w:val="00B13F7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695F"/>
    <w:rsid w:val="00B80C73"/>
    <w:rsid w:val="00B824FB"/>
    <w:rsid w:val="00B8579B"/>
    <w:rsid w:val="00B85D54"/>
    <w:rsid w:val="00B86E61"/>
    <w:rsid w:val="00B90483"/>
    <w:rsid w:val="00B90FCE"/>
    <w:rsid w:val="00B9269A"/>
    <w:rsid w:val="00B93DBC"/>
    <w:rsid w:val="00B97A2C"/>
    <w:rsid w:val="00BA21E0"/>
    <w:rsid w:val="00BA3557"/>
    <w:rsid w:val="00BB02A3"/>
    <w:rsid w:val="00BB0D8B"/>
    <w:rsid w:val="00BB7153"/>
    <w:rsid w:val="00BD1277"/>
    <w:rsid w:val="00BD600A"/>
    <w:rsid w:val="00BD7C07"/>
    <w:rsid w:val="00BE2E9A"/>
    <w:rsid w:val="00BE6894"/>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6085"/>
    <w:rsid w:val="00CD2BBD"/>
    <w:rsid w:val="00CD35A0"/>
    <w:rsid w:val="00CE087F"/>
    <w:rsid w:val="00CE0DAB"/>
    <w:rsid w:val="00CE563D"/>
    <w:rsid w:val="00CE74B5"/>
    <w:rsid w:val="00CF402D"/>
    <w:rsid w:val="00CF75DD"/>
    <w:rsid w:val="00CF7E02"/>
    <w:rsid w:val="00D05ACC"/>
    <w:rsid w:val="00D14CF3"/>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85632"/>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921CA"/>
    <w:rsid w:val="00FA27F4"/>
    <w:rsid w:val="00FA5A76"/>
    <w:rsid w:val="00FB0000"/>
    <w:rsid w:val="00FB5CB5"/>
    <w:rsid w:val="00FD0185"/>
    <w:rsid w:val="00FD0186"/>
    <w:rsid w:val="00FD03F6"/>
    <w:rsid w:val="00FD1260"/>
    <w:rsid w:val="00FD4154"/>
    <w:rsid w:val="00FD47E3"/>
    <w:rsid w:val="00FE15F4"/>
    <w:rsid w:val="00FF2FCA"/>
    <w:rsid w:val="00FF5CAC"/>
    <w:rsid w:val="04E26367"/>
    <w:rsid w:val="0B5B5A73"/>
    <w:rsid w:val="17203872"/>
    <w:rsid w:val="18187483"/>
    <w:rsid w:val="20931C4F"/>
    <w:rsid w:val="20C51591"/>
    <w:rsid w:val="219371AC"/>
    <w:rsid w:val="348A6452"/>
    <w:rsid w:val="3B1C521F"/>
    <w:rsid w:val="3D8A164C"/>
    <w:rsid w:val="4DC232D7"/>
    <w:rsid w:val="57E714CD"/>
    <w:rsid w:val="64CC7F22"/>
    <w:rsid w:val="6E3E1E72"/>
    <w:rsid w:val="788B30BD"/>
    <w:rsid w:val="79C16473"/>
    <w:rsid w:val="7A152F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11</Pages>
  <Words>5512</Words>
  <Characters>5966</Characters>
  <Lines>70</Lines>
  <Paragraphs>19</Paragraphs>
  <TotalTime>15</TotalTime>
  <ScaleCrop>false</ScaleCrop>
  <LinksUpToDate>false</LinksUpToDate>
  <CharactersWithSpaces>6058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2022-06-19T11:27:00Z</dcterms:created>
  <dc:creator>ASUS</dc:creator>
  <cp:lastModifiedBy>【晴】。</cp:lastModifiedBy>
  <cp:lastPrinted>2020-10-15T05:26:00Z</cp:lastPrinted>
  <dcterms:modified xsi:type="dcterms:W3CDTF">2023-10-20T01:37:01Z</dcterms:modified>
  <dc:title>2014年度常德市社会劳动保险处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BEA82C0782344EADBB150BA85CE5890E</vt:lpwstr>
  </property>
</Properties>
</file>