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黑体" w:hAnsi="黑体" w:eastAsia="黑体" w:cs="黑体"/>
          <w:bCs/>
          <w:sz w:val="44"/>
          <w:szCs w:val="44"/>
        </w:rPr>
      </w:pPr>
      <w:r>
        <w:rPr>
          <w:rFonts w:hint="eastAsia" w:ascii="黑体" w:hAnsi="黑体" w:eastAsia="黑体" w:cs="黑体"/>
          <w:sz w:val="44"/>
          <w:szCs w:val="44"/>
          <w:lang w:eastAsia="zh-CN"/>
        </w:rPr>
        <w:t>2021年度澧县</w:t>
      </w:r>
      <w:r>
        <w:rPr>
          <w:rFonts w:hint="eastAsia" w:ascii="黑体" w:hAnsi="黑体" w:eastAsia="黑体" w:cs="黑体"/>
          <w:sz w:val="44"/>
          <w:szCs w:val="44"/>
          <w:lang w:val="en-US" w:eastAsia="zh-CN"/>
        </w:rPr>
        <w:t>金罗镇人民政府</w:t>
      </w:r>
      <w:r>
        <w:rPr>
          <w:rFonts w:hint="eastAsia" w:ascii="黑体" w:hAnsi="黑体" w:eastAsia="黑体" w:cs="黑体"/>
          <w:sz w:val="44"/>
          <w:szCs w:val="44"/>
          <w:lang w:eastAsia="zh-CN"/>
        </w:rPr>
        <w:t>整体支出绩效和重点项目绩效评价报告</w:t>
      </w:r>
    </w:p>
    <w:p>
      <w:pPr>
        <w:ind w:firstLine="883" w:firstLineChars="200"/>
        <w:jc w:val="center"/>
        <w:rPr>
          <w:rFonts w:hint="eastAsia" w:ascii="Times New Roman" w:hAnsi="Times New Roman" w:eastAsiaTheme="majorEastAsia"/>
          <w:b/>
          <w:kern w:val="0"/>
          <w:sz w:val="44"/>
          <w:szCs w:val="44"/>
        </w:rPr>
      </w:pPr>
      <w:bookmarkStart w:id="0" w:name="_GoBack"/>
      <w:bookmarkEnd w:id="0"/>
    </w:p>
    <w:p>
      <w:pPr>
        <w:ind w:firstLine="883" w:firstLineChars="200"/>
        <w:jc w:val="center"/>
        <w:rPr>
          <w:rFonts w:hint="eastAsia" w:ascii="Times New Roman" w:hAnsi="Times New Roman" w:eastAsiaTheme="majorEastAsia"/>
          <w:b/>
          <w:kern w:val="0"/>
          <w:sz w:val="44"/>
          <w:szCs w:val="44"/>
        </w:rPr>
      </w:pPr>
    </w:p>
    <w:p>
      <w:pPr>
        <w:ind w:firstLine="640" w:firstLineChars="200"/>
        <w:rPr>
          <w:rFonts w:ascii="仿宋" w:hAnsi="仿宋" w:eastAsia="仿宋"/>
          <w:kern w:val="0"/>
          <w:sz w:val="32"/>
          <w:szCs w:val="32"/>
        </w:rPr>
      </w:pPr>
      <w:r>
        <w:rPr>
          <w:rFonts w:hint="eastAsia" w:ascii="仿宋" w:hAnsi="仿宋" w:eastAsia="仿宋" w:cs="宋体"/>
          <w:color w:val="333333"/>
          <w:kern w:val="0"/>
          <w:sz w:val="32"/>
          <w:szCs w:val="32"/>
        </w:rPr>
        <w:t>为了进一步规范和加强财政资金使用管理，提高资金使用效益，</w:t>
      </w:r>
      <w:r>
        <w:rPr>
          <w:rFonts w:ascii="仿宋" w:hAnsi="仿宋" w:eastAsia="仿宋" w:cs="宋体"/>
          <w:color w:val="333333"/>
          <w:kern w:val="0"/>
          <w:sz w:val="32"/>
          <w:szCs w:val="32"/>
        </w:rPr>
        <w:t>根据《湖南省委办公厅、湖南省人民政府办公厅关于全面实施预算绩效管理的实施意见》（湘办发〔20</w:t>
      </w:r>
      <w:r>
        <w:rPr>
          <w:rFonts w:hint="eastAsia" w:ascii="仿宋" w:hAnsi="仿宋" w:eastAsia="仿宋" w:cs="宋体"/>
          <w:color w:val="333333"/>
          <w:kern w:val="0"/>
          <w:sz w:val="32"/>
          <w:szCs w:val="32"/>
        </w:rPr>
        <w:t>19</w:t>
      </w:r>
      <w:r>
        <w:rPr>
          <w:rFonts w:ascii="仿宋" w:hAnsi="仿宋" w:eastAsia="仿宋" w:cs="宋体"/>
          <w:color w:val="333333"/>
          <w:kern w:val="0"/>
          <w:sz w:val="32"/>
          <w:szCs w:val="32"/>
        </w:rPr>
        <w:t>〕10号）和《澧县财政局关于全面推进预算绩效管理的意见》（澧财发〔2020〕36号）等文件的精神，</w:t>
      </w:r>
      <w:r>
        <w:rPr>
          <w:rFonts w:hint="eastAsia" w:ascii="仿宋" w:hAnsi="仿宋" w:eastAsia="仿宋"/>
          <w:kern w:val="0"/>
          <w:sz w:val="32"/>
          <w:szCs w:val="32"/>
        </w:rPr>
        <w:t>澧县金罗镇人民政府开展了2021年度</w:t>
      </w:r>
      <w:r>
        <w:rPr>
          <w:rFonts w:ascii="仿宋" w:hAnsi="仿宋" w:eastAsia="仿宋"/>
          <w:kern w:val="0"/>
          <w:sz w:val="32"/>
          <w:szCs w:val="32"/>
        </w:rPr>
        <w:t>部门整体支出绩效</w:t>
      </w:r>
      <w:r>
        <w:rPr>
          <w:rFonts w:hint="eastAsia" w:ascii="仿宋" w:hAnsi="仿宋" w:eastAsia="仿宋"/>
          <w:kern w:val="0"/>
          <w:sz w:val="32"/>
          <w:szCs w:val="32"/>
        </w:rPr>
        <w:t>自评</w:t>
      </w:r>
      <w:r>
        <w:rPr>
          <w:rFonts w:ascii="仿宋" w:hAnsi="仿宋" w:eastAsia="仿宋"/>
          <w:kern w:val="0"/>
          <w:sz w:val="32"/>
          <w:szCs w:val="32"/>
        </w:rPr>
        <w:t>，现</w:t>
      </w:r>
      <w:r>
        <w:rPr>
          <w:rFonts w:hint="eastAsia" w:ascii="仿宋" w:hAnsi="仿宋" w:eastAsia="仿宋"/>
          <w:kern w:val="0"/>
          <w:sz w:val="32"/>
          <w:szCs w:val="32"/>
        </w:rPr>
        <w:t>将绩效自评情况</w:t>
      </w:r>
      <w:r>
        <w:rPr>
          <w:rFonts w:ascii="仿宋" w:hAnsi="仿宋" w:eastAsia="仿宋"/>
          <w:kern w:val="0"/>
          <w:sz w:val="32"/>
          <w:szCs w:val="32"/>
        </w:rPr>
        <w:t>报告如下：</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一、部门概况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（一）机构、人员构成</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澧县金罗镇人民政府内设机构包括：党政办公室、党建办公室、经济发展办公室、社会事务办公室、自然资源和生态环境办公室、社会治安和应急管理办公室、综合行政执法队。</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人员情况：2021年金罗镇人民政府在职人员60人，退休人员19人，年末合计人数60人。</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（二）单位主要职责</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1. 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2. 制定并组织实施村镇建设规划，部署重点工程建设，地方道路建设及公共设施，水利设施的管理，负责土地、林木、水等自然资源和生态环境的保护，做好护林防火工作。</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3. 负责本行政区域内的民政、计划生育、文化教育、卫生、体育等社会公益事业的综合性工作，维护一切经济单位和个人的正当经济权益，取缔非法经济活动，调解和处理民事纠纷，打击刑事犯罪维护社会稳定。</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4. 按计划组织本级财政收入和地方税的征收，完成政府财政计划，不断培植税源，管好财政资金，增强财政实力。</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5. 抓好精神文明建设，丰富群众文化生活，提倡移风易俗，反对封建迷信，破除陈规陋习，树立社会主义新风尚。</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6. 完成上级政府交办的其他工作。</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二、部门财务情况</w:t>
      </w:r>
    </w:p>
    <w:p>
      <w:pPr>
        <w:pStyle w:val="6"/>
        <w:widowControl/>
        <w:shd w:val="clear" w:color="auto" w:fill="FFFFFF"/>
        <w:spacing w:beforeAutospacing="0" w:after="300" w:afterAutospacing="0"/>
        <w:ind w:left="420"/>
        <w:rPr>
          <w:rFonts w:ascii="Times New Roman" w:hAnsi="Times New Roman" w:eastAsia="仿宋_GB2312" w:cs="黑体"/>
          <w:color w:val="222222"/>
          <w:sz w:val="32"/>
          <w:szCs w:val="32"/>
        </w:rPr>
      </w:pPr>
      <w:r>
        <w:rPr>
          <w:rFonts w:hint="eastAsia" w:ascii="Times New Roman" w:hAnsi="Times New Roman" w:eastAsia="仿宋_GB2312" w:cs="黑体"/>
          <w:color w:val="222222"/>
          <w:sz w:val="32"/>
          <w:szCs w:val="32"/>
        </w:rPr>
        <w:t>（一）部门整体支出情况：</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2021年度财政拨款支出1,826.83万元，主要用于以下方面：一般公共服务支出636.25万元，占34.83%；文化旅游体育与传媒支出110.52万元，占6.05%；社会保障和就业支出54.52万元，占2.98%；卫生健康支出30.79万元，占1.69%；城乡社区支出81.3万元，占4.45%；农林水支出829.92万元，占45.43%；交通运输支出16.07万元，占0.88%；商业服务业等支出5万元，占0.27%；金融支出2万元，占0.11%；住房保障支出36.47万元，占2%；灾害防治及应急管理支出24万元，占1.31%。</w:t>
      </w:r>
    </w:p>
    <w:p>
      <w:pPr>
        <w:pStyle w:val="6"/>
        <w:widowControl/>
        <w:numPr>
          <w:ilvl w:val="0"/>
          <w:numId w:val="1"/>
        </w:numPr>
        <w:shd w:val="clear" w:color="auto" w:fill="FFFFFF"/>
        <w:spacing w:beforeAutospacing="0" w:after="300" w:afterAutospacing="0"/>
        <w:ind w:firstLine="420"/>
        <w:rPr>
          <w:rFonts w:ascii="Times New Roman" w:hAnsi="Times New Roman" w:eastAsia="仿宋_GB2312" w:cs="黑体"/>
          <w:color w:val="222222"/>
          <w:sz w:val="32"/>
          <w:szCs w:val="32"/>
        </w:rPr>
      </w:pPr>
      <w:r>
        <w:rPr>
          <w:rFonts w:ascii="Times New Roman" w:hAnsi="Times New Roman" w:eastAsia="仿宋_GB2312" w:cs="黑体"/>
          <w:color w:val="222222"/>
          <w:sz w:val="32"/>
          <w:szCs w:val="32"/>
        </w:rPr>
        <w:t>部门预算收支决算情况：</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本年收入合计1,931.38万元，其中：财政拨款收入1,931.38万元，占100%；上级补助收入0万元，占0%；事业收入0万元，占0%；经营收入0万元，占0%；附属单位上缴收入0万元，占0%；其他收入0万元，占0%。</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本年支出合计1,953.43万元，其中：基本支出641.85万元，占32.86%；项目支出1,311.58万元，占67.14%；上缴上级支出0万元，占0%；经营支出0万元，占0%；对附属单位补助支出0万元，占0%。</w:t>
      </w:r>
    </w:p>
    <w:p>
      <w:pPr>
        <w:pStyle w:val="9"/>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2021年度“三公”经费财政拨款支出决算中，公务接待费支出决算18.85万元，占79.04%,因公出国（境）费支出决算0万元，占0%,公务用车购置费及运行维护费支出决算5万元，占20.96%。其中：</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1、因公出国（境）费支出决算为0万元，全年安排因公出国（境）团组0个，累计0人次。</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2、公务接待费支出决算为18.85万元，全年共接待来访团组455个、来宾3,145人次，主要是疫情防控、项目验收、走访调研等工作的督查督导及其他发生的接待支出。</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3、公务用车购置费及运行维护费支出决算为5万元，其中：公务用车购置费0万元，单位本级更新公务用车0辆。公务用车运行维护费5万元，主要是公务车维修维护、购买保险及油料支出，截至2021年12月31日，我单位开支财政拨款的公务用车保有量为1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left="602" w:firstLine="38"/>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pStyle w:val="6"/>
        <w:widowControl/>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按照镇整体规划和工作任务，充分展现政府职能。为老百姓办实事，改善人居环境，推进乡村振兴发展，关注和扶持弱势群体，促进辖区和谐发展。</w:t>
      </w:r>
    </w:p>
    <w:p>
      <w:pPr>
        <w:ind w:firstLine="320" w:firstLineChars="1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（二）2021年度部门绩效目标</w:t>
      </w:r>
    </w:p>
    <w:p>
      <w:pPr>
        <w:pStyle w:val="6"/>
        <w:widowControl/>
        <w:numPr>
          <w:ilvl w:val="0"/>
          <w:numId w:val="2"/>
        </w:numPr>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抓好招商引资，促进社会事业全面发展。</w:t>
      </w:r>
    </w:p>
    <w:p>
      <w:pPr>
        <w:pStyle w:val="6"/>
        <w:widowControl/>
        <w:numPr>
          <w:ilvl w:val="0"/>
          <w:numId w:val="2"/>
        </w:numPr>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抓好基础设施建设及人居环境整治，促进街道条件全面改善。</w:t>
      </w:r>
    </w:p>
    <w:p>
      <w:pPr>
        <w:pStyle w:val="6"/>
        <w:widowControl/>
        <w:numPr>
          <w:ilvl w:val="0"/>
          <w:numId w:val="2"/>
        </w:numPr>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抓好医疗保险、养老保险工作，使群众老有所养、老有所依。</w:t>
      </w:r>
    </w:p>
    <w:p>
      <w:pPr>
        <w:pStyle w:val="6"/>
        <w:widowControl/>
        <w:numPr>
          <w:ilvl w:val="0"/>
          <w:numId w:val="2"/>
        </w:numPr>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全力维护社会和谐稳定。</w:t>
      </w:r>
    </w:p>
    <w:p>
      <w:pPr>
        <w:pStyle w:val="6"/>
        <w:widowControl/>
        <w:numPr>
          <w:ilvl w:val="0"/>
          <w:numId w:val="2"/>
        </w:numPr>
        <w:shd w:val="clear" w:color="auto" w:fill="FFFFFF"/>
        <w:spacing w:beforeAutospacing="0" w:after="300" w:afterAutospacing="0"/>
        <w:ind w:firstLine="420"/>
        <w:rPr>
          <w:rFonts w:ascii="仿宋" w:hAnsi="仿宋" w:eastAsia="仿宋" w:cs="宋体"/>
          <w:color w:val="333333"/>
          <w:sz w:val="32"/>
          <w:szCs w:val="32"/>
        </w:rPr>
      </w:pPr>
      <w:r>
        <w:rPr>
          <w:rFonts w:hint="eastAsia" w:ascii="仿宋" w:hAnsi="仿宋" w:eastAsia="仿宋" w:cs="宋体"/>
          <w:color w:val="333333"/>
          <w:sz w:val="32"/>
          <w:szCs w:val="32"/>
        </w:rPr>
        <w:t>抓好人居环境整治工作，美化全镇生态环境。</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为了进一步规范和加强财政资金使用管理，提高资金使用效益，</w:t>
      </w:r>
      <w:r>
        <w:rPr>
          <w:rFonts w:ascii="仿宋" w:hAnsi="仿宋" w:eastAsia="仿宋" w:cs="宋体"/>
          <w:color w:val="333333"/>
          <w:kern w:val="0"/>
          <w:sz w:val="32"/>
          <w:szCs w:val="32"/>
        </w:rPr>
        <w:t>根据《湖南省委办公厅、湖南省人民政府办公厅关于全面实施预算绩效管理的实施意见》（湘办发〔20</w:t>
      </w:r>
      <w:r>
        <w:rPr>
          <w:rFonts w:hint="eastAsia" w:ascii="仿宋" w:hAnsi="仿宋" w:eastAsia="仿宋" w:cs="宋体"/>
          <w:color w:val="333333"/>
          <w:kern w:val="0"/>
          <w:sz w:val="32"/>
          <w:szCs w:val="32"/>
        </w:rPr>
        <w:t>19</w:t>
      </w:r>
      <w:r>
        <w:rPr>
          <w:rFonts w:ascii="仿宋" w:hAnsi="仿宋" w:eastAsia="仿宋" w:cs="宋体"/>
          <w:color w:val="333333"/>
          <w:kern w:val="0"/>
          <w:sz w:val="32"/>
          <w:szCs w:val="32"/>
        </w:rPr>
        <w:t>〕10号）和《澧县财政局关于全面推进预算绩效管理的意见》（澧财发〔2020〕36号）等文件的精神，</w:t>
      </w:r>
      <w:r>
        <w:rPr>
          <w:rFonts w:hint="eastAsia" w:ascii="仿宋" w:hAnsi="仿宋" w:eastAsia="仿宋" w:cs="宋体"/>
          <w:color w:val="333333"/>
          <w:kern w:val="0"/>
          <w:sz w:val="32"/>
          <w:szCs w:val="32"/>
        </w:rPr>
        <w:t>澧县金罗镇人民政府成立了以党委书记任组长，镇长和党委副书记任副组长，涉及的站所长及一般职工代表为成员的</w:t>
      </w:r>
      <w:r>
        <w:rPr>
          <w:rFonts w:ascii="仿宋" w:hAnsi="仿宋" w:eastAsia="仿宋" w:cs="宋体"/>
          <w:color w:val="333333"/>
          <w:kern w:val="0"/>
          <w:sz w:val="32"/>
          <w:szCs w:val="32"/>
        </w:rPr>
        <w:t>自评工作领导小组</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按照绩效考核指标，本单位从预算配置、预算执行、预算管理、履职效益等方面进行综合评价，2021年澧县金罗镇人民政府部门整体支出绩效评价自评分为89分。</w:t>
      </w:r>
    </w:p>
    <w:p>
      <w:pPr>
        <w:spacing w:line="576" w:lineRule="exact"/>
        <w:rPr>
          <w:rFonts w:ascii="Times New Roman" w:hAnsi="Times New Roman" w:eastAsia="黑体"/>
          <w:kern w:val="0"/>
          <w:sz w:val="32"/>
          <w:szCs w:val="32"/>
        </w:rPr>
      </w:pPr>
      <w:r>
        <w:rPr>
          <w:rFonts w:ascii="Times New Roman" w:hAnsi="黑体" w:eastAsia="黑体"/>
          <w:kern w:val="0"/>
          <w:sz w:val="32"/>
          <w:szCs w:val="32"/>
        </w:rPr>
        <w:t>六、部门整体支出绩效情况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（一）预算配置方面 </w:t>
      </w:r>
    </w:p>
    <w:p>
      <w:pPr>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在职人员控制率：编制数</w:t>
      </w:r>
      <w:r>
        <w:rPr>
          <w:rFonts w:hint="eastAsia" w:ascii="仿宋" w:hAnsi="仿宋" w:eastAsia="仿宋" w:cs="宋体"/>
          <w:color w:val="333333"/>
          <w:kern w:val="0"/>
          <w:sz w:val="32"/>
          <w:szCs w:val="32"/>
        </w:rPr>
        <w:t>76</w:t>
      </w:r>
      <w:r>
        <w:rPr>
          <w:rFonts w:ascii="仿宋" w:hAnsi="仿宋" w:eastAsia="仿宋" w:cs="宋体"/>
          <w:color w:val="333333"/>
          <w:kern w:val="0"/>
          <w:sz w:val="32"/>
          <w:szCs w:val="32"/>
        </w:rPr>
        <w:t>人，在职人员</w:t>
      </w:r>
      <w:r>
        <w:rPr>
          <w:rFonts w:hint="eastAsia" w:ascii="仿宋" w:hAnsi="仿宋" w:eastAsia="仿宋" w:cs="宋体"/>
          <w:color w:val="333333"/>
          <w:kern w:val="0"/>
          <w:sz w:val="32"/>
          <w:szCs w:val="32"/>
        </w:rPr>
        <w:t>60</w:t>
      </w:r>
      <w:r>
        <w:rPr>
          <w:rFonts w:ascii="仿宋" w:hAnsi="仿宋" w:eastAsia="仿宋" w:cs="宋体"/>
          <w:color w:val="333333"/>
          <w:kern w:val="0"/>
          <w:sz w:val="32"/>
          <w:szCs w:val="32"/>
        </w:rPr>
        <w:t>人，在编制控制范围内，在职人员控制率为</w:t>
      </w:r>
      <w:r>
        <w:rPr>
          <w:rFonts w:hint="eastAsia" w:ascii="仿宋" w:hAnsi="仿宋" w:eastAsia="仿宋" w:cs="宋体"/>
          <w:color w:val="333333"/>
          <w:kern w:val="0"/>
          <w:sz w:val="32"/>
          <w:szCs w:val="32"/>
        </w:rPr>
        <w:t>78.95</w:t>
      </w:r>
      <w:r>
        <w:rPr>
          <w:rFonts w:ascii="仿宋" w:hAnsi="仿宋" w:eastAsia="仿宋" w:cs="宋体"/>
          <w:color w:val="333333"/>
          <w:kern w:val="0"/>
          <w:sz w:val="32"/>
          <w:szCs w:val="32"/>
        </w:rPr>
        <w:t>%。 </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“三公经费”变动率：三公经费本年预算数</w:t>
      </w:r>
      <w:r>
        <w:rPr>
          <w:rFonts w:hint="eastAsia" w:ascii="仿宋" w:hAnsi="仿宋" w:eastAsia="仿宋" w:cs="宋体"/>
          <w:color w:val="333333"/>
          <w:kern w:val="0"/>
          <w:sz w:val="32"/>
          <w:szCs w:val="32"/>
        </w:rPr>
        <w:t>23.85</w:t>
      </w:r>
      <w:r>
        <w:rPr>
          <w:rFonts w:ascii="仿宋" w:hAnsi="仿宋" w:eastAsia="仿宋" w:cs="宋体"/>
          <w:color w:val="333333"/>
          <w:kern w:val="0"/>
          <w:sz w:val="32"/>
          <w:szCs w:val="32"/>
        </w:rPr>
        <w:t>万元，上年预算数</w:t>
      </w:r>
      <w:r>
        <w:rPr>
          <w:rFonts w:hint="eastAsia" w:ascii="仿宋" w:hAnsi="仿宋" w:eastAsia="仿宋" w:cs="宋体"/>
          <w:color w:val="333333"/>
          <w:kern w:val="0"/>
          <w:sz w:val="32"/>
          <w:szCs w:val="32"/>
        </w:rPr>
        <w:t>28.86</w:t>
      </w:r>
      <w:r>
        <w:rPr>
          <w:rFonts w:ascii="仿宋" w:hAnsi="仿宋" w:eastAsia="仿宋" w:cs="宋体"/>
          <w:color w:val="333333"/>
          <w:kern w:val="0"/>
          <w:sz w:val="32"/>
          <w:szCs w:val="32"/>
        </w:rPr>
        <w:t>万元,“三公经费”</w:t>
      </w:r>
      <w:r>
        <w:rPr>
          <w:rFonts w:hint="eastAsia" w:ascii="仿宋" w:hAnsi="仿宋" w:eastAsia="仿宋" w:cs="宋体"/>
          <w:color w:val="333333"/>
          <w:kern w:val="0"/>
          <w:sz w:val="32"/>
          <w:szCs w:val="32"/>
        </w:rPr>
        <w:t>较上</w:t>
      </w:r>
      <w:r>
        <w:rPr>
          <w:rFonts w:ascii="仿宋" w:hAnsi="仿宋" w:eastAsia="仿宋" w:cs="宋体"/>
          <w:color w:val="333333"/>
          <w:kern w:val="0"/>
          <w:sz w:val="32"/>
          <w:szCs w:val="32"/>
        </w:rPr>
        <w:t>年</w:t>
      </w:r>
      <w:r>
        <w:rPr>
          <w:rFonts w:hint="eastAsia" w:ascii="仿宋" w:hAnsi="仿宋" w:eastAsia="仿宋" w:cs="宋体"/>
          <w:color w:val="333333"/>
          <w:kern w:val="0"/>
          <w:sz w:val="32"/>
          <w:szCs w:val="32"/>
        </w:rPr>
        <w:t>减少，主要是因为本年压缩“三公”经费开支</w:t>
      </w:r>
      <w:r>
        <w:rPr>
          <w:rFonts w:ascii="仿宋" w:hAnsi="仿宋" w:eastAsia="仿宋" w:cs="宋体"/>
          <w:color w:val="333333"/>
          <w:kern w:val="0"/>
          <w:sz w:val="32"/>
          <w:szCs w:val="32"/>
        </w:rPr>
        <w:t>。</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（二）预算执行方面 </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预算完成率：2021年上年结转</w:t>
      </w:r>
      <w:r>
        <w:rPr>
          <w:rFonts w:hint="eastAsia" w:ascii="仿宋" w:hAnsi="仿宋" w:eastAsia="仿宋" w:cs="宋体"/>
          <w:color w:val="333333"/>
          <w:kern w:val="0"/>
          <w:sz w:val="32"/>
          <w:szCs w:val="32"/>
        </w:rPr>
        <w:t>22.05</w:t>
      </w:r>
      <w:r>
        <w:rPr>
          <w:rFonts w:ascii="仿宋" w:hAnsi="仿宋" w:eastAsia="仿宋" w:cs="宋体"/>
          <w:color w:val="333333"/>
          <w:kern w:val="0"/>
          <w:sz w:val="32"/>
          <w:szCs w:val="32"/>
        </w:rPr>
        <w:t>万元，年初预算</w:t>
      </w:r>
      <w:r>
        <w:rPr>
          <w:rFonts w:hint="eastAsia" w:ascii="仿宋" w:hAnsi="仿宋" w:eastAsia="仿宋" w:cs="宋体"/>
          <w:color w:val="333333"/>
          <w:kern w:val="0"/>
          <w:sz w:val="32"/>
          <w:szCs w:val="32"/>
        </w:rPr>
        <w:t>1030.22</w:t>
      </w:r>
      <w:r>
        <w:rPr>
          <w:rFonts w:ascii="仿宋" w:hAnsi="仿宋" w:eastAsia="仿宋" w:cs="宋体"/>
          <w:color w:val="333333"/>
          <w:kern w:val="0"/>
          <w:sz w:val="32"/>
          <w:szCs w:val="32"/>
        </w:rPr>
        <w:t>万元，本年追加预算万元</w:t>
      </w:r>
      <w:r>
        <w:rPr>
          <w:rFonts w:hint="eastAsia" w:ascii="仿宋" w:hAnsi="仿宋" w:eastAsia="仿宋" w:cs="宋体"/>
          <w:color w:val="333333"/>
          <w:kern w:val="0"/>
          <w:sz w:val="32"/>
          <w:szCs w:val="32"/>
        </w:rPr>
        <w:t>774.56万元</w:t>
      </w:r>
      <w:r>
        <w:rPr>
          <w:rFonts w:ascii="仿宋" w:hAnsi="仿宋" w:eastAsia="仿宋" w:cs="宋体"/>
          <w:color w:val="333333"/>
          <w:kern w:val="0"/>
          <w:sz w:val="32"/>
          <w:szCs w:val="32"/>
        </w:rPr>
        <w:t>，年末结余</w:t>
      </w:r>
      <w:r>
        <w:rPr>
          <w:rFonts w:hint="eastAsia" w:ascii="仿宋" w:hAnsi="仿宋" w:eastAsia="仿宋" w:cs="宋体"/>
          <w:color w:val="333333"/>
          <w:kern w:val="0"/>
          <w:sz w:val="32"/>
          <w:szCs w:val="32"/>
        </w:rPr>
        <w:t>0</w:t>
      </w:r>
      <w:r>
        <w:rPr>
          <w:rFonts w:ascii="仿宋" w:hAnsi="仿宋" w:eastAsia="仿宋" w:cs="宋体"/>
          <w:color w:val="333333"/>
          <w:kern w:val="0"/>
          <w:sz w:val="32"/>
          <w:szCs w:val="32"/>
        </w:rPr>
        <w:t>万元，预算完成率</w:t>
      </w:r>
      <w:r>
        <w:rPr>
          <w:rFonts w:hint="eastAsia" w:ascii="仿宋" w:hAnsi="仿宋" w:eastAsia="仿宋" w:cs="宋体"/>
          <w:color w:val="333333"/>
          <w:kern w:val="0"/>
          <w:sz w:val="32"/>
          <w:szCs w:val="32"/>
        </w:rPr>
        <w:t>175.18</w:t>
      </w:r>
      <w:r>
        <w:rPr>
          <w:rFonts w:ascii="仿宋" w:hAnsi="仿宋" w:eastAsia="仿宋" w:cs="宋体"/>
          <w:color w:val="333333"/>
          <w:kern w:val="0"/>
          <w:sz w:val="32"/>
          <w:szCs w:val="32"/>
        </w:rPr>
        <w:t>%。 </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预算控制率：2021年年初预算</w:t>
      </w:r>
      <w:r>
        <w:rPr>
          <w:rFonts w:hint="eastAsia" w:ascii="仿宋" w:hAnsi="仿宋" w:eastAsia="仿宋" w:cs="宋体"/>
          <w:color w:val="333333"/>
          <w:kern w:val="0"/>
          <w:sz w:val="32"/>
          <w:szCs w:val="32"/>
        </w:rPr>
        <w:t>1030.22</w:t>
      </w:r>
      <w:r>
        <w:rPr>
          <w:rFonts w:ascii="仿宋" w:hAnsi="仿宋" w:eastAsia="仿宋" w:cs="宋体"/>
          <w:color w:val="333333"/>
          <w:kern w:val="0"/>
          <w:sz w:val="32"/>
          <w:szCs w:val="32"/>
        </w:rPr>
        <w:t>万元，年中追加预算</w:t>
      </w:r>
      <w:r>
        <w:rPr>
          <w:rFonts w:hint="eastAsia" w:ascii="仿宋" w:hAnsi="仿宋" w:eastAsia="仿宋" w:cs="宋体"/>
          <w:color w:val="333333"/>
          <w:kern w:val="0"/>
          <w:sz w:val="32"/>
          <w:szCs w:val="32"/>
        </w:rPr>
        <w:t>774.56</w:t>
      </w:r>
      <w:r>
        <w:rPr>
          <w:rFonts w:ascii="仿宋" w:hAnsi="仿宋" w:eastAsia="仿宋" w:cs="宋体"/>
          <w:color w:val="333333"/>
          <w:kern w:val="0"/>
          <w:sz w:val="32"/>
          <w:szCs w:val="32"/>
        </w:rPr>
        <w:t>万元，预算控制率</w:t>
      </w:r>
      <w:r>
        <w:rPr>
          <w:rFonts w:hint="eastAsia" w:ascii="仿宋" w:hAnsi="仿宋" w:eastAsia="仿宋" w:cs="宋体"/>
          <w:color w:val="333333"/>
          <w:kern w:val="0"/>
          <w:sz w:val="32"/>
          <w:szCs w:val="32"/>
        </w:rPr>
        <w:t>75.18</w:t>
      </w:r>
      <w:r>
        <w:rPr>
          <w:rFonts w:ascii="仿宋" w:hAnsi="仿宋" w:eastAsia="仿宋" w:cs="宋体"/>
          <w:color w:val="333333"/>
          <w:kern w:val="0"/>
          <w:sz w:val="32"/>
          <w:szCs w:val="32"/>
        </w:rPr>
        <w:t>%。 </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新建楼堂馆所有关控制率：无新建楼堂馆所情况。 </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（三）预算管理方面 </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公用经费控制率：2021年</w:t>
      </w:r>
      <w:r>
        <w:rPr>
          <w:rFonts w:hint="eastAsia" w:ascii="仿宋" w:hAnsi="仿宋" w:eastAsia="仿宋" w:cs="宋体"/>
          <w:color w:val="333333"/>
          <w:kern w:val="0"/>
          <w:sz w:val="32"/>
          <w:szCs w:val="32"/>
        </w:rPr>
        <w:t>本单位</w:t>
      </w:r>
      <w:r>
        <w:rPr>
          <w:rFonts w:ascii="仿宋" w:hAnsi="仿宋" w:eastAsia="仿宋" w:cs="宋体"/>
          <w:color w:val="333333"/>
          <w:kern w:val="0"/>
          <w:sz w:val="32"/>
          <w:szCs w:val="32"/>
        </w:rPr>
        <w:t>预算管理各项指标控制较好。公用经费总额</w:t>
      </w:r>
      <w:r>
        <w:rPr>
          <w:rFonts w:hint="eastAsia" w:ascii="仿宋" w:hAnsi="仿宋" w:eastAsia="仿宋" w:cs="宋体"/>
          <w:color w:val="333333"/>
          <w:kern w:val="0"/>
          <w:sz w:val="32"/>
          <w:szCs w:val="32"/>
        </w:rPr>
        <w:t>89.01</w:t>
      </w:r>
      <w:r>
        <w:rPr>
          <w:rFonts w:ascii="仿宋" w:hAnsi="仿宋" w:eastAsia="仿宋" w:cs="宋体"/>
          <w:color w:val="333333"/>
          <w:kern w:val="0"/>
          <w:sz w:val="32"/>
          <w:szCs w:val="32"/>
        </w:rPr>
        <w:t>万元，预算安排公用经费总额</w:t>
      </w:r>
      <w:r>
        <w:rPr>
          <w:rFonts w:hint="eastAsia" w:ascii="仿宋" w:hAnsi="仿宋" w:eastAsia="仿宋" w:cs="宋体"/>
          <w:color w:val="333333"/>
          <w:kern w:val="0"/>
          <w:sz w:val="32"/>
          <w:szCs w:val="32"/>
        </w:rPr>
        <w:t>475.28</w:t>
      </w:r>
      <w:r>
        <w:rPr>
          <w:rFonts w:ascii="仿宋" w:hAnsi="仿宋" w:eastAsia="仿宋" w:cs="宋体"/>
          <w:color w:val="333333"/>
          <w:kern w:val="0"/>
          <w:sz w:val="32"/>
          <w:szCs w:val="32"/>
        </w:rPr>
        <w:t>万元，公用经费控制率</w:t>
      </w:r>
      <w:r>
        <w:rPr>
          <w:rFonts w:hint="eastAsia" w:ascii="仿宋" w:hAnsi="仿宋" w:eastAsia="仿宋" w:cs="宋体"/>
          <w:color w:val="333333"/>
          <w:kern w:val="0"/>
          <w:sz w:val="32"/>
          <w:szCs w:val="32"/>
        </w:rPr>
        <w:t>81.27</w:t>
      </w:r>
      <w:r>
        <w:rPr>
          <w:rFonts w:ascii="仿宋" w:hAnsi="仿宋" w:eastAsia="仿宋" w:cs="宋体"/>
          <w:color w:val="333333"/>
          <w:kern w:val="0"/>
          <w:sz w:val="32"/>
          <w:szCs w:val="32"/>
        </w:rPr>
        <w:t>%。 </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“三公经费”控制率：“三公”经费实际支出数为</w:t>
      </w:r>
      <w:r>
        <w:rPr>
          <w:rFonts w:hint="eastAsia" w:ascii="仿宋" w:hAnsi="仿宋" w:eastAsia="仿宋" w:cs="宋体"/>
          <w:kern w:val="0"/>
          <w:sz w:val="32"/>
          <w:szCs w:val="32"/>
        </w:rPr>
        <w:t>23.85</w:t>
      </w:r>
      <w:r>
        <w:rPr>
          <w:rFonts w:ascii="仿宋" w:hAnsi="仿宋" w:eastAsia="仿宋" w:cs="宋体"/>
          <w:kern w:val="0"/>
          <w:sz w:val="32"/>
          <w:szCs w:val="32"/>
        </w:rPr>
        <w:t>万元，预算安排数</w:t>
      </w:r>
      <w:r>
        <w:rPr>
          <w:rFonts w:hint="eastAsia" w:ascii="仿宋" w:hAnsi="仿宋" w:eastAsia="仿宋" w:cs="宋体"/>
          <w:kern w:val="0"/>
          <w:sz w:val="32"/>
          <w:szCs w:val="32"/>
        </w:rPr>
        <w:t>23.85</w:t>
      </w:r>
      <w:r>
        <w:rPr>
          <w:rFonts w:ascii="仿宋" w:hAnsi="仿宋" w:eastAsia="仿宋" w:cs="宋体"/>
          <w:kern w:val="0"/>
          <w:sz w:val="32"/>
          <w:szCs w:val="32"/>
        </w:rPr>
        <w:t>万元，“三公”经费控制率为</w:t>
      </w:r>
      <w:r>
        <w:rPr>
          <w:rFonts w:hint="eastAsia" w:ascii="仿宋" w:hAnsi="仿宋" w:eastAsia="仿宋" w:cs="宋体"/>
          <w:kern w:val="0"/>
          <w:sz w:val="32"/>
          <w:szCs w:val="32"/>
        </w:rPr>
        <w:t>0</w:t>
      </w:r>
      <w:r>
        <w:rPr>
          <w:rFonts w:ascii="仿宋" w:hAnsi="仿宋" w:eastAsia="仿宋" w:cs="宋体"/>
          <w:kern w:val="0"/>
          <w:sz w:val="32"/>
          <w:szCs w:val="32"/>
        </w:rPr>
        <w:t>%。 </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政府采购执行率：政府采购预算数</w:t>
      </w:r>
      <w:r>
        <w:rPr>
          <w:rFonts w:hint="eastAsia" w:ascii="仿宋" w:hAnsi="仿宋" w:eastAsia="仿宋" w:cs="宋体"/>
          <w:color w:val="333333"/>
          <w:kern w:val="0"/>
          <w:sz w:val="32"/>
          <w:szCs w:val="32"/>
        </w:rPr>
        <w:t>12.8</w:t>
      </w:r>
      <w:r>
        <w:rPr>
          <w:rFonts w:ascii="仿宋" w:hAnsi="仿宋" w:eastAsia="仿宋" w:cs="宋体"/>
          <w:color w:val="333333"/>
          <w:kern w:val="0"/>
          <w:sz w:val="32"/>
          <w:szCs w:val="32"/>
        </w:rPr>
        <w:t>万元，实际政府采购金额</w:t>
      </w:r>
      <w:r>
        <w:rPr>
          <w:rFonts w:hint="eastAsia" w:ascii="仿宋" w:hAnsi="仿宋" w:eastAsia="仿宋" w:cs="宋体"/>
          <w:color w:val="333333"/>
          <w:kern w:val="0"/>
          <w:sz w:val="32"/>
          <w:szCs w:val="32"/>
        </w:rPr>
        <w:t>0</w:t>
      </w:r>
      <w:r>
        <w:rPr>
          <w:rFonts w:ascii="仿宋" w:hAnsi="仿宋" w:eastAsia="仿宋" w:cs="宋体"/>
          <w:color w:val="333333"/>
          <w:kern w:val="0"/>
          <w:sz w:val="32"/>
          <w:szCs w:val="32"/>
        </w:rPr>
        <w:t>万元，政府采购执行率</w:t>
      </w:r>
      <w:r>
        <w:rPr>
          <w:rFonts w:hint="eastAsia" w:ascii="仿宋" w:hAnsi="仿宋" w:eastAsia="仿宋" w:cs="宋体"/>
          <w:color w:val="333333"/>
          <w:kern w:val="0"/>
          <w:sz w:val="32"/>
          <w:szCs w:val="32"/>
        </w:rPr>
        <w:t>-100</w:t>
      </w:r>
      <w:r>
        <w:rPr>
          <w:rFonts w:ascii="仿宋" w:hAnsi="仿宋" w:eastAsia="仿宋" w:cs="宋体"/>
          <w:color w:val="333333"/>
          <w:kern w:val="0"/>
          <w:sz w:val="32"/>
          <w:szCs w:val="32"/>
        </w:rPr>
        <w:t>%。</w:t>
      </w:r>
    </w:p>
    <w:p>
      <w:pPr>
        <w:widowControl/>
        <w:ind w:firstLine="640" w:firstLineChars="200"/>
        <w:rPr>
          <w:rFonts w:ascii="仿宋" w:hAnsi="仿宋" w:eastAsia="仿宋" w:cs="宋体"/>
          <w:color w:val="333333"/>
          <w:kern w:val="0"/>
          <w:sz w:val="32"/>
          <w:szCs w:val="32"/>
        </w:rPr>
      </w:pPr>
      <w:r>
        <w:rPr>
          <w:rFonts w:ascii="仿宋" w:hAnsi="仿宋" w:eastAsia="仿宋" w:cs="宋体"/>
          <w:color w:val="333333"/>
          <w:kern w:val="0"/>
          <w:sz w:val="32"/>
          <w:szCs w:val="32"/>
        </w:rPr>
        <w:t>管理制度健全性：</w:t>
      </w:r>
      <w:r>
        <w:rPr>
          <w:rFonts w:ascii="仿宋" w:hAnsi="仿宋" w:eastAsia="仿宋"/>
          <w:kern w:val="0"/>
          <w:sz w:val="32"/>
          <w:szCs w:val="32"/>
        </w:rPr>
        <w:t>严格落实《澧县</w:t>
      </w:r>
      <w:r>
        <w:rPr>
          <w:rFonts w:hint="eastAsia" w:ascii="仿宋" w:hAnsi="仿宋" w:eastAsia="仿宋"/>
          <w:kern w:val="0"/>
          <w:sz w:val="32"/>
          <w:szCs w:val="32"/>
        </w:rPr>
        <w:t>金罗镇人民政府</w:t>
      </w:r>
      <w:r>
        <w:rPr>
          <w:rFonts w:ascii="仿宋" w:hAnsi="仿宋" w:eastAsia="仿宋"/>
          <w:kern w:val="0"/>
          <w:sz w:val="32"/>
          <w:szCs w:val="32"/>
        </w:rPr>
        <w:t>机关财务管理办法》等有关管理制度，规范财务审批程序，推行公务卡结算，严格差旅费和接待费支出标准、范围和程序的审核</w:t>
      </w:r>
      <w:r>
        <w:rPr>
          <w:rFonts w:hint="eastAsia" w:ascii="仿宋" w:hAnsi="仿宋" w:eastAsia="仿宋"/>
          <w:kern w:val="0"/>
          <w:sz w:val="32"/>
          <w:szCs w:val="32"/>
        </w:rPr>
        <w:t>。</w:t>
      </w:r>
      <w:r>
        <w:rPr>
          <w:rFonts w:ascii="仿宋" w:hAnsi="仿宋" w:eastAsia="仿宋" w:cs="宋体"/>
          <w:color w:val="333333"/>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资金使用合规性：按照中央八项规定突出问题专项整治，严格落实中央八项规定和有关公务支出标准。加强经费合法合规性审核和预算控制，严格按制度政策办事，资金使用合法合规，支出手续齐全，程序到位。</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预决算信息公开性：加快预算执行，盘活存量资金，减少追加资金。真实准确编制部门预算和决算，按时上报基础数据资料。按规定时间和内容公开部门预算、决算及绩效自评报告。各项应向社会公开的信息及时、完整、真实，更加细化，部门预决算信息透明度进一步提高。</w:t>
      </w:r>
      <w:r>
        <w:rPr>
          <w:rFonts w:ascii="Times New Roman" w:hAnsi="Times New Roman" w:eastAsia="仿宋"/>
          <w:kern w:val="0"/>
          <w:sz w:val="32"/>
          <w:szCs w:val="32"/>
        </w:rPr>
        <w:t> </w:t>
      </w:r>
    </w:p>
    <w:p>
      <w:pPr>
        <w:widowControl/>
        <w:shd w:val="clear" w:color="auto" w:fill="FFFFFF"/>
        <w:spacing w:after="195"/>
        <w:ind w:firstLine="480"/>
        <w:jc w:val="left"/>
        <w:rPr>
          <w:rFonts w:ascii="微软雅黑" w:hAnsi="微软雅黑" w:eastAsia="微软雅黑" w:cs="宋体"/>
          <w:color w:val="333333"/>
          <w:kern w:val="0"/>
          <w:sz w:val="16"/>
          <w:szCs w:val="16"/>
        </w:rPr>
      </w:pPr>
      <w:r>
        <w:rPr>
          <w:rFonts w:ascii="Times New Roman" w:hAnsi="黑体" w:eastAsia="黑体"/>
          <w:kern w:val="0"/>
          <w:sz w:val="32"/>
          <w:szCs w:val="32"/>
        </w:rPr>
        <w:t>七、存在的主要问题</w:t>
      </w:r>
      <w:r>
        <w:rPr>
          <w:rFonts w:hint="eastAsia" w:ascii="Times New Roman" w:hAnsi="黑体" w:eastAsia="黑体"/>
          <w:kern w:val="0"/>
          <w:sz w:val="32"/>
          <w:szCs w:val="32"/>
        </w:rPr>
        <w:t>及改进措施和建议</w:t>
      </w:r>
    </w:p>
    <w:p>
      <w:pPr>
        <w:widowControl/>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通过对本单位整体支出情况的分析，主要是部门预算编制欠精准，年初预算与实际执行有较大差额。今后要加强本单位部门预算编制工作，根据上年度实际支出编制年度预算，调增部门职责专项费用，减少年度追加，对结余结转进行分析，在编制下年预算时合理调配，</w:t>
      </w:r>
      <w:r>
        <w:rPr>
          <w:rFonts w:ascii="仿宋" w:hAnsi="仿宋" w:eastAsia="仿宋"/>
          <w:kern w:val="0"/>
          <w:sz w:val="32"/>
          <w:szCs w:val="32"/>
        </w:rPr>
        <w:t>加强预算支出的审核、跟踪及预算执行情况分析，提高预算编制严谨性和可控性</w:t>
      </w:r>
      <w:r>
        <w:rPr>
          <w:rFonts w:hint="eastAsia" w:ascii="仿宋" w:hAnsi="仿宋" w:eastAsia="仿宋"/>
          <w:kern w:val="0"/>
          <w:sz w:val="32"/>
          <w:szCs w:val="32"/>
        </w:rPr>
        <w:t>，</w:t>
      </w:r>
      <w:r>
        <w:rPr>
          <w:rFonts w:hint="eastAsia" w:ascii="仿宋" w:hAnsi="仿宋" w:eastAsia="仿宋" w:cs="宋体"/>
          <w:color w:val="333333"/>
          <w:kern w:val="0"/>
          <w:sz w:val="32"/>
          <w:szCs w:val="32"/>
        </w:rPr>
        <w:t>坚持科学化、精细化管理理念，强化本单位部门预算管理。</w:t>
      </w:r>
    </w:p>
    <w:p>
      <w:pPr>
        <w:widowControl/>
        <w:shd w:val="clear" w:color="auto" w:fill="FFFFFF"/>
        <w:spacing w:after="195"/>
        <w:ind w:firstLine="480"/>
        <w:jc w:val="left"/>
        <w:rPr>
          <w:rFonts w:ascii="仿宋" w:hAnsi="仿宋" w:eastAsia="仿宋" w:cs="宋体"/>
          <w:color w:val="333333"/>
          <w:kern w:val="0"/>
          <w:sz w:val="32"/>
          <w:szCs w:val="32"/>
        </w:rPr>
      </w:pPr>
    </w:p>
    <w:p>
      <w:pPr>
        <w:pStyle w:val="6"/>
        <w:widowControl/>
        <w:shd w:val="clear" w:color="auto" w:fill="FFFFFF"/>
        <w:spacing w:beforeAutospacing="0" w:after="300" w:afterAutospacing="0"/>
        <w:rPr>
          <w:rFonts w:ascii="仿宋" w:hAnsi="仿宋" w:eastAsia="仿宋" w:cs="宋体"/>
          <w:color w:val="333333"/>
          <w:sz w:val="32"/>
          <w:szCs w:val="32"/>
        </w:rPr>
      </w:pPr>
    </w:p>
    <w:p>
      <w:pPr>
        <w:spacing w:line="560" w:lineRule="exact"/>
        <w:ind w:firstLine="2150" w:firstLineChars="595"/>
        <w:rPr>
          <w:rFonts w:ascii="Times New Roman" w:hAnsi="Times New Roman" w:eastAsiaTheme="majorEastAsia"/>
          <w:b/>
          <w:bCs/>
          <w:kern w:val="0"/>
          <w:sz w:val="36"/>
          <w:szCs w:val="36"/>
        </w:rPr>
      </w:pPr>
      <w:r>
        <w:rPr>
          <w:rFonts w:ascii="Times New Roman" w:hAnsiTheme="majorEastAsia" w:eastAsia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7"/>
        <w:tblW w:w="11479" w:type="dxa"/>
        <w:jc w:val="center"/>
        <w:tblInd w:w="0" w:type="dxa"/>
        <w:tblLayout w:type="fixed"/>
        <w:tblCellMar>
          <w:top w:w="0" w:type="dxa"/>
          <w:left w:w="108" w:type="dxa"/>
          <w:bottom w:w="0" w:type="dxa"/>
          <w:right w:w="108" w:type="dxa"/>
        </w:tblCellMar>
      </w:tblPr>
      <w:tblGrid>
        <w:gridCol w:w="678"/>
        <w:gridCol w:w="752"/>
        <w:gridCol w:w="659"/>
        <w:gridCol w:w="752"/>
        <w:gridCol w:w="1074"/>
        <w:gridCol w:w="752"/>
        <w:gridCol w:w="2878"/>
        <w:gridCol w:w="3312"/>
        <w:gridCol w:w="622"/>
      </w:tblGrid>
      <w:tr>
        <w:tblPrEx>
          <w:tblLayout w:type="fixed"/>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一级指标</w:t>
            </w:r>
          </w:p>
        </w:tc>
        <w:tc>
          <w:tcPr>
            <w:tcW w:w="7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二级指标</w:t>
            </w:r>
          </w:p>
        </w:tc>
        <w:tc>
          <w:tcPr>
            <w:tcW w:w="7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三级</w:t>
            </w:r>
          </w:p>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指标</w:t>
            </w:r>
          </w:p>
        </w:tc>
        <w:tc>
          <w:tcPr>
            <w:tcW w:w="7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得分</w:t>
            </w:r>
          </w:p>
        </w:tc>
      </w:tr>
      <w:tr>
        <w:tblPrEx>
          <w:tblLayout w:type="fixed"/>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投入</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预算配置</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13</w:t>
            </w: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在职人员控制率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以100%为标准。在职人员控制率</w:t>
            </w:r>
            <w:r>
              <w:rPr>
                <w:rFonts w:asciiTheme="minorEastAsia" w:hAnsiTheme="minorEastAsia" w:eastAsiaTheme="minorEastAsia"/>
                <w:kern w:val="0"/>
                <w:szCs w:val="21"/>
              </w:rPr>
              <w:t>≦</w:t>
            </w:r>
            <w:r>
              <w:rPr>
                <w:rFonts w:ascii="Times New Roman" w:hAnsi="Times New Roman" w:eastAsiaTheme="minorEastAsia"/>
                <w:kern w:val="0"/>
                <w:szCs w:val="21"/>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在职人员控制率=（在职人员数/编制数）×100%，在职人员数：部门（单位）实际在职人数，以财政局确定的部门决算编制口径为准。</w:t>
            </w:r>
            <w:r>
              <w:rPr>
                <w:rFonts w:ascii="Times New Roman" w:hAnsi="Times New Roman" w:eastAsiaTheme="minorEastAsia"/>
                <w:kern w:val="0"/>
                <w:szCs w:val="21"/>
              </w:rPr>
              <w:br w:type="textWrapping"/>
            </w:r>
            <w:r>
              <w:rPr>
                <w:rFonts w:ascii="Times New Roman" w:hAnsi="Times New Roman" w:eastAsiaTheme="minorEastAsia"/>
                <w:kern w:val="0"/>
                <w:szCs w:val="21"/>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r>
      <w:tr>
        <w:tblPrEx>
          <w:tblLayout w:type="fixed"/>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“三公经费”变动率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w:t>
            </w:r>
            <w:r>
              <w:rPr>
                <w:rFonts w:asciiTheme="minorEastAsia" w:hAnsiTheme="minorEastAsia" w:eastAsiaTheme="minorEastAsia"/>
                <w:kern w:val="0"/>
                <w:szCs w:val="21"/>
              </w:rPr>
              <w:t>≦</w:t>
            </w:r>
            <w:r>
              <w:rPr>
                <w:rFonts w:ascii="Times New Roman" w:hAnsi="Times New Roman" w:eastAsiaTheme="minorEastAsia"/>
                <w:kern w:val="0"/>
                <w:szCs w:val="21"/>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过程</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预算执行</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20</w:t>
            </w: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预算完成率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r>
      <w:tr>
        <w:tblPrEx>
          <w:tblLayout w:type="fixed"/>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预算控制率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ind w:firstLine="105" w:firstLineChars="50"/>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tblPrEx>
          <w:tblLayout w:type="fixed"/>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新建楼堂馆所面积控制率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楼堂馆所面积控制率=实际建设面积/批准建设面积×100% 。</w:t>
            </w:r>
            <w:r>
              <w:rPr>
                <w:rFonts w:ascii="Times New Roman" w:hAnsi="Times New Roman" w:eastAsiaTheme="minorEastAsia"/>
                <w:kern w:val="0"/>
                <w:szCs w:val="21"/>
              </w:rPr>
              <w:br w:type="textWrapping"/>
            </w:r>
            <w:r>
              <w:rPr>
                <w:rFonts w:ascii="Times New Roman" w:hAnsi="Times New Roman" w:eastAsiaTheme="minorEastAsia"/>
                <w:kern w:val="0"/>
                <w:szCs w:val="21"/>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r>
      <w:tr>
        <w:tblPrEx>
          <w:tblLayout w:type="fixed"/>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新建楼堂馆所投资概算控制率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楼堂馆所投资预算控制率=实际投资金额/批准投资金额×100% 。</w:t>
            </w:r>
            <w:r>
              <w:rPr>
                <w:rFonts w:ascii="Times New Roman" w:hAnsi="Times New Roman" w:eastAsiaTheme="minorEastAsia"/>
                <w:kern w:val="0"/>
                <w:szCs w:val="21"/>
              </w:rPr>
              <w:br w:type="textWrapping"/>
            </w:r>
            <w:r>
              <w:rPr>
                <w:rFonts w:ascii="Times New Roman" w:hAnsi="Times New Roman" w:eastAsiaTheme="minorEastAsia"/>
                <w:kern w:val="0"/>
                <w:szCs w:val="21"/>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r>
      <w:tr>
        <w:tblPrEx>
          <w:tblLayout w:type="fixed"/>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预算管理</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41</w:t>
            </w: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公用经费控制率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公用经费控制率=（实际支出公用经费总额/预算安排公用经费总额）×100%。</w:t>
            </w:r>
            <w:r>
              <w:rPr>
                <w:rFonts w:ascii="Times New Roman" w:hAnsi="Times New Roman" w:eastAsiaTheme="minorEastAsia"/>
                <w:kern w:val="0"/>
                <w:szCs w:val="21"/>
              </w:rPr>
              <w:br w:type="textWrapping"/>
            </w:r>
            <w:r>
              <w:rPr>
                <w:rFonts w:ascii="Times New Roman" w:hAnsi="Times New Roman" w:eastAsiaTheme="minorEastAsia"/>
                <w:kern w:val="0"/>
                <w:szCs w:val="21"/>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ind w:firstLine="105" w:firstLineChars="50"/>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Layout w:type="fixed"/>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“三公经费”控制率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Layout w:type="fixed"/>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政府采购执行率</w:t>
            </w:r>
          </w:p>
        </w:tc>
        <w:tc>
          <w:tcPr>
            <w:tcW w:w="75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tblPrEx>
          <w:tblLayout w:type="fixed"/>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过程</w:t>
            </w:r>
          </w:p>
        </w:tc>
        <w:tc>
          <w:tcPr>
            <w:tcW w:w="752"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预算管理</w:t>
            </w: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管理制度健全性</w:t>
            </w:r>
          </w:p>
        </w:tc>
        <w:tc>
          <w:tcPr>
            <w:tcW w:w="752"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有内部财务管理制度、会计核算制度等管理制度，2分；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②</w:t>
            </w:r>
            <w:r>
              <w:rPr>
                <w:rFonts w:ascii="Times New Roman" w:hAnsi="Times New Roman" w:eastAsiaTheme="minorEastAsia"/>
                <w:kern w:val="0"/>
                <w:szCs w:val="21"/>
              </w:rPr>
              <w:t>有本部门厉行节约制度,2分；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③</w:t>
            </w:r>
            <w:r>
              <w:rPr>
                <w:rFonts w:ascii="Times New Roman" w:hAnsi="Times New Roman" w:eastAsiaTheme="minorEastAsia"/>
                <w:kern w:val="0"/>
                <w:szCs w:val="21"/>
              </w:rPr>
              <w:t>相关管理制度合法、合规、完整，2分；</w:t>
            </w:r>
            <w:r>
              <w:rPr>
                <w:rFonts w:asciiTheme="minorEastAsia" w:hAnsiTheme="minorEastAsia" w:eastAsiaTheme="minorEastAsia"/>
                <w:kern w:val="0"/>
                <w:szCs w:val="21"/>
              </w:rPr>
              <w:t>④</w:t>
            </w:r>
            <w:r>
              <w:rPr>
                <w:rFonts w:ascii="Times New Roman" w:hAnsi="Times New Roman" w:eastAsiaTheme="minorEastAsia"/>
                <w:kern w:val="0"/>
                <w:szCs w:val="21"/>
              </w:rPr>
              <w:t>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资金使用合规性</w:t>
            </w:r>
          </w:p>
        </w:tc>
        <w:tc>
          <w:tcPr>
            <w:tcW w:w="752"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支出符合国家财经法规和财务管理制度规定以及有关专项资金管理办法的规定；</w:t>
            </w:r>
            <w:r>
              <w:rPr>
                <w:rFonts w:asciiTheme="minorEastAsia" w:hAnsiTheme="minorEastAsia" w:eastAsiaTheme="minorEastAsia"/>
                <w:kern w:val="0"/>
                <w:szCs w:val="21"/>
              </w:rPr>
              <w:t>②</w:t>
            </w:r>
            <w:r>
              <w:rPr>
                <w:rFonts w:ascii="Times New Roman" w:hAnsi="Times New Roman" w:eastAsiaTheme="minorEastAsia"/>
                <w:kern w:val="0"/>
                <w:szCs w:val="21"/>
              </w:rPr>
              <w:t>资金拨付有完整的审批程序和手续；</w:t>
            </w:r>
            <w:r>
              <w:rPr>
                <w:rFonts w:asciiTheme="minorEastAsia" w:hAnsiTheme="minorEastAsia" w:eastAsiaTheme="minorEastAsia"/>
                <w:kern w:val="0"/>
                <w:szCs w:val="21"/>
              </w:rPr>
              <w:t>③</w:t>
            </w:r>
            <w:r>
              <w:rPr>
                <w:rFonts w:ascii="Times New Roman" w:hAnsi="Times New Roman" w:eastAsiaTheme="minorEastAsia"/>
                <w:kern w:val="0"/>
                <w:szCs w:val="21"/>
              </w:rPr>
              <w:t>项目支出按规定经过评估论证；</w:t>
            </w:r>
            <w:r>
              <w:rPr>
                <w:rFonts w:asciiTheme="minorEastAsia" w:hAnsiTheme="minorEastAsia" w:eastAsiaTheme="minorEastAsia"/>
                <w:kern w:val="0"/>
                <w:szCs w:val="21"/>
              </w:rPr>
              <w:t>④</w:t>
            </w:r>
            <w:r>
              <w:rPr>
                <w:rFonts w:ascii="Times New Roman" w:hAnsi="Times New Roman" w:eastAsiaTheme="minorEastAsia"/>
                <w:kern w:val="0"/>
                <w:szCs w:val="21"/>
              </w:rPr>
              <w:t>支出符合部门预算批复的用途；</w:t>
            </w:r>
            <w:r>
              <w:rPr>
                <w:rFonts w:asciiTheme="minorEastAsia" w:hAnsiTheme="minorEastAsia" w:eastAsiaTheme="minorEastAsia"/>
                <w:kern w:val="0"/>
                <w:szCs w:val="21"/>
              </w:rPr>
              <w:t>⑤</w:t>
            </w:r>
            <w:r>
              <w:rPr>
                <w:rFonts w:ascii="Times New Roman" w:hAnsi="Times New Roman" w:eastAsiaTheme="minorEastAsia"/>
                <w:kern w:val="0"/>
                <w:szCs w:val="21"/>
              </w:rPr>
              <w:t>资金使用无截留、挤占、挪用、虚列支出等情况。</w:t>
            </w:r>
            <w:r>
              <w:rPr>
                <w:rFonts w:ascii="Times New Roman" w:hAnsi="Times New Roman" w:eastAsiaTheme="minorEastAsia"/>
                <w:kern w:val="0"/>
                <w:szCs w:val="21"/>
              </w:rPr>
              <w:br w:type="textWrapping"/>
            </w:r>
            <w:r>
              <w:rPr>
                <w:rFonts w:ascii="Times New Roman" w:hAnsi="Times New Roman" w:eastAsiaTheme="minorEastAsia"/>
                <w:kern w:val="0"/>
                <w:szCs w:val="21"/>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预决算信息公开性</w:t>
            </w:r>
          </w:p>
        </w:tc>
        <w:tc>
          <w:tcPr>
            <w:tcW w:w="752"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按规定内容公开预决算信息，1分；</w:t>
            </w:r>
            <w:r>
              <w:rPr>
                <w:rFonts w:asciiTheme="minorEastAsia" w:hAnsiTheme="minorEastAsia" w:eastAsiaTheme="minorEastAsia"/>
                <w:kern w:val="0"/>
                <w:szCs w:val="21"/>
              </w:rPr>
              <w:t>②</w:t>
            </w:r>
            <w:r>
              <w:rPr>
                <w:rFonts w:ascii="Times New Roman" w:hAnsi="Times New Roman" w:eastAsiaTheme="minorEastAsia"/>
                <w:kern w:val="0"/>
                <w:szCs w:val="21"/>
              </w:rPr>
              <w:t>按规定时限公开预决算信息，1分；</w:t>
            </w:r>
            <w:r>
              <w:rPr>
                <w:rFonts w:asciiTheme="minorEastAsia" w:hAnsiTheme="minorEastAsia" w:eastAsiaTheme="minorEastAsia"/>
                <w:kern w:val="0"/>
                <w:szCs w:val="21"/>
              </w:rPr>
              <w:t>③</w:t>
            </w:r>
            <w:r>
              <w:rPr>
                <w:rFonts w:ascii="Times New Roman" w:hAnsi="Times New Roman" w:eastAsiaTheme="minorEastAsia"/>
                <w:kern w:val="0"/>
                <w:szCs w:val="21"/>
              </w:rPr>
              <w:t>基础数据信息和会计信息资料真实，1分；</w:t>
            </w:r>
            <w:r>
              <w:rPr>
                <w:rFonts w:asciiTheme="minorEastAsia" w:hAnsiTheme="minorEastAsia" w:eastAsiaTheme="minorEastAsia"/>
                <w:kern w:val="0"/>
                <w:szCs w:val="21"/>
              </w:rPr>
              <w:t>④</w:t>
            </w:r>
            <w:r>
              <w:rPr>
                <w:rFonts w:ascii="Times New Roman" w:hAnsi="Times New Roman" w:eastAsiaTheme="minorEastAsia"/>
                <w:kern w:val="0"/>
                <w:szCs w:val="21"/>
              </w:rPr>
              <w:t>基础数据信息和会计信息资料完整，1分；</w:t>
            </w:r>
            <w:r>
              <w:rPr>
                <w:rFonts w:asciiTheme="minorEastAsia" w:hAnsiTheme="minorEastAsia" w:eastAsiaTheme="minorEastAsia"/>
                <w:kern w:val="0"/>
                <w:szCs w:val="21"/>
              </w:rPr>
              <w:t>⑤</w:t>
            </w:r>
            <w:r>
              <w:rPr>
                <w:rFonts w:ascii="Times New Roman" w:hAnsi="Times New Roman" w:eastAsiaTheme="minorEastAsia"/>
                <w:kern w:val="0"/>
                <w:szCs w:val="21"/>
              </w:rPr>
              <w:t>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产出及效率</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职责履行</w:t>
            </w:r>
          </w:p>
        </w:tc>
        <w:tc>
          <w:tcPr>
            <w:tcW w:w="752"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1074" w:type="dxa"/>
            <w:tcBorders>
              <w:top w:val="nil"/>
              <w:left w:val="nil"/>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重点工作实际完成率</w:t>
            </w:r>
          </w:p>
        </w:tc>
        <w:tc>
          <w:tcPr>
            <w:tcW w:w="752"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根据绩效办2015年对各部门为民办实事和部门重点工程与重点工作考核分数折算。</w:t>
            </w:r>
            <w:r>
              <w:rPr>
                <w:rFonts w:ascii="Times New Roman" w:hAnsi="Times New Roman" w:eastAsiaTheme="minorEastAsia"/>
                <w:kern w:val="0"/>
                <w:szCs w:val="21"/>
              </w:rPr>
              <w:br w:type="textWrapping"/>
            </w:r>
            <w:r>
              <w:rPr>
                <w:rFonts w:ascii="Times New Roman" w:hAnsi="Times New Roman" w:eastAsiaTheme="minorEastAsia"/>
                <w:kern w:val="0"/>
                <w:szCs w:val="21"/>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Layout w:type="fixed"/>
          <w:tblCellMar>
            <w:top w:w="0" w:type="dxa"/>
            <w:left w:w="108" w:type="dxa"/>
            <w:bottom w:w="0" w:type="dxa"/>
            <w:right w:w="108" w:type="dxa"/>
          </w:tblCellMar>
        </w:tblPrEx>
        <w:trPr>
          <w:trHeight w:val="444"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履职效益</w:t>
            </w: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经济效益</w:t>
            </w:r>
          </w:p>
        </w:tc>
        <w:tc>
          <w:tcPr>
            <w:tcW w:w="7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6190" w:type="dxa"/>
            <w:gridSpan w:val="2"/>
            <w:vMerge w:val="restart"/>
            <w:tcBorders>
              <w:top w:val="single" w:color="auto" w:sz="4" w:space="0"/>
              <w:left w:val="single" w:color="auto" w:sz="4" w:space="0"/>
              <w:bottom w:val="single" w:color="auto" w:sz="4" w:space="0"/>
              <w:right w:val="single" w:color="000000"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此两项指标为设置部门整体支出绩效评价指标时必须考虑的共性要素，可根据部门实际情况有选择的进行设置，并将其细化为相应的个性化指标。</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6</w:t>
            </w:r>
          </w:p>
        </w:tc>
      </w:tr>
      <w:tr>
        <w:tblPrEx>
          <w:tblLayout w:type="fixed"/>
          <w:tblCellMar>
            <w:top w:w="0" w:type="dxa"/>
            <w:left w:w="108" w:type="dxa"/>
            <w:bottom w:w="0" w:type="dxa"/>
            <w:right w:w="108" w:type="dxa"/>
          </w:tblCellMar>
        </w:tblPrEx>
        <w:trPr>
          <w:trHeight w:val="421"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社会效益</w:t>
            </w:r>
          </w:p>
        </w:tc>
        <w:tc>
          <w:tcPr>
            <w:tcW w:w="752" w:type="dxa"/>
            <w:vMerge w:val="continue"/>
            <w:tcBorders>
              <w:top w:val="single" w:color="auto" w:sz="4" w:space="0"/>
              <w:left w:val="single" w:color="auto" w:sz="4" w:space="0"/>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p>
        </w:tc>
        <w:tc>
          <w:tcPr>
            <w:tcW w:w="622" w:type="dxa"/>
            <w:tcBorders>
              <w:top w:val="single" w:color="auto" w:sz="4" w:space="0"/>
              <w:left w:val="nil"/>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12</w:t>
            </w: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行政效能</w:t>
            </w:r>
          </w:p>
        </w:tc>
        <w:tc>
          <w:tcPr>
            <w:tcW w:w="75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社会公众或服务对象满意度</w:t>
            </w:r>
          </w:p>
        </w:tc>
        <w:tc>
          <w:tcPr>
            <w:tcW w:w="752"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90%（含）以上计6分；</w:t>
            </w:r>
            <w:r>
              <w:rPr>
                <w:rFonts w:ascii="Times New Roman" w:hAnsi="Times New Roman" w:eastAsiaTheme="minorEastAsia"/>
                <w:kern w:val="0"/>
                <w:szCs w:val="21"/>
              </w:rPr>
              <w:br w:type="textWrapping"/>
            </w:r>
            <w:r>
              <w:rPr>
                <w:rFonts w:ascii="Times New Roman" w:hAnsi="Times New Roman" w:eastAsiaTheme="minorEastAsia"/>
                <w:kern w:val="0"/>
                <w:szCs w:val="21"/>
              </w:rPr>
              <w:t>80%（含）-90%，计4分；</w:t>
            </w:r>
            <w:r>
              <w:rPr>
                <w:rFonts w:ascii="Times New Roman" w:hAnsi="Times New Roman" w:eastAsiaTheme="minorEastAsia"/>
                <w:kern w:val="0"/>
                <w:szCs w:val="21"/>
              </w:rPr>
              <w:br w:type="textWrapping"/>
            </w:r>
            <w:r>
              <w:rPr>
                <w:rFonts w:ascii="Times New Roman" w:hAnsi="Times New Roman" w:eastAsiaTheme="minorEastAsia"/>
                <w:kern w:val="0"/>
                <w:szCs w:val="21"/>
              </w:rPr>
              <w:t>70%（含）-80%，计2分；</w:t>
            </w:r>
            <w:r>
              <w:rPr>
                <w:rFonts w:ascii="Times New Roman" w:hAnsi="Times New Roman" w:eastAsiaTheme="minorEastAsia"/>
                <w:kern w:val="0"/>
                <w:szCs w:val="21"/>
              </w:rPr>
              <w:br w:type="textWrapping"/>
            </w:r>
            <w:r>
              <w:rPr>
                <w:rFonts w:ascii="Times New Roman" w:hAnsi="Times New Roman" w:eastAsiaTheme="minorEastAsia"/>
                <w:kern w:val="0"/>
                <w:szCs w:val="21"/>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6</w:t>
            </w:r>
          </w:p>
        </w:tc>
      </w:tr>
      <w:tr>
        <w:tblPrEx>
          <w:tblLayout w:type="fixed"/>
          <w:tblCellMar>
            <w:top w:w="0" w:type="dxa"/>
            <w:left w:w="108" w:type="dxa"/>
            <w:bottom w:w="0" w:type="dxa"/>
            <w:right w:w="108" w:type="dxa"/>
          </w:tblCellMar>
        </w:tblPrEx>
        <w:trPr>
          <w:trHeight w:val="371"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合计</w:t>
            </w: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5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98C2"/>
    <w:multiLevelType w:val="singleLevel"/>
    <w:tmpl w:val="171198C2"/>
    <w:lvl w:ilvl="0" w:tentative="0">
      <w:start w:val="1"/>
      <w:numFmt w:val="decimal"/>
      <w:suff w:val="space"/>
      <w:lvlText w:val="%1."/>
      <w:lvlJc w:val="left"/>
    </w:lvl>
  </w:abstractNum>
  <w:abstractNum w:abstractNumId="1">
    <w:nsid w:val="64725C7B"/>
    <w:multiLevelType w:val="singleLevel"/>
    <w:tmpl w:val="64725C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C5772B"/>
    <w:rsid w:val="00117475"/>
    <w:rsid w:val="00185BFF"/>
    <w:rsid w:val="001D32DB"/>
    <w:rsid w:val="00231AD5"/>
    <w:rsid w:val="00360E1D"/>
    <w:rsid w:val="003B7ADF"/>
    <w:rsid w:val="00467BD3"/>
    <w:rsid w:val="0071244B"/>
    <w:rsid w:val="00771477"/>
    <w:rsid w:val="009700C9"/>
    <w:rsid w:val="00B70BCA"/>
    <w:rsid w:val="00C2786D"/>
    <w:rsid w:val="00C4648C"/>
    <w:rsid w:val="00CD70FA"/>
    <w:rsid w:val="00DC1C97"/>
    <w:rsid w:val="00E074A9"/>
    <w:rsid w:val="00E102BF"/>
    <w:rsid w:val="1BF8226D"/>
    <w:rsid w:val="21E132B9"/>
    <w:rsid w:val="2CC57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index 5"/>
    <w:basedOn w:val="1"/>
    <w:next w:val="1"/>
    <w:qFormat/>
    <w:uiPriority w:val="0"/>
    <w:pPr>
      <w:ind w:left="1680"/>
    </w:pPr>
  </w:style>
  <w:style w:type="paragraph" w:styleId="4">
    <w:name w:val="footer"/>
    <w:basedOn w:val="1"/>
    <w:next w:val="3"/>
    <w:qFormat/>
    <w:uiPriority w:val="99"/>
    <w:pPr>
      <w:tabs>
        <w:tab w:val="center" w:pos="4153"/>
        <w:tab w:val="right" w:pos="8306"/>
      </w:tabs>
      <w:snapToGrid w:val="0"/>
      <w:jc w:val="left"/>
    </w:pPr>
    <w:rPr>
      <w:sz w:val="18"/>
      <w:szCs w:val="18"/>
    </w:rPr>
  </w:style>
  <w:style w:type="paragraph" w:styleId="5">
    <w:name w:val="header"/>
    <w:basedOn w:val="1"/>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peoplefilling"/>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763</Words>
  <Characters>4352</Characters>
  <Lines>36</Lines>
  <Paragraphs>10</Paragraphs>
  <TotalTime>0</TotalTime>
  <ScaleCrop>false</ScaleCrop>
  <LinksUpToDate>false</LinksUpToDate>
  <CharactersWithSpaces>5105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2022-06-19T13:35:00Z</dcterms:created>
  <dc:creator>ʚ 小王子 ɞ</dc:creator>
  <cp:lastModifiedBy>【晴】。</cp:lastModifiedBy>
  <dcterms:modified xsi:type="dcterms:W3CDTF">2023-10-20T01:42:15Z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