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hint="eastAsia" w:ascii="Times New Roman" w:hAnsi="Times New Roman" w:cs="Times New Roman"/>
          <w:b/>
          <w:sz w:val="48"/>
          <w:szCs w:val="48"/>
        </w:rPr>
      </w:pPr>
      <w:r>
        <w:rPr>
          <w:rFonts w:hint="eastAsia" w:ascii="Times New Roman" w:hAnsi="Times New Roman" w:cs="Times New Roman"/>
          <w:b/>
          <w:sz w:val="48"/>
          <w:szCs w:val="48"/>
        </w:rPr>
        <w:t>澧县社会保险服务中心</w:t>
      </w:r>
    </w:p>
    <w:p>
      <w:pPr>
        <w:jc w:val="center"/>
        <w:rPr>
          <w:rFonts w:ascii="Times New Roman" w:hAnsi="Times New Roman" w:eastAsia="仿宋_GB2312" w:cs="Times New Roman"/>
          <w:b/>
          <w:sz w:val="32"/>
          <w:szCs w:val="32"/>
        </w:rPr>
      </w:pPr>
      <w:bookmarkStart w:id="0" w:name="_GoBack"/>
      <w:bookmarkEnd w:id="0"/>
      <w:r>
        <w:rPr>
          <w:rFonts w:hint="eastAsia" w:ascii="Times New Roman" w:hAnsi="Times New Roman" w:cs="Times New Roman"/>
          <w:b/>
          <w:sz w:val="48"/>
          <w:szCs w:val="48"/>
        </w:rPr>
        <w:t>2021年度整体支出绩效和重点项目绩效评价报告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日</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cs="Times New Roman" w:hAnsiTheme="majorEastAsia"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cs="Times New Roman" w:hAnsiTheme="majorEastAsia" w:eastAsiaTheme="majorEastAsia"/>
          <w:b/>
          <w:sz w:val="44"/>
          <w:szCs w:val="44"/>
        </w:rPr>
        <w:t>澧县</w:t>
      </w:r>
      <w:r>
        <w:rPr>
          <w:rFonts w:hint="eastAsia" w:ascii="Times New Roman" w:hAnsi="Times New Roman" w:cs="Times New Roman" w:eastAsiaTheme="majorEastAsia"/>
          <w:b/>
          <w:sz w:val="44"/>
          <w:szCs w:val="44"/>
        </w:rPr>
        <w:t>社会保险服务中心</w:t>
      </w:r>
      <w:r>
        <w:rPr>
          <w:rFonts w:ascii="Times New Roman" w:cs="Times New Roman" w:hAnsiTheme="majorEastAsia" w:eastAsiaTheme="majorEastAsia"/>
          <w:b/>
          <w:sz w:val="44"/>
          <w:szCs w:val="44"/>
        </w:rPr>
        <w:t>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绩效自评报告</w:t>
      </w:r>
    </w:p>
    <w:p>
      <w:pPr>
        <w:spacing w:line="580" w:lineRule="exact"/>
        <w:rPr>
          <w:rFonts w:ascii="Times New Roman" w:hAnsi="Times New Roman" w:eastAsia="仿宋" w:cs="Times New Roman"/>
          <w:sz w:val="32"/>
          <w:szCs w:val="32"/>
        </w:rPr>
      </w:pPr>
    </w:p>
    <w:p>
      <w:pPr>
        <w:spacing w:line="580" w:lineRule="exact"/>
        <w:ind w:firstLine="643" w:firstLineChars="200"/>
        <w:rPr>
          <w:rFonts w:cs="Times New Roman" w:asciiTheme="minorEastAsia" w:hAnsiTheme="minorEastAsia"/>
          <w:b/>
          <w:sz w:val="32"/>
          <w:szCs w:val="32"/>
        </w:rPr>
      </w:pPr>
      <w:r>
        <w:rPr>
          <w:rFonts w:cs="Times New Roman" w:asciiTheme="minorEastAsia" w:hAnsiTheme="minorEastAsia"/>
          <w:b/>
          <w:sz w:val="32"/>
          <w:szCs w:val="32"/>
        </w:rPr>
        <w:t>一、单位基本情况</w:t>
      </w:r>
    </w:p>
    <w:p>
      <w:pPr>
        <w:widowControl/>
        <w:ind w:firstLine="640" w:firstLineChars="200"/>
        <w:rPr>
          <w:rFonts w:ascii="仿宋" w:hAnsi="仿宋" w:eastAsia="仿宋"/>
          <w:color w:val="222222"/>
          <w:sz w:val="32"/>
          <w:szCs w:val="32"/>
        </w:rPr>
      </w:pPr>
      <w:r>
        <w:rPr>
          <w:rFonts w:ascii="Times New Roman" w:hAnsi="仿宋" w:eastAsia="仿宋" w:cs="Times New Roman"/>
          <w:sz w:val="32"/>
          <w:szCs w:val="32"/>
        </w:rPr>
        <w:t>（</w:t>
      </w:r>
      <w:r>
        <w:rPr>
          <w:rFonts w:ascii="仿宋" w:hAnsi="仿宋" w:eastAsia="仿宋" w:cs="Times New Roman"/>
          <w:sz w:val="32"/>
          <w:szCs w:val="32"/>
        </w:rPr>
        <w:t>一）</w:t>
      </w:r>
      <w:r>
        <w:rPr>
          <w:rFonts w:ascii="仿宋" w:hAnsi="仿宋" w:eastAsia="仿宋"/>
          <w:color w:val="222222"/>
          <w:sz w:val="32"/>
          <w:szCs w:val="32"/>
        </w:rPr>
        <w:t>机构、人员构成</w:t>
      </w:r>
    </w:p>
    <w:p>
      <w:pPr>
        <w:widowControl/>
        <w:ind w:firstLine="640" w:firstLineChars="200"/>
        <w:rPr>
          <w:rFonts w:ascii="仿宋" w:hAnsi="仿宋" w:eastAsia="仿宋"/>
          <w:color w:val="222222"/>
          <w:sz w:val="32"/>
          <w:szCs w:val="32"/>
        </w:rPr>
      </w:pPr>
      <w:r>
        <w:rPr>
          <w:rFonts w:hint="eastAsia" w:ascii="仿宋" w:hAnsi="仿宋" w:eastAsia="仿宋"/>
          <w:sz w:val="32"/>
          <w:szCs w:val="32"/>
        </w:rPr>
        <w:t>我单位是</w:t>
      </w:r>
      <w:r>
        <w:rPr>
          <w:rFonts w:hint="eastAsia" w:ascii="仿宋" w:hAnsi="仿宋" w:eastAsia="仿宋" w:cs="宋体"/>
          <w:sz w:val="32"/>
          <w:szCs w:val="32"/>
        </w:rPr>
        <w:t>澧县人力资源和社会保障局下属</w:t>
      </w:r>
      <w:r>
        <w:rPr>
          <w:rFonts w:hint="eastAsia" w:ascii="仿宋" w:hAnsi="仿宋" w:eastAsia="仿宋"/>
          <w:sz w:val="32"/>
          <w:szCs w:val="32"/>
        </w:rPr>
        <w:t>独立核算的二级预算单位，属于参照公务员法管理的事业单位，执行政府会计制度。2021年末我单位享受财政供养的人员共81人，其中：在职人员67人，退休人员14人。本年人员异动情况：调出本单位人员2人，退休1人。</w:t>
      </w:r>
    </w:p>
    <w:p>
      <w:pPr>
        <w:spacing w:line="580" w:lineRule="exact"/>
        <w:ind w:firstLine="640" w:firstLineChars="200"/>
        <w:rPr>
          <w:rFonts w:ascii="仿宋" w:hAnsi="仿宋" w:eastAsia="仿宋"/>
          <w:sz w:val="32"/>
          <w:szCs w:val="32"/>
        </w:rPr>
      </w:pPr>
      <w:r>
        <w:rPr>
          <w:rFonts w:ascii="仿宋" w:hAnsi="仿宋" w:eastAsia="仿宋" w:cs="Times New Roman"/>
          <w:sz w:val="32"/>
          <w:szCs w:val="32"/>
        </w:rPr>
        <w:t>（二）</w:t>
      </w:r>
      <w:r>
        <w:rPr>
          <w:rFonts w:ascii="仿宋" w:hAnsi="仿宋" w:eastAsia="仿宋"/>
          <w:sz w:val="32"/>
          <w:szCs w:val="32"/>
        </w:rPr>
        <w:t>单位主要职责</w:t>
      </w:r>
    </w:p>
    <w:p>
      <w:pPr>
        <w:widowControl/>
        <w:ind w:firstLine="640" w:firstLineChars="200"/>
        <w:rPr>
          <w:rFonts w:ascii="仿宋" w:hAnsi="仿宋" w:eastAsia="仿宋"/>
          <w:color w:val="222222"/>
          <w:sz w:val="32"/>
          <w:szCs w:val="32"/>
        </w:rPr>
      </w:pPr>
      <w:r>
        <w:rPr>
          <w:rFonts w:hint="eastAsia" w:ascii="仿宋" w:hAnsi="仿宋" w:eastAsia="仿宋"/>
          <w:sz w:val="32"/>
          <w:szCs w:val="32"/>
        </w:rPr>
        <w:t xml:space="preserve"> </w:t>
      </w:r>
      <w:r>
        <w:rPr>
          <w:rFonts w:hint="eastAsia" w:ascii="仿宋" w:hAnsi="仿宋" w:eastAsia="仿宋" w:cs="宋体"/>
          <w:sz w:val="32"/>
          <w:szCs w:val="32"/>
        </w:rPr>
        <w:t>我单位主要履行以下职责：</w:t>
      </w:r>
      <w:r>
        <w:rPr>
          <w:rFonts w:hint="eastAsia" w:ascii="仿宋" w:hAnsi="仿宋" w:eastAsia="仿宋"/>
          <w:sz w:val="32"/>
          <w:szCs w:val="32"/>
        </w:rPr>
        <w:t>贯彻执行各类养老保险政策，承担全县企业职工、城乡居民、机关事业单位的社会养老保险基金的拨付等业务管理工作；负责职业年金上解等业务管理工作；负责商物两办改制企业职工置换金异动、拨付和养老保险代扣代缴；负责全县离退休人员社会化管理和各类养老待遇代发工作；负责全县离退休人员死亡丧葬费、抚恤金和遗属生活补助费的管理和发放工作；负责全县离退休人员社会化管理服务等。</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（三）单位财务情况</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年末资产合计187.45万元，其中固定资产152.09万元，占总资产的81.14%，货币资金等流动资产35.36万元，占总资产的18.86%。</w:t>
      </w:r>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（四）绩效目标完成情况</w:t>
      </w:r>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1.我单位2021年有退管工作经费、新型农村养老保险改革专项、一次性抚恤、丧葬费、遗属生活补助和机关事业单位退休生活补助代发工作经费四个项目绩效目标任务。</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2.本年度绩效目标任务资金按时按需到位，保证财政补贴及时到位，退管工作经费、城居保工作经费及时下拨各乡镇，一次性抚恤、丧葬费、遗属生活补助发放到位。</w:t>
      </w:r>
    </w:p>
    <w:p>
      <w:pPr>
        <w:spacing w:line="580" w:lineRule="exact"/>
        <w:ind w:firstLine="643" w:firstLineChars="200"/>
        <w:rPr>
          <w:rFonts w:cs="Times New Roman" w:asciiTheme="minorEastAsia" w:hAnsiTheme="minorEastAsia"/>
          <w:b/>
          <w:sz w:val="32"/>
          <w:szCs w:val="32"/>
        </w:rPr>
      </w:pPr>
      <w:r>
        <w:rPr>
          <w:rFonts w:hint="eastAsia" w:asciiTheme="minorEastAsia" w:hAnsiTheme="minorEastAsia"/>
          <w:b/>
          <w:sz w:val="32"/>
          <w:szCs w:val="32"/>
        </w:rPr>
        <w:t>二、一般公共预算支出情况</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（一）基本支出情况</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年度基本支出883.44万元，其中“三公”经费支出4.49万元：公务接待费支出4.49万元，因公出国（境）费支出0万元，公务用车购置费及运行维护费支出0万元。我单位较好的落实了上级的要求，厉行节约，压缩一般性行政经费，严格三公经费支出的审核把关和规范三公经费支出程序。会议费支出8.37万元，培训费支出2.2万元，较上年度均有减少。</w:t>
      </w:r>
    </w:p>
    <w:p>
      <w:pPr>
        <w:spacing w:line="580" w:lineRule="exact"/>
        <w:ind w:firstLine="640" w:firstLineChars="200"/>
        <w:rPr>
          <w:rFonts w:ascii="仿宋" w:hAnsi="仿宋" w:eastAsia="仿宋"/>
          <w:color w:val="222222"/>
          <w:sz w:val="32"/>
          <w:szCs w:val="32"/>
        </w:rPr>
      </w:pPr>
      <w:r>
        <w:rPr>
          <w:rFonts w:hint="eastAsia" w:ascii="仿宋" w:hAnsi="仿宋" w:eastAsia="仿宋" w:cs="Times New Roman"/>
          <w:sz w:val="32"/>
          <w:szCs w:val="32"/>
        </w:rPr>
        <w:t>（二）</w:t>
      </w:r>
      <w:r>
        <w:rPr>
          <w:rFonts w:hint="eastAsia" w:ascii="仿宋" w:hAnsi="仿宋" w:eastAsia="仿宋"/>
          <w:color w:val="222222"/>
          <w:sz w:val="32"/>
          <w:szCs w:val="32"/>
        </w:rPr>
        <w:t>项目支出情况</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一般公共预算支出61472.48万元：按支出性质分为：基本支出883.44万元，项目支出60589.04万元，分别占总支出的1.44%、98.56%； 按支出功能分为：社会保障和就业支出60465.96万元，卫生健康支出27.77万元，住房保障支出47.41万元，灾害防治和应急管理支出907.5万元，其他支出23.84万元。</w:t>
      </w:r>
    </w:p>
    <w:p>
      <w:pPr>
        <w:spacing w:line="580" w:lineRule="exact"/>
        <w:ind w:firstLine="643" w:firstLineChars="200"/>
        <w:rPr>
          <w:rFonts w:hint="eastAsia" w:cs="Times New Roman" w:asciiTheme="minorEastAsia" w:hAnsiTheme="minorEastAsia"/>
          <w:b/>
          <w:sz w:val="32"/>
          <w:szCs w:val="32"/>
        </w:rPr>
      </w:pPr>
      <w:r>
        <w:rPr>
          <w:rFonts w:hint="eastAsia" w:cs="Times New Roman" w:asciiTheme="minorEastAsia" w:hAnsiTheme="minorEastAsia"/>
          <w:b/>
          <w:sz w:val="32"/>
          <w:szCs w:val="32"/>
        </w:rPr>
        <w:t>三、政府性基金预算支出情况</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2021年政府性基金预算支出3659万元，全部属于项目支出。</w:t>
      </w:r>
    </w:p>
    <w:p>
      <w:pPr>
        <w:spacing w:line="580" w:lineRule="exact"/>
        <w:ind w:firstLine="643" w:firstLineChars="200"/>
        <w:rPr>
          <w:rFonts w:hint="eastAsia" w:cs="Times New Roman" w:asciiTheme="minorEastAsia" w:hAnsiTheme="minorEastAsia"/>
          <w:b/>
          <w:sz w:val="32"/>
          <w:szCs w:val="32"/>
        </w:rPr>
      </w:pPr>
      <w:r>
        <w:rPr>
          <w:rFonts w:hint="eastAsia" w:cs="Times New Roman" w:asciiTheme="minorEastAsia" w:hAnsiTheme="minorEastAsia"/>
          <w:b/>
          <w:sz w:val="32"/>
          <w:szCs w:val="32"/>
        </w:rPr>
        <w:t>四、国有资本经营预算支出情况</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无。</w:t>
      </w:r>
    </w:p>
    <w:p>
      <w:pPr>
        <w:spacing w:line="580" w:lineRule="exact"/>
        <w:ind w:firstLine="643" w:firstLineChars="200"/>
        <w:rPr>
          <w:rFonts w:hint="eastAsia" w:cs="Times New Roman" w:asciiTheme="minorEastAsia" w:hAnsiTheme="minorEastAsia"/>
          <w:b/>
          <w:sz w:val="32"/>
          <w:szCs w:val="32"/>
        </w:rPr>
      </w:pPr>
      <w:r>
        <w:rPr>
          <w:rFonts w:hint="eastAsia" w:cs="Times New Roman" w:asciiTheme="minorEastAsia" w:hAnsiTheme="minorEastAsia"/>
          <w:b/>
          <w:sz w:val="32"/>
          <w:szCs w:val="32"/>
        </w:rPr>
        <w:t>五、社会保险基金预算支出情况</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无。</w:t>
      </w:r>
    </w:p>
    <w:p>
      <w:pPr>
        <w:spacing w:line="580" w:lineRule="exact"/>
        <w:ind w:firstLine="643" w:firstLineChars="200"/>
        <w:rPr>
          <w:rFonts w:cs="Times New Roman" w:asciiTheme="minorEastAsia" w:hAnsiTheme="minorEastAsia"/>
          <w:b/>
          <w:sz w:val="32"/>
          <w:szCs w:val="32"/>
        </w:rPr>
      </w:pPr>
      <w:r>
        <w:rPr>
          <w:rFonts w:hint="eastAsia" w:cs="Times New Roman" w:asciiTheme="minorEastAsia" w:hAnsiTheme="minorEastAsia"/>
          <w:b/>
          <w:sz w:val="32"/>
          <w:szCs w:val="32"/>
        </w:rPr>
        <w:t>六</w:t>
      </w:r>
      <w:r>
        <w:rPr>
          <w:rFonts w:cs="Times New Roman" w:asciiTheme="minorEastAsia" w:hAnsiTheme="minorEastAsia"/>
          <w:b/>
          <w:sz w:val="32"/>
          <w:szCs w:val="32"/>
        </w:rPr>
        <w:t>、单位整体支出绩效情况</w:t>
      </w:r>
    </w:p>
    <w:p>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按照湘财绩相关文件要求，我单位对部门整体支出绩效开展了自评，绩效评价结果显示，我单位2021年度绩效目标完成较好，在预算配置、预算执行、预算管理等方面较好的完成了各项工作发展。主要体现在以下方面：</w:t>
      </w:r>
    </w:p>
    <w:p>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1、本年度共为1万名机关事业单位退休人员发放养老金5.15亿，为5.2万名企业退休人员发放养老金10.39亿元；为515名企业职工发放死亡丧葬费和抚恤金2946万元。发放率保持100%，有力地维护了参保人员的权益。</w:t>
      </w:r>
    </w:p>
    <w:p>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2、本年度共为194人支付一次性抚恤金、丧葬费1428.78万元，其中抚恤费1302.43万元、丧葬126..35万元，为884名遗属对象按月打卡放发遗属生活补助费683.71万元。</w:t>
      </w:r>
    </w:p>
    <w:p>
      <w:pPr>
        <w:widowControl/>
        <w:ind w:firstLine="640" w:firstLineChars="200"/>
        <w:rPr>
          <w:rFonts w:ascii="仿宋" w:hAnsi="仿宋" w:eastAsia="仿宋" w:cs="Times New Roman"/>
          <w:sz w:val="32"/>
          <w:szCs w:val="32"/>
        </w:rPr>
      </w:pPr>
      <w:r>
        <w:rPr>
          <w:rFonts w:hint="eastAsia" w:ascii="仿宋" w:hAnsi="仿宋" w:eastAsia="仿宋" w:cs="Times New Roman"/>
          <w:sz w:val="32"/>
          <w:szCs w:val="32"/>
        </w:rPr>
        <w:t>3、本年度城乡居民养老保险财政县级补助收入为1135.8万元，足额给予澧县城乡居民养老保险15.3万待遇领取人员及30.4万缴费人员财政补贴。为12559名特困人员代缴养老保险费125.59万元。</w:t>
      </w:r>
    </w:p>
    <w:p>
      <w:pPr>
        <w:spacing w:line="580" w:lineRule="exact"/>
        <w:ind w:firstLine="643" w:firstLineChars="200"/>
        <w:rPr>
          <w:rFonts w:cs="Times New Roman" w:asciiTheme="minorEastAsia" w:hAnsiTheme="minorEastAsia"/>
          <w:b/>
          <w:sz w:val="32"/>
          <w:szCs w:val="32"/>
        </w:rPr>
      </w:pPr>
      <w:r>
        <w:rPr>
          <w:rFonts w:hint="eastAsia" w:cs="Times New Roman" w:asciiTheme="minorEastAsia" w:hAnsiTheme="minorEastAsia"/>
          <w:b/>
          <w:sz w:val="32"/>
          <w:szCs w:val="32"/>
        </w:rPr>
        <w:t>七</w:t>
      </w:r>
      <w:r>
        <w:rPr>
          <w:rFonts w:cs="Times New Roman" w:asciiTheme="minorEastAsia" w:hAnsiTheme="minorEastAsia"/>
          <w:b/>
          <w:sz w:val="32"/>
          <w:szCs w:val="32"/>
        </w:rPr>
        <w:t>、存在的问题</w:t>
      </w:r>
      <w:r>
        <w:rPr>
          <w:rFonts w:hint="eastAsia" w:cs="Times New Roman" w:asciiTheme="minorEastAsia" w:hAnsiTheme="minorEastAsia"/>
          <w:b/>
          <w:sz w:val="32"/>
          <w:szCs w:val="32"/>
        </w:rPr>
        <w:t>及原因分析</w:t>
      </w:r>
    </w:p>
    <w:p>
      <w:pPr>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无。</w:t>
      </w:r>
    </w:p>
    <w:p>
      <w:pPr>
        <w:spacing w:line="580" w:lineRule="exact"/>
        <w:ind w:firstLine="643" w:firstLineChars="200"/>
        <w:rPr>
          <w:rFonts w:cs="Times New Roman" w:asciiTheme="minorEastAsia" w:hAnsiTheme="minorEastAsia"/>
          <w:b/>
          <w:sz w:val="32"/>
          <w:szCs w:val="32"/>
        </w:rPr>
      </w:pPr>
      <w:r>
        <w:rPr>
          <w:rFonts w:hint="eastAsia" w:cs="Times New Roman" w:asciiTheme="minorEastAsia" w:hAnsiTheme="minorEastAsia"/>
          <w:b/>
          <w:sz w:val="32"/>
          <w:szCs w:val="32"/>
        </w:rPr>
        <w:t>八</w:t>
      </w:r>
      <w:r>
        <w:rPr>
          <w:rFonts w:cs="Times New Roman" w:asciiTheme="minorEastAsia" w:hAnsiTheme="minorEastAsia"/>
          <w:b/>
          <w:sz w:val="32"/>
          <w:szCs w:val="32"/>
        </w:rPr>
        <w:t>、下一步改进措施</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无。</w:t>
      </w:r>
    </w:p>
    <w:p>
      <w:pPr>
        <w:spacing w:line="580" w:lineRule="exact"/>
        <w:ind w:firstLine="643" w:firstLineChars="200"/>
        <w:rPr>
          <w:rFonts w:hint="eastAsia" w:cs="Times New Roman" w:asciiTheme="minorEastAsia" w:hAnsiTheme="minorEastAsia"/>
          <w:b/>
          <w:sz w:val="32"/>
          <w:szCs w:val="32"/>
        </w:rPr>
      </w:pPr>
      <w:r>
        <w:rPr>
          <w:rFonts w:hint="eastAsia" w:cs="Times New Roman" w:asciiTheme="minorEastAsia" w:hAnsiTheme="minorEastAsia"/>
          <w:b/>
          <w:sz w:val="32"/>
          <w:szCs w:val="32"/>
        </w:rPr>
        <w:t>九、单位整体支出绩效自评结果拟应用和公开情况</w:t>
      </w:r>
    </w:p>
    <w:p>
      <w:pPr>
        <w:spacing w:line="580" w:lineRule="exact"/>
        <w:ind w:firstLine="640" w:firstLineChars="200"/>
        <w:rPr>
          <w:rFonts w:cs="Times New Roman" w:asciiTheme="minorEastAsia" w:hAnsiTheme="minorEastAsia"/>
          <w:b/>
          <w:sz w:val="32"/>
          <w:szCs w:val="32"/>
        </w:rPr>
      </w:pPr>
      <w:r>
        <w:rPr>
          <w:rFonts w:hint="eastAsia" w:ascii="仿宋" w:hAnsi="仿宋" w:eastAsia="仿宋" w:cs="Times New Roman"/>
          <w:sz w:val="32"/>
          <w:szCs w:val="32"/>
        </w:rPr>
        <w:t>根据《湖南省人民政府关于全面推进预算绩效管理的意见》和湘财绩相关文件精神，我单位组织开展了绩效考评，通过核实数据、查阅资料、实地查看、归纳汇总等环节对绩效执行情况、资金的来源和使用情况以及绩效目标的实现程度进行了分析评价，并形成了自评报告。</w:t>
      </w:r>
      <w:r>
        <w:rPr>
          <w:rFonts w:hint="eastAsia" w:ascii="仿宋" w:hAnsi="仿宋" w:eastAsia="仿宋"/>
          <w:sz w:val="32"/>
          <w:szCs w:val="32"/>
        </w:rPr>
        <w:t>及时在绩效系统内编报绩效目标申报，开展绩效跟踪及单位整体支出绩效评价。</w:t>
      </w:r>
    </w:p>
    <w:p>
      <w:pPr>
        <w:spacing w:line="580" w:lineRule="exact"/>
        <w:ind w:firstLine="643" w:firstLineChars="200"/>
        <w:rPr>
          <w:rFonts w:cs="Times New Roman" w:asciiTheme="minorEastAsia" w:hAnsiTheme="minorEastAsia"/>
          <w:b/>
          <w:sz w:val="32"/>
          <w:szCs w:val="32"/>
        </w:rPr>
      </w:pPr>
      <w:r>
        <w:rPr>
          <w:rFonts w:hint="eastAsia" w:cs="Times New Roman" w:asciiTheme="minorEastAsia" w:hAnsiTheme="minorEastAsia"/>
          <w:b/>
          <w:sz w:val="32"/>
          <w:szCs w:val="32"/>
        </w:rPr>
        <w:t>十</w:t>
      </w:r>
      <w:r>
        <w:rPr>
          <w:rFonts w:cs="Times New Roman" w:asciiTheme="minorEastAsia" w:hAnsiTheme="minorEastAsia"/>
          <w:b/>
          <w:sz w:val="32"/>
          <w:szCs w:val="32"/>
        </w:rPr>
        <w:t>、其他需要说明的情况</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无。</w:t>
      </w:r>
    </w:p>
    <w:p>
      <w:pPr>
        <w:spacing w:line="580" w:lineRule="exact"/>
        <w:ind w:firstLine="640" w:firstLineChars="200"/>
        <w:rPr>
          <w:rFonts w:ascii="Times New Roman" w:hAnsi="黑体" w:eastAsia="黑体" w:cs="Times New Roman"/>
          <w:sz w:val="32"/>
          <w:szCs w:val="32"/>
        </w:rPr>
      </w:pPr>
    </w:p>
    <w:p>
      <w:pPr>
        <w:spacing w:line="580" w:lineRule="exact"/>
        <w:rPr>
          <w:rFonts w:ascii="Times New Roman" w:hAnsi="Times New Roman" w:eastAsia="仿宋" w:cs="Times New Roman"/>
          <w:sz w:val="32"/>
          <w:szCs w:val="32"/>
        </w:rPr>
      </w:pP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7D94564"/>
    <w:rsid w:val="00043DEA"/>
    <w:rsid w:val="0009342E"/>
    <w:rsid w:val="000B0CF5"/>
    <w:rsid w:val="001E5BDA"/>
    <w:rsid w:val="001F64DD"/>
    <w:rsid w:val="00202535"/>
    <w:rsid w:val="00226E16"/>
    <w:rsid w:val="0024555D"/>
    <w:rsid w:val="0027033B"/>
    <w:rsid w:val="00283A45"/>
    <w:rsid w:val="002864B4"/>
    <w:rsid w:val="002B1FE4"/>
    <w:rsid w:val="002B6B97"/>
    <w:rsid w:val="002F4BD8"/>
    <w:rsid w:val="003112C3"/>
    <w:rsid w:val="00325398"/>
    <w:rsid w:val="003475C4"/>
    <w:rsid w:val="00364EB8"/>
    <w:rsid w:val="00383F37"/>
    <w:rsid w:val="00384A26"/>
    <w:rsid w:val="004324E7"/>
    <w:rsid w:val="004C706C"/>
    <w:rsid w:val="005A3C2A"/>
    <w:rsid w:val="005C2C8F"/>
    <w:rsid w:val="005D0E71"/>
    <w:rsid w:val="00626EFA"/>
    <w:rsid w:val="006506AA"/>
    <w:rsid w:val="006638A9"/>
    <w:rsid w:val="006C4ABD"/>
    <w:rsid w:val="006C4D0C"/>
    <w:rsid w:val="00714590"/>
    <w:rsid w:val="00734415"/>
    <w:rsid w:val="00752726"/>
    <w:rsid w:val="007D568C"/>
    <w:rsid w:val="007E6424"/>
    <w:rsid w:val="00810A4F"/>
    <w:rsid w:val="00824008"/>
    <w:rsid w:val="00866AE9"/>
    <w:rsid w:val="00881447"/>
    <w:rsid w:val="008B5905"/>
    <w:rsid w:val="008B7151"/>
    <w:rsid w:val="008D547F"/>
    <w:rsid w:val="00905383"/>
    <w:rsid w:val="0095615F"/>
    <w:rsid w:val="00981C3B"/>
    <w:rsid w:val="009C2942"/>
    <w:rsid w:val="009C75EA"/>
    <w:rsid w:val="009F79FC"/>
    <w:rsid w:val="00A14731"/>
    <w:rsid w:val="00A558C6"/>
    <w:rsid w:val="00AA48A2"/>
    <w:rsid w:val="00AC0779"/>
    <w:rsid w:val="00AF1F45"/>
    <w:rsid w:val="00AF496B"/>
    <w:rsid w:val="00B11913"/>
    <w:rsid w:val="00B24AC6"/>
    <w:rsid w:val="00B54F16"/>
    <w:rsid w:val="00B9329D"/>
    <w:rsid w:val="00BF05FC"/>
    <w:rsid w:val="00BF3F4C"/>
    <w:rsid w:val="00C1005F"/>
    <w:rsid w:val="00C140B6"/>
    <w:rsid w:val="00C325FD"/>
    <w:rsid w:val="00CA2FFC"/>
    <w:rsid w:val="00CE1380"/>
    <w:rsid w:val="00D026C2"/>
    <w:rsid w:val="00D50FD8"/>
    <w:rsid w:val="00DA2E3C"/>
    <w:rsid w:val="00DE47D6"/>
    <w:rsid w:val="00E26470"/>
    <w:rsid w:val="00E40EA6"/>
    <w:rsid w:val="00E568E1"/>
    <w:rsid w:val="00E74E58"/>
    <w:rsid w:val="00E81156"/>
    <w:rsid w:val="00E902B0"/>
    <w:rsid w:val="00F07D7E"/>
    <w:rsid w:val="00F165F8"/>
    <w:rsid w:val="00F27393"/>
    <w:rsid w:val="00F3224A"/>
    <w:rsid w:val="00F92C09"/>
    <w:rsid w:val="02E602C3"/>
    <w:rsid w:val="0569626F"/>
    <w:rsid w:val="1F5E5F75"/>
    <w:rsid w:val="225C4890"/>
    <w:rsid w:val="27D94564"/>
    <w:rsid w:val="287C746C"/>
    <w:rsid w:val="2AC145FE"/>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267</Words>
  <Characters>1523</Characters>
  <Lines>12</Lines>
  <Paragraphs>3</Paragraphs>
  <TotalTime>383</TotalTime>
  <ScaleCrop>false</ScaleCrop>
  <LinksUpToDate>false</LinksUpToDate>
  <CharactersWithSpaces>1787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【晴】。</cp:lastModifiedBy>
  <cp:lastPrinted>2022-03-28T07:16:00Z</cp:lastPrinted>
  <dcterms:modified xsi:type="dcterms:W3CDTF">2023-12-07T00:47:15Z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2C748869A0314D468FCA60B514AE4557</vt:lpwstr>
  </property>
</Properties>
</file>