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880" w:firstLineChars="200"/>
        <w:jc w:val="center"/>
        <w:rPr>
          <w:rFonts w:hint="eastAsia" w:ascii="宋体" w:hAnsi="宋体" w:eastAsia="宋体" w:cs="宋体"/>
          <w:sz w:val="44"/>
          <w:szCs w:val="44"/>
        </w:rPr>
      </w:pPr>
      <w:r>
        <w:rPr>
          <w:rFonts w:hint="eastAsia" w:ascii="宋体" w:hAnsi="宋体" w:eastAsia="宋体" w:cs="宋体"/>
          <w:sz w:val="44"/>
          <w:szCs w:val="44"/>
          <w:lang w:val="en-US" w:eastAsia="zh-CN"/>
        </w:rPr>
        <w:t>澧县火连坡镇人民政府2021年度整体绩效评价报告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按照常德市财政局《关于明确</w:t>
      </w:r>
      <w:r>
        <w:rPr>
          <w:rFonts w:hint="eastAsia" w:ascii="仿宋" w:hAnsi="仿宋" w:eastAsia="仿宋" w:cs="仿宋"/>
          <w:sz w:val="32"/>
          <w:szCs w:val="32"/>
          <w:lang w:eastAsia="zh-CN"/>
        </w:rPr>
        <w:t>2020</w:t>
      </w:r>
      <w:r>
        <w:rPr>
          <w:rFonts w:hint="eastAsia" w:ascii="仿宋" w:hAnsi="仿宋" w:eastAsia="仿宋" w:cs="仿宋"/>
          <w:sz w:val="32"/>
          <w:szCs w:val="32"/>
        </w:rPr>
        <w:t>年度市本级预算绩效管理目标任务的通知》（常财办发〔</w:t>
      </w:r>
      <w:r>
        <w:rPr>
          <w:rFonts w:hint="eastAsia" w:ascii="仿宋" w:hAnsi="仿宋" w:eastAsia="仿宋" w:cs="仿宋"/>
          <w:sz w:val="32"/>
          <w:szCs w:val="32"/>
          <w:lang w:eastAsia="zh-CN"/>
        </w:rPr>
        <w:t>2020</w:t>
      </w:r>
      <w:r>
        <w:rPr>
          <w:rFonts w:hint="eastAsia" w:ascii="仿宋" w:hAnsi="仿宋" w:eastAsia="仿宋" w:cs="仿宋"/>
          <w:sz w:val="32"/>
          <w:szCs w:val="32"/>
        </w:rPr>
        <w:t>〕18号）要求，对</w:t>
      </w:r>
      <w:r>
        <w:rPr>
          <w:rFonts w:hint="eastAsia" w:ascii="仿宋" w:hAnsi="仿宋" w:eastAsia="仿宋" w:cs="仿宋"/>
          <w:sz w:val="32"/>
          <w:szCs w:val="32"/>
          <w:lang w:eastAsia="zh-CN"/>
        </w:rPr>
        <w:t>澧县火连坡镇人民政府202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年度部门整体支出进行绩效评价，根据绩效评价有关规定，形成本报告（本报告中所有数据均为</w:t>
      </w:r>
      <w:r>
        <w:rPr>
          <w:rFonts w:hint="eastAsia" w:ascii="仿宋" w:hAnsi="仿宋" w:eastAsia="仿宋" w:cs="仿宋"/>
          <w:sz w:val="32"/>
          <w:szCs w:val="32"/>
          <w:lang w:eastAsia="zh-CN"/>
        </w:rPr>
        <w:t>澧县火连坡镇人民政府</w:t>
      </w:r>
      <w:r>
        <w:rPr>
          <w:rFonts w:hint="eastAsia" w:ascii="仿宋" w:hAnsi="仿宋" w:eastAsia="仿宋" w:cs="仿宋"/>
          <w:sz w:val="32"/>
          <w:szCs w:val="32"/>
        </w:rPr>
        <w:t>本级，无下属单位）。</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一、部门概况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（一）机构、人员构成</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1、澧县火连坡镇人民政府内设机构包括：党政综合办公室、经济发展办公室、生态建设和环境保护办公室、社会管理综合治理办公室、人民武装部、财政所、司法所。</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2、澧县火连坡镇人民政府人员编制情况：</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年年末实有在职人数为</w:t>
      </w:r>
      <w:r>
        <w:rPr>
          <w:rFonts w:hint="eastAsia" w:ascii="仿宋" w:hAnsi="仿宋" w:eastAsia="仿宋" w:cs="仿宋"/>
          <w:sz w:val="32"/>
          <w:szCs w:val="32"/>
          <w:lang w:val="en-US" w:eastAsia="zh-CN"/>
        </w:rPr>
        <w:t>84</w:t>
      </w:r>
      <w:r>
        <w:rPr>
          <w:rFonts w:hint="eastAsia" w:ascii="仿宋" w:hAnsi="仿宋" w:eastAsia="仿宋" w:cs="仿宋"/>
          <w:sz w:val="32"/>
          <w:szCs w:val="32"/>
        </w:rPr>
        <w:t>人，我镇行政编制人数为</w:t>
      </w:r>
      <w:r>
        <w:rPr>
          <w:rFonts w:hint="eastAsia" w:ascii="仿宋" w:hAnsi="仿宋" w:eastAsia="仿宋" w:cs="仿宋"/>
          <w:sz w:val="32"/>
          <w:szCs w:val="32"/>
          <w:lang w:val="en-US" w:eastAsia="zh-CN"/>
        </w:rPr>
        <w:t>52</w:t>
      </w:r>
      <w:r>
        <w:rPr>
          <w:rFonts w:hint="eastAsia" w:ascii="仿宋" w:hAnsi="仿宋" w:eastAsia="仿宋" w:cs="仿宋"/>
          <w:sz w:val="32"/>
          <w:szCs w:val="32"/>
        </w:rPr>
        <w:t>个，事业编制人数3</w:t>
      </w:r>
      <w:r>
        <w:rPr>
          <w:rFonts w:hint="eastAsia" w:ascii="仿宋" w:hAnsi="仿宋" w:eastAsia="仿宋" w:cs="仿宋"/>
          <w:sz w:val="32"/>
          <w:szCs w:val="32"/>
          <w:lang w:val="en-US" w:eastAsia="zh-CN"/>
        </w:rPr>
        <w:t>7</w:t>
      </w:r>
      <w:r>
        <w:rPr>
          <w:rFonts w:hint="eastAsia" w:ascii="仿宋" w:hAnsi="仿宋" w:eastAsia="仿宋" w:cs="仿宋"/>
          <w:sz w:val="32"/>
          <w:szCs w:val="32"/>
        </w:rPr>
        <w:t>个。</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（二）单位主要职责</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党的建设。落实基层党建工作责任制，统筹乡镇和村(社区)区域化党建，加强非公有制经济组织和社会组织党建工作，实现党的组织和工作全覆盖。加强意识形态阵地及队伍建设。不断提高党的建设质量，落实管党治党责任，推动全面从严治党向基层延伸。</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统筹区域发展。参与拟订本辖区发展的重大决策和建设规划并统筹落实，负责促进辖区经济建设、项目发展工作，承担优化发展环境、采集企业信息、服务辖区企业、促进项目发展等工作。</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组织公共服务。组织实施与村(居)民生活密切相关的各项公共服务事项，落实人力资源社会保障、民政、教育、科技、文化、体育、退役军人服务、卫生健康等领域相关法规政策。</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实施公共管理。负责辖区内生态环境保护、集镇管理、控围违拆等综合性管理工作，承担组织领导和综合协调职能。</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维护公共安全。承担辖区内社会治安综合治理、平安建设、应急管理等有关工作，接待群众来信来访，反映社情民意，化解矛盾纠纷等。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监督执法管理。对辖区内各类行政执法工作进行统筹协调，组织开展群众监督和社会监督。</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7、动员社会参与。动员辖区内各类单位、社会组织、村(居)民等社会力量参与社会治理，为乡镇发展服务。</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8、保障村(居)民自治。指导村(居)民委员会建设，健全村(居)民自治平台，组织驻村(社区)单位和村(居)民参与村(社区)建设、管理。</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二、财务情况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（一）部门整体支出情况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澧县火连坡镇人民政府</w:t>
      </w:r>
      <w:r>
        <w:rPr>
          <w:rFonts w:hint="eastAsia" w:ascii="仿宋" w:hAnsi="仿宋" w:eastAsia="仿宋" w:cs="仿宋"/>
          <w:sz w:val="32"/>
          <w:szCs w:val="32"/>
        </w:rPr>
        <w:t xml:space="preserve">决算年度总支出4,916.52万元，其中一般公共服务支出825.34万元，占20.51%；文化旅游体育与传媒支出110.19万元，占2.74%；社会保障和就业支出78.51万元，占1.95%；卫生健康支出31.96万元，占0.79%；节能环保支出1,034.5万元，占25.71%；城乡社区支出97.3万元，占2.42%；农林水支出1,166.56万元，占29%；交通运输支出4.14万元，占0.1%；资源勘探工业信息等支出49.98万元，占1.24%；商业服务业等支出2万元，占0.05%；住房保障支出51.13万元，占1.27%；灾害防治及应急管理支出572.4万元，占14.22%。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（二）部门预算收支决算情况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2021年度收入合计4,897.32万元，其中：财政拨款收入4,897.32万元，占100%；2021年度支出合计4,916.52万元，其中：基本支出871.87万元，占17.73%；项目支出4,044.65万元，占82.27%；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 “三公经费”支出使用和管理情况</w:t>
      </w:r>
    </w:p>
    <w:p>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年度“三公”经费支出</w:t>
      </w:r>
      <w:r>
        <w:rPr>
          <w:rFonts w:hint="eastAsia" w:ascii="仿宋" w:hAnsi="仿宋" w:eastAsia="仿宋" w:cs="仿宋"/>
          <w:sz w:val="32"/>
          <w:szCs w:val="32"/>
          <w:lang w:val="en-US" w:eastAsia="zh-CN"/>
        </w:rPr>
        <w:t>15</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1.95</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11.5</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9.8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1.35</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12.1</w:t>
      </w:r>
      <w:r>
        <w:rPr>
          <w:rFonts w:hint="eastAsia" w:ascii="仿宋" w:hAnsi="仿宋" w:eastAsia="仿宋" w:cs="仿宋"/>
          <w:sz w:val="32"/>
          <w:szCs w:val="32"/>
        </w:rPr>
        <w:t>%；公车运行维护费</w:t>
      </w:r>
      <w:r>
        <w:rPr>
          <w:rFonts w:hint="eastAsia" w:ascii="仿宋" w:hAnsi="仿宋" w:eastAsia="仿宋" w:cs="仿宋"/>
          <w:sz w:val="32"/>
          <w:szCs w:val="32"/>
          <w:lang w:val="en-US" w:eastAsia="zh-CN"/>
        </w:rPr>
        <w:t>5.2</w:t>
      </w:r>
      <w:r>
        <w:rPr>
          <w:rFonts w:hint="eastAsia" w:ascii="仿宋" w:hAnsi="仿宋" w:eastAsia="仿宋" w:cs="仿宋"/>
          <w:sz w:val="32"/>
          <w:szCs w:val="32"/>
        </w:rPr>
        <w:t>万元，较上年减少0.</w:t>
      </w:r>
      <w:r>
        <w:rPr>
          <w:rFonts w:hint="eastAsia" w:ascii="仿宋" w:hAnsi="仿宋" w:eastAsia="仿宋" w:cs="仿宋"/>
          <w:sz w:val="32"/>
          <w:szCs w:val="32"/>
          <w:lang w:val="en-US" w:eastAsia="zh-CN"/>
        </w:rPr>
        <w:t>6</w:t>
      </w:r>
      <w:r>
        <w:rPr>
          <w:rFonts w:hint="eastAsia" w:ascii="仿宋" w:hAnsi="仿宋" w:eastAsia="仿宋" w:cs="仿宋"/>
          <w:sz w:val="32"/>
          <w:szCs w:val="32"/>
        </w:rPr>
        <w:t>万元，降低</w:t>
      </w:r>
      <w:r>
        <w:rPr>
          <w:rFonts w:hint="eastAsia" w:ascii="仿宋" w:hAnsi="仿宋" w:eastAsia="仿宋" w:cs="仿宋"/>
          <w:sz w:val="32"/>
          <w:szCs w:val="32"/>
          <w:lang w:val="en-US" w:eastAsia="zh-CN"/>
        </w:rPr>
        <w:t>10.34</w:t>
      </w:r>
      <w:r>
        <w:rPr>
          <w:rFonts w:hint="eastAsia" w:ascii="仿宋" w:hAnsi="仿宋" w:eastAsia="仿宋" w:cs="仿宋"/>
          <w:sz w:val="32"/>
          <w:szCs w:val="32"/>
        </w:rPr>
        <w:t>%；因公出国出境费用0万元，无此项经费支出。</w:t>
      </w:r>
      <w:r>
        <w:rPr>
          <w:rFonts w:hint="eastAsia" w:ascii="仿宋" w:hAnsi="仿宋" w:eastAsia="仿宋" w:cs="仿宋"/>
          <w:color w:val="000000"/>
          <w:sz w:val="32"/>
          <w:szCs w:val="32"/>
        </w:rPr>
        <w:t>其中：</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1、因公出国（境）费支出决算为0万元，全年安排因公出国（境）团组0个，累计0人次。</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2、公务接待费支出决算为</w:t>
      </w:r>
      <w:r>
        <w:rPr>
          <w:rFonts w:hint="eastAsia" w:ascii="仿宋" w:hAnsi="仿宋" w:eastAsia="仿宋" w:cs="仿宋"/>
          <w:color w:val="000000"/>
          <w:sz w:val="32"/>
          <w:szCs w:val="32"/>
          <w:lang w:val="en-US" w:eastAsia="zh-CN"/>
        </w:rPr>
        <w:t>9.8</w:t>
      </w:r>
      <w:r>
        <w:rPr>
          <w:rFonts w:hint="eastAsia" w:ascii="仿宋" w:hAnsi="仿宋" w:eastAsia="仿宋" w:cs="仿宋"/>
          <w:color w:val="000000"/>
          <w:sz w:val="32"/>
          <w:szCs w:val="32"/>
        </w:rPr>
        <w:t>万元，全年共接待来访团组</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个、来宾</w:t>
      </w:r>
      <w:r>
        <w:rPr>
          <w:rFonts w:hint="eastAsia" w:ascii="仿宋" w:hAnsi="仿宋" w:eastAsia="仿宋" w:cs="仿宋"/>
          <w:color w:val="000000"/>
          <w:sz w:val="32"/>
          <w:szCs w:val="32"/>
          <w:lang w:val="en-US" w:eastAsia="zh-CN"/>
        </w:rPr>
        <w:t>540余</w:t>
      </w:r>
      <w:r>
        <w:rPr>
          <w:rFonts w:hint="eastAsia" w:ascii="仿宋" w:hAnsi="仿宋" w:eastAsia="仿宋" w:cs="仿宋"/>
          <w:color w:val="000000"/>
          <w:sz w:val="32"/>
          <w:szCs w:val="32"/>
        </w:rPr>
        <w:t>人次，主要是</w:t>
      </w:r>
      <w:r>
        <w:rPr>
          <w:rFonts w:hint="eastAsia" w:ascii="仿宋" w:hAnsi="仿宋" w:eastAsia="仿宋" w:cs="仿宋"/>
          <w:color w:val="000000"/>
          <w:sz w:val="32"/>
          <w:szCs w:val="32"/>
          <w:lang w:val="en-US" w:eastAsia="zh-CN"/>
        </w:rPr>
        <w:t>乡村振兴</w:t>
      </w:r>
      <w:r>
        <w:rPr>
          <w:rFonts w:hint="eastAsia" w:ascii="仿宋" w:hAnsi="仿宋" w:eastAsia="仿宋" w:cs="仿宋"/>
          <w:color w:val="000000"/>
          <w:sz w:val="32"/>
          <w:szCs w:val="32"/>
        </w:rPr>
        <w:t>、人居环境整治等工作的督查督导及其他发生的接待支出。</w:t>
      </w:r>
    </w:p>
    <w:p>
      <w:pPr>
        <w:rPr>
          <w:rFonts w:ascii="仿宋" w:hAnsi="仿宋" w:eastAsia="仿宋" w:cs="仿宋"/>
          <w:color w:val="000000"/>
          <w:sz w:val="32"/>
          <w:szCs w:val="32"/>
        </w:rPr>
      </w:pPr>
      <w:r>
        <w:rPr>
          <w:rFonts w:hint="eastAsia" w:ascii="仿宋" w:hAnsi="仿宋" w:eastAsia="仿宋" w:cs="仿宋"/>
          <w:color w:val="000000"/>
          <w:sz w:val="32"/>
          <w:szCs w:val="32"/>
        </w:rPr>
        <w:t>3、公务用车购置费及运行维护费支出决算为5.</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万元，其中：公务用车购置费0万元。更新公务用车0辆。公务用车运行维护费5.</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万元，主要是维修维护、购买保险及油料支出，截止202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年12月31日，我单位开支财政拨款的公务用车保有量为1辆。</w:t>
      </w:r>
    </w:p>
    <w:p>
      <w:pPr>
        <w:ind w:left="0" w:leftChars="0" w:firstLine="640" w:firstLineChars="200"/>
        <w:rPr>
          <w:rFonts w:hint="eastAsia" w:ascii="仿宋" w:hAnsi="仿宋" w:eastAsia="仿宋" w:cs="仿宋"/>
          <w:sz w:val="32"/>
          <w:szCs w:val="32"/>
        </w:rPr>
      </w:pPr>
    </w:p>
    <w:p>
      <w:pPr>
        <w:numPr>
          <w:ilvl w:val="0"/>
          <w:numId w:val="1"/>
        </w:numPr>
        <w:ind w:left="0" w:leftChars="0" w:firstLine="643" w:firstLineChars="200"/>
        <w:rPr>
          <w:rFonts w:hint="eastAsia" w:ascii="黑体" w:hAnsi="黑体" w:eastAsia="黑体" w:cs="黑体"/>
          <w:b/>
          <w:bCs/>
          <w:color w:val="222222"/>
          <w:kern w:val="0"/>
          <w:sz w:val="32"/>
          <w:szCs w:val="32"/>
        </w:rPr>
      </w:pPr>
      <w:r>
        <w:rPr>
          <w:rFonts w:hint="eastAsia" w:ascii="黑体" w:hAnsi="黑体" w:eastAsia="黑体" w:cs="黑体"/>
          <w:b/>
          <w:bCs/>
          <w:color w:val="222222"/>
          <w:kern w:val="0"/>
          <w:sz w:val="32"/>
          <w:szCs w:val="32"/>
        </w:rPr>
        <w:t>部门绩效目标</w:t>
      </w:r>
    </w:p>
    <w:p>
      <w:pPr>
        <w:ind w:firstLine="640" w:firstLineChars="200"/>
        <w:rPr>
          <w:rFonts w:hint="eastAsia" w:ascii="仿宋" w:hAnsi="仿宋" w:eastAsia="仿宋"/>
          <w:sz w:val="32"/>
          <w:szCs w:val="32"/>
        </w:rPr>
      </w:pPr>
      <w:r>
        <w:rPr>
          <w:rFonts w:hint="eastAsia" w:ascii="仿宋" w:hAnsi="仿宋" w:eastAsia="仿宋"/>
          <w:sz w:val="32"/>
          <w:szCs w:val="32"/>
        </w:rPr>
        <w:t>（一）加强财政管理，着力提高保障水平。紧紧围绕财政目标任务，进一步提高财政管理水平,克服组织收入过程中的一切困难，确保完成年度目标任务；切实调整优化支出结构，努力解决好事关人民群众切身利益和社会稳定的突出问题。</w:t>
      </w:r>
    </w:p>
    <w:p>
      <w:pPr>
        <w:ind w:firstLine="640" w:firstLineChars="200"/>
        <w:rPr>
          <w:rFonts w:hint="eastAsia" w:ascii="仿宋" w:hAnsi="仿宋" w:eastAsia="仿宋"/>
          <w:sz w:val="32"/>
          <w:szCs w:val="32"/>
        </w:rPr>
      </w:pPr>
      <w:r>
        <w:rPr>
          <w:rFonts w:hint="eastAsia" w:ascii="仿宋" w:hAnsi="仿宋" w:eastAsia="仿宋"/>
          <w:sz w:val="32"/>
          <w:szCs w:val="32"/>
        </w:rPr>
        <w:t>（二）加强办事处职能建设，提高政府履职水平和能力，加强预决算公开力度，严控“三公”经费，完善机关内部控制制度建设，合理高效利用资金，使之更好地服务于我镇的社会经济发展。</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）制定并组织实施村镇建设规划。部署重点工程建设，地方道路建设及公共设施，水利设施的管理，负责土地、林木、水等自然资源和生态环境的保护，做好护林防火工作。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五</w:t>
      </w:r>
      <w:r>
        <w:rPr>
          <w:rFonts w:hint="eastAsia" w:ascii="仿宋" w:hAnsi="仿宋" w:eastAsia="仿宋"/>
          <w:sz w:val="32"/>
          <w:szCs w:val="32"/>
          <w:lang w:eastAsia="zh-CN"/>
        </w:rPr>
        <w:t>）注重民生保障、服务居民，加大对困难群体扶持力度，低保做到应保尽保，切实将残疾人两项补贴、粮种补贴等惠民政策落到实处。</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1、严格落实《预算法》及主管部门绩效管理的相关制度和规定，进一步规范和落实财政资金的专项管理，强化财政支出绩效理念，提高资金使用效益。</w:t>
      </w:r>
    </w:p>
    <w:p>
      <w:pPr>
        <w:ind w:firstLine="640" w:firstLineChars="200"/>
        <w:jc w:val="left"/>
        <w:rPr>
          <w:rFonts w:hint="eastAsia" w:ascii="仿宋" w:hAnsi="仿宋" w:eastAsia="仿宋"/>
          <w:color w:val="000000"/>
          <w:kern w:val="0"/>
          <w:sz w:val="32"/>
          <w:szCs w:val="32"/>
        </w:rPr>
      </w:pPr>
      <w:r>
        <w:rPr>
          <w:rFonts w:hint="eastAsia" w:ascii="仿宋" w:hAnsi="仿宋" w:eastAsia="仿宋"/>
          <w:color w:val="000000"/>
          <w:kern w:val="0"/>
          <w:sz w:val="32"/>
          <w:szCs w:val="32"/>
        </w:rPr>
        <w:t>2、根据绩效评价的要求，我单位领导高度重视，成立了自评工作领导小组，由</w:t>
      </w:r>
      <w:r>
        <w:rPr>
          <w:rFonts w:hint="eastAsia" w:ascii="仿宋" w:hAnsi="仿宋" w:eastAsia="仿宋"/>
          <w:color w:val="000000"/>
          <w:kern w:val="0"/>
          <w:sz w:val="32"/>
          <w:szCs w:val="32"/>
          <w:lang w:eastAsia="zh-CN"/>
        </w:rPr>
        <w:t>镇长担任组长</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其他相关科室人员担任组员，</w:t>
      </w:r>
      <w:r>
        <w:rPr>
          <w:rFonts w:hint="eastAsia" w:ascii="仿宋" w:hAnsi="仿宋" w:eastAsia="仿宋"/>
          <w:color w:val="000000"/>
          <w:kern w:val="0"/>
          <w:sz w:val="32"/>
          <w:szCs w:val="32"/>
        </w:rPr>
        <w:t>积极开展绩效自评工作，按照绩效管理目标要求对照各实施项目的内容逐条逐项自评。在自评过程中，查找原因，及时纠正偏差，为下一步工作夯实基础。</w:t>
      </w:r>
    </w:p>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五、</w:t>
      </w:r>
      <w:r>
        <w:rPr>
          <w:rFonts w:hint="eastAsia" w:ascii="黑体" w:hAnsi="黑体" w:eastAsia="黑体" w:cs="黑体"/>
          <w:color w:val="000000"/>
          <w:sz w:val="32"/>
          <w:szCs w:val="32"/>
          <w:lang w:val="en-US" w:eastAsia="zh-CN"/>
        </w:rPr>
        <w:t>综合评价结果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以来</w:t>
      </w:r>
      <w:r>
        <w:rPr>
          <w:rFonts w:hint="eastAsia" w:ascii="仿宋_GB2312" w:hAnsi="仿宋_GB2312" w:eastAsia="仿宋_GB2312" w:cs="仿宋_GB2312"/>
          <w:color w:val="auto"/>
          <w:sz w:val="32"/>
          <w:szCs w:val="32"/>
        </w:rPr>
        <w:t>，在县委、县政府的正确领导下，</w:t>
      </w:r>
      <w:r>
        <w:rPr>
          <w:rFonts w:hint="eastAsia" w:ascii="仿宋" w:hAnsi="仿宋" w:eastAsia="仿宋"/>
          <w:sz w:val="32"/>
          <w:szCs w:val="32"/>
          <w:lang w:val="en-US" w:eastAsia="zh-CN"/>
        </w:rPr>
        <w:t>我镇财政管理水平提高，支出保障有序有力，优化支出结构，合理规划资金投向，坚持把民生作为财政的优先保障领域，同时也在支持生态环保、农业农村基础设施建设方面加大投入力度，</w:t>
      </w:r>
      <w:r>
        <w:rPr>
          <w:rFonts w:hint="eastAsia" w:ascii="仿宋_GB2312" w:hAnsi="仿宋_GB2312" w:eastAsia="仿宋_GB2312" w:cs="仿宋_GB2312"/>
          <w:color w:val="auto"/>
          <w:sz w:val="32"/>
          <w:szCs w:val="32"/>
          <w:lang w:eastAsia="zh-CN"/>
        </w:rPr>
        <w:t>全力巩固</w:t>
      </w:r>
      <w:r>
        <w:rPr>
          <w:rFonts w:hint="eastAsia" w:ascii="仿宋_GB2312" w:hAnsi="仿宋_GB2312" w:eastAsia="仿宋_GB2312" w:cs="仿宋_GB2312"/>
          <w:color w:val="auto"/>
          <w:sz w:val="32"/>
          <w:szCs w:val="32"/>
          <w:lang w:val="en-US" w:eastAsia="zh-CN"/>
        </w:rPr>
        <w:t>拓</w:t>
      </w:r>
      <w:bookmarkStart w:id="0" w:name="_GoBack"/>
      <w:bookmarkEnd w:id="0"/>
      <w:r>
        <w:rPr>
          <w:rFonts w:hint="eastAsia" w:ascii="仿宋_GB2312" w:hAnsi="仿宋_GB2312" w:eastAsia="仿宋_GB2312" w:cs="仿宋_GB2312"/>
          <w:color w:val="auto"/>
          <w:sz w:val="32"/>
          <w:szCs w:val="32"/>
          <w:lang w:val="en-US" w:eastAsia="zh-CN"/>
        </w:rPr>
        <w:t>展</w:t>
      </w:r>
      <w:r>
        <w:rPr>
          <w:rFonts w:hint="eastAsia" w:ascii="仿宋_GB2312" w:hAnsi="仿宋_GB2312" w:eastAsia="仿宋_GB2312" w:cs="仿宋_GB2312"/>
          <w:color w:val="auto"/>
          <w:sz w:val="32"/>
          <w:szCs w:val="32"/>
          <w:lang w:eastAsia="zh-CN"/>
        </w:rPr>
        <w:t>脱贫攻坚成果，有效衔接乡村振兴，扎实开展农业生产，</w:t>
      </w:r>
      <w:r>
        <w:rPr>
          <w:rFonts w:hint="eastAsia" w:ascii="仿宋_GB2312" w:hAnsi="仿宋_GB2312" w:eastAsia="仿宋_GB2312" w:cs="仿宋_GB2312"/>
          <w:color w:val="auto"/>
          <w:sz w:val="32"/>
          <w:szCs w:val="32"/>
        </w:rPr>
        <w:t>着力推动</w:t>
      </w:r>
      <w:r>
        <w:rPr>
          <w:rFonts w:hint="eastAsia" w:ascii="仿宋_GB2312" w:hAnsi="仿宋_GB2312" w:eastAsia="仿宋_GB2312" w:cs="仿宋_GB2312"/>
          <w:color w:val="auto"/>
          <w:sz w:val="32"/>
          <w:szCs w:val="32"/>
          <w:lang w:eastAsia="zh-CN"/>
        </w:rPr>
        <w:t>项目建设</w:t>
      </w:r>
      <w:r>
        <w:rPr>
          <w:rFonts w:hint="eastAsia" w:ascii="仿宋_GB2312" w:hAnsi="仿宋_GB2312" w:eastAsia="仿宋_GB2312" w:cs="仿宋_GB2312"/>
          <w:color w:val="auto"/>
          <w:sz w:val="32"/>
          <w:szCs w:val="32"/>
        </w:rPr>
        <w:t>，切实提升民生福祉，全力维护社会稳定，保持经济持续健康发展。</w:t>
      </w:r>
      <w:r>
        <w:rPr>
          <w:rFonts w:hint="eastAsia" w:ascii="仿宋_GB2312" w:hAnsi="仿宋_GB2312" w:eastAsia="仿宋_GB2312" w:cs="仿宋_GB2312"/>
          <w:color w:val="auto"/>
          <w:sz w:val="32"/>
          <w:szCs w:val="32"/>
          <w:lang w:eastAsia="zh-CN"/>
        </w:rPr>
        <w:t>全镇财政收入</w:t>
      </w:r>
      <w:r>
        <w:rPr>
          <w:rFonts w:hint="eastAsia" w:ascii="仿宋_GB2312" w:hAnsi="仿宋_GB2312" w:eastAsia="仿宋_GB2312" w:cs="仿宋_GB2312"/>
          <w:color w:val="auto"/>
          <w:sz w:val="32"/>
          <w:szCs w:val="32"/>
          <w:lang w:val="en-US" w:eastAsia="zh-CN"/>
        </w:rPr>
        <w:t>达</w:t>
      </w:r>
      <w:r>
        <w:rPr>
          <w:rFonts w:hint="eastAsia" w:ascii="仿宋" w:hAnsi="仿宋" w:eastAsia="仿宋" w:cs="仿宋"/>
          <w:sz w:val="32"/>
          <w:szCs w:val="32"/>
        </w:rPr>
        <w:t>4,897.32</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lang w:eastAsia="zh-CN"/>
        </w:rPr>
        <w:t>固定资产投资</w:t>
      </w:r>
      <w:r>
        <w:rPr>
          <w:rFonts w:hint="eastAsia" w:ascii="仿宋_GB2312" w:hAnsi="仿宋_GB2312" w:eastAsia="仿宋_GB2312" w:cs="仿宋_GB2312"/>
          <w:color w:val="auto"/>
          <w:sz w:val="32"/>
          <w:szCs w:val="32"/>
          <w:highlight w:val="none"/>
          <w:lang w:val="en-US" w:eastAsia="zh-CN"/>
        </w:rPr>
        <w:t>2.72</w:t>
      </w:r>
      <w:r>
        <w:rPr>
          <w:rFonts w:hint="eastAsia" w:ascii="仿宋_GB2312" w:hAnsi="仿宋_GB2312" w:eastAsia="仿宋_GB2312" w:cs="仿宋_GB2312"/>
          <w:color w:val="auto"/>
          <w:sz w:val="32"/>
          <w:szCs w:val="32"/>
          <w:lang w:eastAsia="zh-CN"/>
        </w:rPr>
        <w:t>亿元，经济运行总体平稳。</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（一）农业生产有序推进</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bCs/>
          <w:sz w:val="32"/>
          <w:szCs w:val="32"/>
          <w:lang w:val="en-US" w:eastAsia="zh-CN"/>
        </w:rPr>
        <w:t>落实粮油生产任务。</w:t>
      </w:r>
      <w:r>
        <w:rPr>
          <w:rFonts w:hint="eastAsia" w:ascii="仿宋_GB2312" w:hAnsi="仿宋_GB2312" w:eastAsia="仿宋_GB2312" w:cs="仿宋_GB2312"/>
          <w:sz w:val="32"/>
          <w:szCs w:val="32"/>
          <w:lang w:val="en-US" w:eastAsia="zh-CN"/>
        </w:rPr>
        <w:t>通过发动大户和普通农户种植，圆满完成1500亩早稻生产任务。创建省级旱粮作物示范片1000亩，探索“春玉米套作黄豆”新模式。完成5000亩油菜菌核病飞防。采取宣传发动、发放种子等有力措施，推广种植绿肥1500亩。完成晚稻水育秧面积42亩，可供630亩大田栽种。</w:t>
      </w:r>
      <w:r>
        <w:rPr>
          <w:rFonts w:hint="eastAsia" w:ascii="仿宋_GB2312" w:hAnsi="仿宋_GB2312" w:eastAsia="仿宋_GB2312" w:cs="仿宋_GB2312"/>
          <w:sz w:val="32"/>
          <w:szCs w:val="32"/>
          <w:highlight w:val="none"/>
          <w:lang w:val="en-US" w:eastAsia="zh-CN"/>
        </w:rPr>
        <w:t>在公路沿线村（社区）进行水旱轮作油菜连片示范，目前全镇已完成5000亩冬季油菜种植，打造美丽山谷。</w:t>
      </w:r>
      <w:r>
        <w:rPr>
          <w:rFonts w:hint="eastAsia" w:ascii="Times New Roman" w:hAnsi="Times New Roman" w:eastAsia="仿宋_GB2312" w:cs="Times New Roman"/>
          <w:b/>
          <w:bCs/>
          <w:sz w:val="32"/>
          <w:szCs w:val="32"/>
          <w:lang w:val="en-US" w:eastAsia="zh-CN"/>
        </w:rPr>
        <w:t>不断改善农业生产条件。</w:t>
      </w:r>
      <w:r>
        <w:rPr>
          <w:rFonts w:hint="eastAsia" w:ascii="Times New Roman" w:hAnsi="Times New Roman" w:eastAsia="仿宋_GB2312" w:cs="Times New Roman"/>
          <w:b w:val="0"/>
          <w:bCs w:val="0"/>
          <w:sz w:val="32"/>
          <w:szCs w:val="32"/>
          <w:lang w:val="en-US" w:eastAsia="zh-CN"/>
        </w:rPr>
        <w:t>今年，全镇已完成</w:t>
      </w:r>
      <w:r>
        <w:rPr>
          <w:rFonts w:hint="eastAsia" w:ascii="Times New Roman" w:hAnsi="Times New Roman" w:eastAsia="仿宋_GB2312" w:cs="Times New Roman"/>
          <w:sz w:val="32"/>
          <w:szCs w:val="32"/>
          <w:highlight w:val="none"/>
          <w:lang w:val="en-US" w:eastAsia="zh-CN"/>
        </w:rPr>
        <w:t>高标准农田建设改</w:t>
      </w:r>
      <w:r>
        <w:rPr>
          <w:rFonts w:hint="eastAsia" w:ascii="仿宋_GB2312" w:hAnsi="仿宋_GB2312" w:eastAsia="仿宋_GB2312" w:cs="仿宋_GB2312"/>
          <w:sz w:val="32"/>
          <w:szCs w:val="32"/>
          <w:highlight w:val="none"/>
          <w:lang w:val="en-US" w:eastAsia="zh-CN"/>
        </w:rPr>
        <w:t>造800</w:t>
      </w:r>
      <w:r>
        <w:rPr>
          <w:rFonts w:hint="eastAsia" w:ascii="Times New Roman" w:hAnsi="Times New Roman" w:eastAsia="仿宋_GB2312" w:cs="Times New Roman"/>
          <w:sz w:val="32"/>
          <w:szCs w:val="32"/>
          <w:highlight w:val="none"/>
          <w:lang w:val="en-US" w:eastAsia="zh-CN"/>
        </w:rPr>
        <w:t>亩，其中观音阁社区完成</w:t>
      </w:r>
      <w:r>
        <w:rPr>
          <w:rFonts w:hint="eastAsia" w:ascii="仿宋_GB2312" w:hAnsi="仿宋_GB2312" w:eastAsia="仿宋_GB2312" w:cs="仿宋_GB2312"/>
          <w:sz w:val="32"/>
          <w:szCs w:val="32"/>
          <w:highlight w:val="none"/>
          <w:lang w:val="en-US" w:eastAsia="zh-CN"/>
        </w:rPr>
        <w:t>500</w:t>
      </w:r>
      <w:r>
        <w:rPr>
          <w:rFonts w:hint="eastAsia" w:ascii="Times New Roman" w:hAnsi="Times New Roman" w:eastAsia="仿宋_GB2312" w:cs="Times New Roman"/>
          <w:sz w:val="32"/>
          <w:szCs w:val="32"/>
          <w:highlight w:val="none"/>
          <w:lang w:val="en-US" w:eastAsia="zh-CN"/>
        </w:rPr>
        <w:t>亩建设改造，并同步完成新修机耕道、配套泵房、喷灌等现代农业生产配套设施，利用无人机管护，极大程度提高农业生产效率。</w:t>
      </w:r>
      <w:r>
        <w:rPr>
          <w:rFonts w:hint="eastAsia" w:ascii="Times New Roman" w:hAnsi="Times New Roman" w:eastAsia="仿宋_GB2312" w:cs="Times New Roman"/>
          <w:b/>
          <w:bCs/>
          <w:sz w:val="32"/>
          <w:szCs w:val="32"/>
          <w:highlight w:val="none"/>
          <w:lang w:val="en-US" w:eastAsia="zh-CN"/>
        </w:rPr>
        <w:t>切实保障农产品安全。</w:t>
      </w:r>
      <w:r>
        <w:rPr>
          <w:rFonts w:hint="eastAsia" w:ascii="仿宋_GB2312" w:hAnsi="仿宋_GB2312" w:eastAsia="仿宋_GB2312" w:cs="仿宋_GB2312"/>
          <w:b w:val="0"/>
          <w:bCs w:val="0"/>
          <w:sz w:val="32"/>
          <w:szCs w:val="32"/>
          <w:lang w:val="en-US" w:eastAsia="zh-CN"/>
        </w:rPr>
        <w:t>今年共完</w:t>
      </w:r>
      <w:r>
        <w:rPr>
          <w:rFonts w:hint="eastAsia" w:ascii="仿宋_GB2312" w:hAnsi="仿宋_GB2312" w:eastAsia="仿宋_GB2312" w:cs="仿宋_GB2312"/>
          <w:sz w:val="32"/>
          <w:szCs w:val="32"/>
          <w:highlight w:val="none"/>
          <w:lang w:val="en-US" w:eastAsia="zh-CN"/>
        </w:rPr>
        <w:t>成1000</w:t>
      </w:r>
      <w:r>
        <w:rPr>
          <w:rFonts w:hint="eastAsia" w:ascii="仿宋_GB2312" w:hAnsi="仿宋_GB2312" w:eastAsia="仿宋_GB2312" w:cs="仿宋_GB2312"/>
          <w:b w:val="0"/>
          <w:bCs w:val="0"/>
          <w:sz w:val="32"/>
          <w:szCs w:val="32"/>
          <w:lang w:val="en-US" w:eastAsia="zh-CN"/>
        </w:rPr>
        <w:t>批次农产品样品检测。严格开展受污染耕地管控及安全利用，</w:t>
      </w:r>
      <w:r>
        <w:rPr>
          <w:rFonts w:hint="eastAsia" w:ascii="仿宋_GB2312" w:hAnsi="仿宋_GB2312" w:eastAsia="仿宋_GB2312" w:cs="仿宋_GB2312"/>
          <w:sz w:val="32"/>
          <w:szCs w:val="32"/>
          <w:lang w:val="en-US" w:eastAsia="zh-CN"/>
        </w:rPr>
        <w:t>取土</w:t>
      </w:r>
      <w:r>
        <w:rPr>
          <w:rFonts w:hint="eastAsia" w:ascii="仿宋_GB2312" w:hAnsi="仿宋_GB2312" w:eastAsia="仿宋_GB2312" w:cs="仿宋_GB2312"/>
          <w:sz w:val="32"/>
          <w:szCs w:val="32"/>
          <w:highlight w:val="none"/>
          <w:lang w:val="en-US" w:eastAsia="zh-CN"/>
        </w:rPr>
        <w:t>样5997个</w:t>
      </w:r>
      <w:r>
        <w:rPr>
          <w:rFonts w:hint="eastAsia" w:ascii="仿宋_GB2312" w:hAnsi="仿宋_GB2312" w:eastAsia="仿宋_GB2312" w:cs="仿宋_GB2312"/>
          <w:sz w:val="32"/>
          <w:szCs w:val="32"/>
          <w:lang w:val="en-US" w:eastAsia="zh-CN"/>
        </w:rPr>
        <w:t>，谷样</w:t>
      </w:r>
      <w:r>
        <w:rPr>
          <w:rFonts w:hint="eastAsia" w:ascii="仿宋_GB2312" w:hAnsi="仿宋_GB2312" w:eastAsia="仿宋_GB2312" w:cs="仿宋_GB2312"/>
          <w:sz w:val="32"/>
          <w:szCs w:val="32"/>
          <w:highlight w:val="none"/>
          <w:lang w:val="en-US" w:eastAsia="zh-CN"/>
        </w:rPr>
        <w:t>408个</w:t>
      </w:r>
      <w:r>
        <w:rPr>
          <w:rFonts w:hint="eastAsia" w:ascii="仿宋_GB2312" w:hAnsi="仿宋_GB2312" w:eastAsia="仿宋_GB2312" w:cs="仿宋_GB2312"/>
          <w:sz w:val="32"/>
          <w:szCs w:val="32"/>
          <w:lang w:val="en-US" w:eastAsia="zh-CN"/>
        </w:rPr>
        <w:t>，累计调查面积</w:t>
      </w:r>
      <w:r>
        <w:rPr>
          <w:rFonts w:hint="eastAsia" w:ascii="仿宋_GB2312" w:hAnsi="仿宋_GB2312" w:eastAsia="仿宋_GB2312" w:cs="仿宋_GB2312"/>
          <w:sz w:val="32"/>
          <w:szCs w:val="32"/>
          <w:highlight w:val="none"/>
          <w:lang w:val="en-US" w:eastAsia="zh-CN"/>
        </w:rPr>
        <w:t>2万</w:t>
      </w:r>
      <w:r>
        <w:rPr>
          <w:rFonts w:hint="eastAsia" w:ascii="仿宋_GB2312" w:hAnsi="仿宋_GB2312" w:eastAsia="仿宋_GB2312" w:cs="仿宋_GB2312"/>
          <w:sz w:val="32"/>
          <w:szCs w:val="32"/>
          <w:lang w:val="en-US" w:eastAsia="zh-CN"/>
        </w:rPr>
        <w:t>多亩，</w:t>
      </w:r>
      <w:r>
        <w:rPr>
          <w:rFonts w:hint="eastAsia" w:ascii="仿宋_GB2312" w:hAnsi="仿宋_GB2312" w:eastAsia="仿宋_GB2312" w:cs="仿宋_GB2312"/>
          <w:sz w:val="32"/>
          <w:szCs w:val="32"/>
          <w:highlight w:val="none"/>
          <w:lang w:val="en-US" w:eastAsia="zh-CN"/>
        </w:rPr>
        <w:t>1235亩严</w:t>
      </w:r>
      <w:r>
        <w:rPr>
          <w:rFonts w:hint="eastAsia" w:ascii="仿宋_GB2312" w:hAnsi="仿宋_GB2312" w:eastAsia="仿宋_GB2312" w:cs="仿宋_GB2312"/>
          <w:sz w:val="32"/>
          <w:szCs w:val="32"/>
          <w:lang w:val="en-US" w:eastAsia="zh-CN"/>
        </w:rPr>
        <w:t>格管控区现已全部退出水稻种植。</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二</w:t>
      </w:r>
      <w:r>
        <w:rPr>
          <w:rFonts w:hint="default" w:ascii="楷体_GB2312" w:hAnsi="楷体_GB2312" w:eastAsia="楷体_GB2312" w:cs="楷体_GB2312"/>
          <w:b/>
          <w:bCs/>
          <w:sz w:val="32"/>
          <w:szCs w:val="32"/>
          <w:highlight w:val="none"/>
          <w:lang w:val="en-US" w:eastAsia="zh-CN"/>
        </w:rPr>
        <w:t>）重点项目</w:t>
      </w:r>
      <w:r>
        <w:rPr>
          <w:rFonts w:hint="eastAsia" w:ascii="楷体_GB2312" w:hAnsi="楷体_GB2312" w:eastAsia="楷体_GB2312" w:cs="楷体_GB2312"/>
          <w:b/>
          <w:bCs/>
          <w:sz w:val="32"/>
          <w:szCs w:val="32"/>
          <w:highlight w:val="none"/>
          <w:lang w:val="en-US" w:eastAsia="zh-CN"/>
        </w:rPr>
        <w:t>落地见效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 w:hAnsi="仿宋" w:eastAsia="仿宋" w:cs="仿宋"/>
          <w:color w:val="auto"/>
          <w:sz w:val="32"/>
          <w:szCs w:val="32"/>
          <w:lang w:val="en-US" w:eastAsia="zh-CN"/>
        </w:rPr>
        <w:t>今年，上级共下达我镇扶贫项目25个，资金规模186万元；下达移民后扶项目23个，资金规模190.96万元；村级自筹项目21个，项目资金总计226.43万元，“一事一议”财政奖补项目14个，项目资金总计114.00万元。我镇</w:t>
      </w:r>
      <w:r>
        <w:rPr>
          <w:rFonts w:hint="eastAsia" w:ascii="Times New Roman" w:hAnsi="Times New Roman" w:eastAsia="仿宋_GB2312" w:cs="Times New Roman"/>
          <w:sz w:val="32"/>
          <w:szCs w:val="32"/>
          <w:highlight w:val="none"/>
          <w:lang w:val="en-US" w:eastAsia="zh-CN"/>
        </w:rPr>
        <w:t>通过镇级自筹和向上争资争项，投入</w:t>
      </w:r>
      <w:r>
        <w:rPr>
          <w:rFonts w:hint="eastAsia" w:ascii="仿宋_GB2312" w:hAnsi="仿宋_GB2312" w:eastAsia="仿宋_GB2312" w:cs="仿宋_GB2312"/>
          <w:sz w:val="32"/>
          <w:szCs w:val="32"/>
          <w:highlight w:val="none"/>
          <w:lang w:val="en-US" w:eastAsia="zh-CN"/>
        </w:rPr>
        <w:t>大量资金</w:t>
      </w:r>
      <w:r>
        <w:rPr>
          <w:rFonts w:hint="eastAsia" w:ascii="Times New Roman" w:hAnsi="Times New Roman" w:eastAsia="仿宋_GB2312" w:cs="Times New Roman"/>
          <w:sz w:val="32"/>
          <w:szCs w:val="32"/>
          <w:highlight w:val="none"/>
          <w:lang w:val="en-US" w:eastAsia="zh-CN"/>
        </w:rPr>
        <w:t>完成以下重点项目。其中，投入</w:t>
      </w:r>
      <w:r>
        <w:rPr>
          <w:rFonts w:hint="eastAsia" w:ascii="仿宋_GB2312" w:hAnsi="仿宋_GB2312" w:eastAsia="仿宋_GB2312" w:cs="仿宋_GB2312"/>
          <w:sz w:val="32"/>
          <w:szCs w:val="32"/>
          <w:highlight w:val="none"/>
          <w:lang w:val="en-US" w:eastAsia="zh-CN"/>
        </w:rPr>
        <w:t>200万</w:t>
      </w:r>
      <w:r>
        <w:rPr>
          <w:rFonts w:hint="eastAsia" w:ascii="Times New Roman" w:hAnsi="Times New Roman" w:eastAsia="仿宋_GB2312" w:cs="Times New Roman"/>
          <w:sz w:val="32"/>
          <w:szCs w:val="32"/>
          <w:highlight w:val="none"/>
          <w:lang w:val="en-US" w:eastAsia="zh-CN"/>
        </w:rPr>
        <w:t>元，完成小水源供水能力恢复项目，共计清淤扩容</w:t>
      </w:r>
      <w:r>
        <w:rPr>
          <w:rFonts w:hint="eastAsia" w:ascii="仿宋_GB2312" w:hAnsi="仿宋_GB2312" w:eastAsia="仿宋_GB2312" w:cs="仿宋_GB2312"/>
          <w:sz w:val="32"/>
          <w:szCs w:val="32"/>
          <w:highlight w:val="none"/>
          <w:lang w:val="en-US" w:eastAsia="zh-CN"/>
        </w:rPr>
        <w:t>143处</w:t>
      </w:r>
      <w:r>
        <w:rPr>
          <w:rFonts w:hint="eastAsia" w:ascii="Times New Roman" w:hAnsi="Times New Roman" w:eastAsia="仿宋_GB2312" w:cs="Times New Roman"/>
          <w:sz w:val="32"/>
          <w:szCs w:val="32"/>
          <w:highlight w:val="none"/>
          <w:lang w:val="en-US" w:eastAsia="zh-CN"/>
        </w:rPr>
        <w:t>堰塘，农村堰塘蓄水灌溉能力显著提升。实施农村安全饮水项目；投</w:t>
      </w:r>
      <w:r>
        <w:rPr>
          <w:rFonts w:hint="eastAsia" w:ascii="仿宋_GB2312" w:hAnsi="仿宋_GB2312" w:eastAsia="仿宋_GB2312" w:cs="仿宋_GB2312"/>
          <w:sz w:val="32"/>
          <w:szCs w:val="32"/>
          <w:highlight w:val="none"/>
          <w:lang w:val="en-US" w:eastAsia="zh-CN"/>
        </w:rPr>
        <w:t>入250万</w:t>
      </w:r>
      <w:r>
        <w:rPr>
          <w:rFonts w:hint="eastAsia" w:ascii="Times New Roman" w:hAnsi="Times New Roman" w:eastAsia="仿宋_GB2312" w:cs="Times New Roman"/>
          <w:sz w:val="32"/>
          <w:szCs w:val="32"/>
          <w:highlight w:val="none"/>
          <w:lang w:val="en-US" w:eastAsia="zh-CN"/>
        </w:rPr>
        <w:t>元，对火连坡闸口集镇和火连坡集镇自来水管网进行全新改造，工程完工后闸口集镇及周边村组近万人饮用水问题得到解决；争取小流域治理项目资</w:t>
      </w:r>
      <w:r>
        <w:rPr>
          <w:rFonts w:hint="eastAsia" w:ascii="仿宋_GB2312" w:hAnsi="仿宋_GB2312" w:eastAsia="仿宋_GB2312" w:cs="仿宋_GB2312"/>
          <w:sz w:val="32"/>
          <w:szCs w:val="32"/>
          <w:highlight w:val="none"/>
          <w:lang w:val="en-US" w:eastAsia="zh-CN"/>
        </w:rPr>
        <w:t>金300万元</w:t>
      </w:r>
      <w:r>
        <w:rPr>
          <w:rFonts w:hint="eastAsia" w:ascii="Times New Roman" w:hAnsi="Times New Roman" w:eastAsia="仿宋_GB2312" w:cs="Times New Roman"/>
          <w:sz w:val="32"/>
          <w:szCs w:val="32"/>
          <w:highlight w:val="none"/>
          <w:lang w:val="en-US" w:eastAsia="zh-CN"/>
        </w:rPr>
        <w:t>，对涔水北支火连坡段水毁、垮塌河段进行整治，河道功能得到进一步恢复；投入</w:t>
      </w:r>
      <w:r>
        <w:rPr>
          <w:rFonts w:hint="eastAsia" w:ascii="仿宋_GB2312" w:hAnsi="仿宋_GB2312" w:eastAsia="仿宋_GB2312" w:cs="仿宋_GB2312"/>
          <w:sz w:val="32"/>
          <w:szCs w:val="32"/>
          <w:highlight w:val="none"/>
          <w:lang w:val="en-US" w:eastAsia="zh-CN"/>
        </w:rPr>
        <w:t>4900</w:t>
      </w:r>
      <w:r>
        <w:rPr>
          <w:rFonts w:hint="eastAsia" w:ascii="Times New Roman" w:hAnsi="Times New Roman" w:eastAsia="仿宋_GB2312" w:cs="Times New Roman"/>
          <w:sz w:val="32"/>
          <w:szCs w:val="32"/>
          <w:highlight w:val="none"/>
          <w:lang w:val="en-US" w:eastAsia="zh-CN"/>
        </w:rPr>
        <w:t>万元，对闸口和花园湾集镇共计</w:t>
      </w:r>
      <w:r>
        <w:rPr>
          <w:rFonts w:hint="eastAsia" w:ascii="仿宋_GB2312" w:hAnsi="仿宋_GB2312" w:eastAsia="仿宋_GB2312" w:cs="仿宋_GB2312"/>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公里道路实施“白改黑”工程；</w:t>
      </w:r>
      <w:r>
        <w:rPr>
          <w:rFonts w:hint="eastAsia" w:ascii="仿宋_GB2312" w:hAnsi="仿宋_GB2312" w:eastAsia="仿宋_GB2312" w:cs="仿宋_GB2312"/>
          <w:sz w:val="32"/>
          <w:szCs w:val="32"/>
          <w:lang w:val="en-US" w:eastAsia="zh-CN"/>
        </w:rPr>
        <w:t>新修村组公路</w:t>
      </w:r>
      <w:r>
        <w:rPr>
          <w:rFonts w:hint="eastAsia" w:ascii="仿宋_GB2312" w:hAnsi="仿宋_GB2312" w:eastAsia="仿宋_GB2312" w:cs="仿宋_GB2312"/>
          <w:sz w:val="32"/>
          <w:szCs w:val="32"/>
          <w:highlight w:val="none"/>
          <w:lang w:val="en-US" w:eastAsia="zh-CN"/>
        </w:rPr>
        <w:t>3.6公里，改扩建14.5</w:t>
      </w:r>
      <w:r>
        <w:rPr>
          <w:rFonts w:hint="eastAsia" w:ascii="仿宋_GB2312" w:hAnsi="仿宋_GB2312" w:eastAsia="仿宋_GB2312" w:cs="仿宋_GB2312"/>
          <w:sz w:val="32"/>
          <w:szCs w:val="32"/>
          <w:lang w:val="en-US" w:eastAsia="zh-CN"/>
        </w:rPr>
        <w:t>公里，新建便民桥3座，危桥险路安全性全面提升。</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三</w:t>
      </w:r>
      <w:r>
        <w:rPr>
          <w:rFonts w:hint="default" w:ascii="楷体_GB2312" w:hAnsi="楷体_GB2312" w:eastAsia="楷体_GB2312" w:cs="楷体_GB2312"/>
          <w:b/>
          <w:bCs/>
          <w:sz w:val="32"/>
          <w:szCs w:val="32"/>
          <w:highlight w:val="none"/>
          <w:lang w:val="en-US" w:eastAsia="zh-CN"/>
        </w:rPr>
        <w:t>）生态环境明显改善</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全域开展绿化造林。</w:t>
      </w:r>
      <w:r>
        <w:rPr>
          <w:rFonts w:hint="eastAsia" w:ascii="仿宋_GB2312" w:hAnsi="仿宋_GB2312" w:eastAsia="仿宋_GB2312" w:cs="仿宋_GB2312"/>
          <w:b w:val="0"/>
          <w:bCs w:val="0"/>
          <w:color w:val="auto"/>
          <w:sz w:val="32"/>
          <w:szCs w:val="32"/>
          <w:lang w:val="en-US" w:eastAsia="zh-CN"/>
        </w:rPr>
        <w:t>全镇完成新植、补植行道造林61公里，庭院绿化220户。完成荒山生态造林500亩，补植补造2000亩，义务植树7.6万株，植树尽责率达到100%。推行林长制工作，做好“一长三员”网格化管护体系建设，落实源头管理责任。</w:t>
      </w:r>
      <w:r>
        <w:rPr>
          <w:rFonts w:hint="eastAsia" w:ascii="仿宋_GB2312" w:hAnsi="仿宋_GB2312" w:eastAsia="仿宋_GB2312" w:cs="仿宋_GB2312"/>
          <w:b/>
          <w:bCs/>
          <w:color w:val="auto"/>
          <w:sz w:val="32"/>
          <w:szCs w:val="32"/>
          <w:lang w:val="en-US" w:eastAsia="zh-CN"/>
        </w:rPr>
        <w:t>全面推行河长制工作。</w:t>
      </w:r>
      <w:r>
        <w:rPr>
          <w:rFonts w:hint="eastAsia" w:ascii="仿宋_GB2312" w:hAnsi="仿宋_GB2312" w:eastAsia="仿宋_GB2312" w:cs="仿宋_GB2312"/>
          <w:b w:val="0"/>
          <w:bCs w:val="0"/>
          <w:color w:val="auto"/>
          <w:sz w:val="32"/>
          <w:szCs w:val="32"/>
          <w:lang w:val="en-US" w:eastAsia="zh-CN"/>
        </w:rPr>
        <w:t>根据人员异动及时调整镇村两级河长，投入资金2万元完善更新河长制公示牌15块，按时完成河长制巡查，今年已完成800多人次河长制巡查任务。投资20多万元，开展塘坝、渠道、河道水面整治，确保水清、岸绿、景美。</w:t>
      </w:r>
      <w:r>
        <w:rPr>
          <w:rFonts w:hint="eastAsia" w:ascii="仿宋_GB2312" w:hAnsi="仿宋" w:eastAsia="仿宋_GB2312" w:cs="Times New Roman"/>
          <w:b/>
          <w:bCs/>
          <w:sz w:val="32"/>
          <w:szCs w:val="32"/>
          <w:lang w:eastAsia="zh-CN"/>
        </w:rPr>
        <w:t>持续推进“小散乱污”治理和污染防治“夏季攻势”。</w:t>
      </w:r>
      <w:r>
        <w:rPr>
          <w:rFonts w:hint="eastAsia" w:ascii="仿宋_GB2312" w:hAnsi="仿宋_GB2312" w:eastAsia="仿宋_GB2312" w:cs="仿宋_GB2312"/>
          <w:sz w:val="32"/>
          <w:szCs w:val="32"/>
          <w:highlight w:val="none"/>
          <w:lang w:val="en-US" w:eastAsia="zh-CN"/>
        </w:rPr>
        <w:t>配合上级部门对镇内8家石煤矿进行停产关闭退出，签订退出奖补协议，有序开展生态复绿。</w:t>
      </w:r>
      <w:r>
        <w:rPr>
          <w:rFonts w:hint="eastAsia" w:ascii="仿宋_GB2312" w:hAnsi="仿宋" w:eastAsia="仿宋_GB2312" w:cs="Times New Roman"/>
          <w:sz w:val="32"/>
          <w:szCs w:val="32"/>
          <w:lang w:val="en-US" w:eastAsia="zh-CN"/>
        </w:rPr>
        <w:t>强力开展涔河北支污水治理，铁腕整治露天秸秆焚烧行为，倡导秸秆无害化综合利用，不惜一切代价守护碧水蓝天</w:t>
      </w:r>
      <w:r>
        <w:rPr>
          <w:rFonts w:hint="eastAsia" w:ascii="仿宋_GB2312" w:hAnsi="仿宋"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四</w:t>
      </w:r>
      <w:r>
        <w:rPr>
          <w:rFonts w:hint="default" w:ascii="楷体_GB2312" w:hAnsi="楷体_GB2312" w:eastAsia="楷体_GB2312" w:cs="楷体_GB2312"/>
          <w:b/>
          <w:bCs/>
          <w:sz w:val="32"/>
          <w:szCs w:val="32"/>
          <w:highlight w:val="none"/>
          <w:lang w:val="en-US" w:eastAsia="zh-CN"/>
        </w:rPr>
        <w:t>）社会治理不断夯实</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w:t>
      </w:r>
      <w:r>
        <w:rPr>
          <w:rFonts w:hint="default" w:ascii="楷体_GB2312" w:hAnsi="楷体_GB2312" w:eastAsia="楷体_GB2312" w:cs="楷体_GB2312"/>
          <w:b/>
          <w:bCs/>
          <w:sz w:val="32"/>
          <w:szCs w:val="32"/>
          <w:lang w:val="en-US" w:eastAsia="zh-CN"/>
        </w:rPr>
        <w:t>是基层治理成效明显。</w:t>
      </w:r>
      <w:r>
        <w:rPr>
          <w:rFonts w:hint="eastAsia" w:ascii="Times New Roman" w:hAnsi="Times New Roman" w:eastAsia="仿宋_GB2312" w:cs="Times New Roman"/>
          <w:sz w:val="32"/>
          <w:szCs w:val="32"/>
          <w:lang w:val="en-US" w:eastAsia="zh-CN"/>
        </w:rPr>
        <w:t>发挥党建引领，以支部“五化”建设为抓手，着力打造坚强有力的基层党组织。</w:t>
      </w:r>
      <w:r>
        <w:rPr>
          <w:rFonts w:hint="eastAsia" w:ascii="仿宋_GB2312" w:hAnsi="仿宋_GB2312" w:eastAsia="仿宋_GB2312" w:cs="仿宋_GB2312"/>
          <w:sz w:val="32"/>
          <w:szCs w:val="32"/>
          <w:lang w:eastAsia="zh-CN"/>
        </w:rPr>
        <w:t>扎实</w:t>
      </w:r>
      <w:r>
        <w:rPr>
          <w:rFonts w:hint="eastAsia" w:ascii="仿宋_GB2312" w:hAnsi="仿宋_GB2312" w:eastAsia="仿宋_GB2312" w:cs="仿宋_GB2312"/>
          <w:sz w:val="32"/>
          <w:szCs w:val="32"/>
        </w:rPr>
        <w:t>落实“三会一课”</w:t>
      </w:r>
      <w:r>
        <w:rPr>
          <w:rFonts w:hint="eastAsia" w:ascii="仿宋_GB2312" w:hAnsi="仿宋_GB2312" w:eastAsia="仿宋_GB2312" w:cs="仿宋_GB2312"/>
          <w:sz w:val="32"/>
          <w:szCs w:val="32"/>
          <w:lang w:eastAsia="zh-CN"/>
        </w:rPr>
        <w:t>制度，开展党史学习教育，</w:t>
      </w:r>
      <w:r>
        <w:rPr>
          <w:rFonts w:hint="eastAsia" w:ascii="Times New Roman" w:hAnsi="Times New Roman" w:eastAsia="仿宋_GB2312" w:cs="Times New Roman"/>
          <w:sz w:val="32"/>
          <w:szCs w:val="32"/>
          <w:lang w:val="en-US" w:eastAsia="zh-CN"/>
        </w:rPr>
        <w:t>提升农村党员理论水平，建设一支政治素质好、致富能力强的农村党员队伍。实现网格一体化管理和服务，逐步实现村级社会治理制度化、体系化、科学化，不断提升基层社会治理体系和治理能力现代化水平。推进“清廉乡村”建设。</w:t>
      </w:r>
      <w:r>
        <w:rPr>
          <w:rFonts w:hint="eastAsia" w:ascii="仿宋_GB2312" w:hAnsi="仿宋_GB2312" w:eastAsia="仿宋_GB2312" w:cs="仿宋_GB2312"/>
          <w:b w:val="0"/>
          <w:bCs w:val="0"/>
          <w:sz w:val="32"/>
          <w:szCs w:val="32"/>
          <w:lang w:val="en-US" w:eastAsia="zh-CN"/>
        </w:rPr>
        <w:t>加强廉政组织保障建设，</w:t>
      </w:r>
      <w:r>
        <w:rPr>
          <w:rFonts w:hint="eastAsia" w:ascii="仿宋_GB2312" w:hAnsi="仿宋_GB2312" w:eastAsia="仿宋_GB2312" w:cs="仿宋_GB2312"/>
          <w:sz w:val="32"/>
          <w:szCs w:val="32"/>
          <w:lang w:val="en-US" w:eastAsia="zh-CN"/>
        </w:rPr>
        <w:t>设立村级纪检员，督促村（社区）“三重一大”事项执行落实，提高村支两委履职议事能力。加强民主监督，落实“四议两公开”制度，加大民主监督力度，不断增加村级事务的透明度。</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是社会大局安全稳定。</w:t>
      </w:r>
      <w:r>
        <w:rPr>
          <w:rFonts w:hint="eastAsia" w:ascii="仿宋_GB2312" w:hAnsi="仿宋_GB2312" w:eastAsia="仿宋_GB2312" w:cs="仿宋_GB2312"/>
          <w:b/>
          <w:bCs/>
          <w:sz w:val="32"/>
          <w:szCs w:val="32"/>
          <w:lang w:val="en-US" w:eastAsia="zh-CN"/>
        </w:rPr>
        <w:t>不断提升网格化管理服务水平。</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管理层级划分到位、工作责任明确到位、服务措施落实到位、群众诉求解决到位</w:t>
      </w:r>
      <w:r>
        <w:rPr>
          <w:rFonts w:hint="eastAsia" w:ascii="仿宋_GB2312" w:hAnsi="仿宋_GB2312" w:eastAsia="仿宋_GB2312" w:cs="仿宋_GB2312"/>
          <w:b w:val="0"/>
          <w:bCs w:val="0"/>
          <w:sz w:val="32"/>
          <w:szCs w:val="32"/>
          <w:lang w:eastAsia="zh-CN"/>
        </w:rPr>
        <w:t>为总体原则，</w:t>
      </w: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eastAsia="zh-CN"/>
        </w:rPr>
        <w:t>群众</w:t>
      </w:r>
      <w:r>
        <w:rPr>
          <w:rFonts w:hint="eastAsia" w:ascii="仿宋_GB2312" w:hAnsi="仿宋_GB2312" w:eastAsia="仿宋_GB2312" w:cs="仿宋_GB2312"/>
          <w:b w:val="0"/>
          <w:bCs w:val="0"/>
          <w:sz w:val="32"/>
          <w:szCs w:val="32"/>
        </w:rPr>
        <w:t>提供全方位服务</w:t>
      </w:r>
      <w:r>
        <w:rPr>
          <w:rFonts w:hint="eastAsia" w:ascii="仿宋_GB2312" w:hAnsi="仿宋_GB2312" w:eastAsia="仿宋_GB2312" w:cs="仿宋_GB2312"/>
          <w:b w:val="0"/>
          <w:bCs w:val="0"/>
          <w:sz w:val="32"/>
          <w:szCs w:val="32"/>
          <w:lang w:eastAsia="zh-CN"/>
        </w:rPr>
        <w:t>，及时化解各项基层矛盾，</w:t>
      </w:r>
      <w:r>
        <w:rPr>
          <w:rFonts w:hint="eastAsia" w:ascii="仿宋_GB2312" w:hAnsi="仿宋_GB2312" w:eastAsia="仿宋_GB2312" w:cs="仿宋_GB2312"/>
          <w:b w:val="0"/>
          <w:bCs w:val="0"/>
          <w:sz w:val="32"/>
          <w:szCs w:val="32"/>
        </w:rPr>
        <w:t>有效维护了辖区的安全稳定。</w:t>
      </w:r>
      <w:r>
        <w:rPr>
          <w:rFonts w:hint="eastAsia" w:ascii="仿宋_GB2312" w:hAnsi="仿宋_GB2312" w:eastAsia="仿宋_GB2312" w:cs="仿宋_GB2312"/>
          <w:b/>
          <w:bCs/>
          <w:sz w:val="32"/>
          <w:szCs w:val="32"/>
          <w:highlight w:val="none"/>
          <w:lang w:val="en-US" w:eastAsia="zh-CN"/>
        </w:rPr>
        <w:t>全力开展庆祝建党100周年特护期维稳。</w:t>
      </w:r>
      <w:r>
        <w:rPr>
          <w:rFonts w:hint="eastAsia" w:ascii="仿宋_GB2312" w:hAnsi="仿宋_GB2312" w:eastAsia="仿宋_GB2312" w:cs="仿宋_GB2312"/>
          <w:b w:val="0"/>
          <w:bCs w:val="0"/>
          <w:sz w:val="32"/>
          <w:szCs w:val="32"/>
        </w:rPr>
        <w:t>建立领导包案化解和突发事件应急机制，积极排查信访隐患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尽力将</w:t>
      </w:r>
      <w:r>
        <w:rPr>
          <w:rFonts w:hint="eastAsia" w:ascii="仿宋_GB2312" w:hAnsi="仿宋_GB2312" w:eastAsia="仿宋_GB2312" w:cs="仿宋_GB2312"/>
          <w:b w:val="0"/>
          <w:bCs w:val="0"/>
          <w:sz w:val="32"/>
          <w:szCs w:val="32"/>
          <w:lang w:eastAsia="zh-CN"/>
        </w:rPr>
        <w:t>矛盾化解</w:t>
      </w:r>
      <w:r>
        <w:rPr>
          <w:rFonts w:hint="eastAsia" w:ascii="仿宋_GB2312" w:hAnsi="仿宋_GB2312" w:eastAsia="仿宋_GB2312" w:cs="仿宋_GB2312"/>
          <w:b w:val="0"/>
          <w:bCs w:val="0"/>
          <w:sz w:val="32"/>
          <w:szCs w:val="32"/>
        </w:rPr>
        <w:t>在萌芽状态</w:t>
      </w:r>
      <w:r>
        <w:rPr>
          <w:rFonts w:hint="eastAsia" w:ascii="仿宋_GB2312" w:hAnsi="仿宋_GB2312" w:eastAsia="仿宋_GB2312" w:cs="仿宋_GB2312"/>
          <w:b w:val="0"/>
          <w:bCs w:val="0"/>
          <w:sz w:val="32"/>
          <w:szCs w:val="32"/>
          <w:lang w:eastAsia="zh-CN"/>
        </w:rPr>
        <w:t>，全镇未发生</w:t>
      </w:r>
      <w:r>
        <w:rPr>
          <w:rFonts w:hint="eastAsia" w:ascii="仿宋_GB2312" w:hAnsi="仿宋_GB2312" w:eastAsia="仿宋_GB2312" w:cs="仿宋_GB2312"/>
          <w:b w:val="0"/>
          <w:bCs w:val="0"/>
          <w:sz w:val="32"/>
          <w:szCs w:val="32"/>
        </w:rPr>
        <w:t>进京非访、极端访</w:t>
      </w:r>
      <w:r>
        <w:rPr>
          <w:rFonts w:hint="eastAsia" w:ascii="仿宋_GB2312" w:hAnsi="仿宋_GB2312" w:eastAsia="仿宋_GB2312" w:cs="仿宋_GB2312"/>
          <w:b w:val="0"/>
          <w:bCs w:val="0"/>
          <w:sz w:val="32"/>
          <w:szCs w:val="32"/>
          <w:lang w:eastAsia="zh-CN"/>
        </w:rPr>
        <w:t>及</w:t>
      </w:r>
      <w:r>
        <w:rPr>
          <w:rFonts w:hint="eastAsia" w:ascii="仿宋_GB2312" w:hAnsi="仿宋_GB2312" w:eastAsia="仿宋_GB2312" w:cs="仿宋_GB2312"/>
          <w:b w:val="0"/>
          <w:bCs w:val="0"/>
          <w:sz w:val="32"/>
          <w:szCs w:val="32"/>
        </w:rPr>
        <w:t>重点人员肇事肇祸</w:t>
      </w:r>
      <w:r>
        <w:rPr>
          <w:rFonts w:hint="eastAsia" w:ascii="仿宋_GB2312" w:hAnsi="仿宋_GB2312" w:eastAsia="仿宋_GB2312" w:cs="仿宋_GB2312"/>
          <w:b w:val="0"/>
          <w:bCs w:val="0"/>
          <w:sz w:val="32"/>
          <w:szCs w:val="32"/>
          <w:lang w:eastAsia="zh-CN"/>
        </w:rPr>
        <w:t>事件。</w:t>
      </w:r>
      <w:r>
        <w:rPr>
          <w:rFonts w:hint="eastAsia" w:ascii="仿宋_GB2312" w:hAnsi="仿宋_GB2312" w:eastAsia="仿宋_GB2312" w:cs="仿宋_GB2312"/>
          <w:b/>
          <w:bCs/>
          <w:sz w:val="32"/>
          <w:szCs w:val="32"/>
          <w:lang w:eastAsia="zh-CN"/>
        </w:rPr>
        <w:t>切实筑牢安全生产防线。</w:t>
      </w:r>
      <w:r>
        <w:rPr>
          <w:rFonts w:hint="eastAsia" w:ascii="仿宋_GB2312" w:hAnsi="仿宋_GB2312" w:eastAsia="仿宋_GB2312" w:cs="仿宋_GB2312"/>
          <w:b w:val="0"/>
          <w:bCs w:val="0"/>
          <w:sz w:val="32"/>
          <w:szCs w:val="32"/>
          <w:lang w:eastAsia="zh-CN"/>
        </w:rPr>
        <w:t>多次组织学习贯彻习近平总书记关于安全生产重要指示批示精神。</w:t>
      </w:r>
      <w:r>
        <w:rPr>
          <w:rFonts w:hint="eastAsia" w:ascii="仿宋_GB2312" w:hAnsi="仿宋_GB2312" w:eastAsia="仿宋_GB2312" w:cs="仿宋_GB2312"/>
          <w:b w:val="0"/>
          <w:bCs w:val="0"/>
          <w:sz w:val="32"/>
          <w:szCs w:val="32"/>
          <w:lang w:val="en-US" w:eastAsia="zh-CN"/>
        </w:rPr>
        <w:t>签订安全生产目</w:t>
      </w:r>
      <w:r>
        <w:rPr>
          <w:rFonts w:hint="eastAsia" w:ascii="仿宋_GB2312" w:hAnsi="仿宋_GB2312" w:eastAsia="仿宋_GB2312" w:cs="仿宋_GB2312"/>
          <w:sz w:val="32"/>
          <w:szCs w:val="32"/>
          <w:lang w:val="en-US" w:eastAsia="zh-CN"/>
        </w:rPr>
        <w:t>标管理承诺书，进一步加强企业主体责任。深入开展专项隐患排查整治和“打非治违”行动，共查出隐患问题362条，现已整改350条，整改合格率达95%以上。查处无证经营烟花爆竹商户3家、非法灌装运输瓶装液化汽人员5名，形成了有力震慑。</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三是疫情防控扎实有效。</w:t>
      </w:r>
      <w:r>
        <w:rPr>
          <w:rFonts w:hint="default" w:ascii="仿宋_GB2312" w:hAnsi="仿宋_GB2312" w:eastAsia="仿宋_GB2312" w:cs="仿宋_GB2312"/>
          <w:b/>
          <w:bCs/>
          <w:sz w:val="32"/>
          <w:szCs w:val="32"/>
          <w:lang w:val="en-US" w:eastAsia="zh-CN"/>
        </w:rPr>
        <w:t>全面推进疫苗接种。</w:t>
      </w:r>
      <w:r>
        <w:rPr>
          <w:rFonts w:hint="default" w:ascii="仿宋_GB2312" w:hAnsi="仿宋_GB2312" w:eastAsia="仿宋_GB2312" w:cs="仿宋_GB2312"/>
          <w:b w:val="0"/>
          <w:bCs w:val="0"/>
          <w:sz w:val="32"/>
          <w:szCs w:val="32"/>
          <w:lang w:val="en-US" w:eastAsia="zh-CN"/>
        </w:rPr>
        <w:t>全镇18岁以上人群已完成第一针接种31415人，3至17岁人群已完成第一针接种4581人，正在持续开展第</w:t>
      </w:r>
      <w:r>
        <w:rPr>
          <w:rFonts w:hint="eastAsia" w:ascii="仿宋_GB2312" w:hAnsi="仿宋_GB2312" w:eastAsia="仿宋_GB2312" w:cs="仿宋_GB2312"/>
          <w:b w:val="0"/>
          <w:bCs w:val="0"/>
          <w:sz w:val="32"/>
          <w:szCs w:val="32"/>
          <w:lang w:val="en-US" w:eastAsia="zh-CN"/>
        </w:rPr>
        <w:t>二</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三</w:t>
      </w:r>
      <w:r>
        <w:rPr>
          <w:rFonts w:hint="default" w:ascii="仿宋_GB2312" w:hAnsi="仿宋_GB2312" w:eastAsia="仿宋_GB2312" w:cs="仿宋_GB2312"/>
          <w:b w:val="0"/>
          <w:bCs w:val="0"/>
          <w:sz w:val="32"/>
          <w:szCs w:val="32"/>
          <w:lang w:val="en-US" w:eastAsia="zh-CN"/>
        </w:rPr>
        <w:t>针到期和加强针接种。</w:t>
      </w:r>
      <w:r>
        <w:rPr>
          <w:rFonts w:hint="default" w:ascii="仿宋_GB2312" w:hAnsi="仿宋_GB2312" w:eastAsia="仿宋_GB2312" w:cs="仿宋_GB2312"/>
          <w:b/>
          <w:bCs/>
          <w:sz w:val="32"/>
          <w:szCs w:val="32"/>
          <w:lang w:val="en-US" w:eastAsia="zh-CN"/>
        </w:rPr>
        <w:t>扎实落实人员管控。</w:t>
      </w:r>
      <w:r>
        <w:rPr>
          <w:rFonts w:hint="default" w:ascii="仿宋_GB2312" w:hAnsi="仿宋_GB2312" w:eastAsia="仿宋_GB2312" w:cs="仿宋_GB2312"/>
          <w:b w:val="0"/>
          <w:bCs w:val="0"/>
          <w:sz w:val="32"/>
          <w:szCs w:val="32"/>
          <w:lang w:val="en-US" w:eastAsia="zh-CN"/>
        </w:rPr>
        <w:t>今年以来，全镇共排查国外境外人员96人，其中境外返澧人员64人，根据疫情防控要求，全部落实闭环转运、集中隔离、居家监测，核酸检测。按时完成市县交办的国内中高风险地区返澧人员信息排查，做好村（社区）返乡人员摸排，按要求落实各类管控措施，累计落实国内中高风险地区返乡管控407人。</w:t>
      </w:r>
      <w:r>
        <w:rPr>
          <w:rFonts w:hint="eastAsia" w:ascii="仿宋_GB2312" w:hAnsi="仿宋_GB2312" w:eastAsia="仿宋_GB2312" w:cs="仿宋_GB2312"/>
          <w:b/>
          <w:bCs/>
          <w:sz w:val="32"/>
          <w:szCs w:val="32"/>
          <w:lang w:val="en-US" w:eastAsia="zh-CN"/>
        </w:rPr>
        <w:t>严格</w:t>
      </w:r>
      <w:r>
        <w:rPr>
          <w:rFonts w:hint="default" w:ascii="仿宋_GB2312" w:hAnsi="仿宋_GB2312" w:eastAsia="仿宋_GB2312" w:cs="仿宋_GB2312"/>
          <w:b/>
          <w:bCs/>
          <w:sz w:val="32"/>
          <w:szCs w:val="32"/>
          <w:lang w:val="en-US" w:eastAsia="zh-CN"/>
        </w:rPr>
        <w:t>重点场所</w:t>
      </w:r>
      <w:r>
        <w:rPr>
          <w:rFonts w:hint="eastAsia" w:ascii="仿宋_GB2312" w:hAnsi="仿宋_GB2312" w:eastAsia="仿宋_GB2312" w:cs="仿宋_GB2312"/>
          <w:b/>
          <w:bCs/>
          <w:sz w:val="32"/>
          <w:szCs w:val="32"/>
          <w:lang w:val="en-US" w:eastAsia="zh-CN"/>
        </w:rPr>
        <w:t>管理</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eastAsia="zh-CN"/>
        </w:rPr>
        <w:t>根据省市县疫情防控要求，我镇制定年度疫情防控工作方案，将</w:t>
      </w:r>
      <w:r>
        <w:rPr>
          <w:rFonts w:hint="default" w:ascii="仿宋_GB2312" w:hAnsi="仿宋_GB2312" w:eastAsia="仿宋_GB2312" w:cs="仿宋_GB2312"/>
          <w:sz w:val="32"/>
          <w:szCs w:val="32"/>
          <w:lang w:val="en-US" w:eastAsia="zh-CN"/>
        </w:rPr>
        <w:t>管控责任细化到部门到人，全面落实聚集场所“三查”制度，党政主要负责人带头检查疫情防控措施落实情况，各项大型活动、会议按要求上报县疫情防控指挥部。</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五</w:t>
      </w:r>
      <w:r>
        <w:rPr>
          <w:rFonts w:hint="default" w:ascii="楷体_GB2312" w:hAnsi="楷体_GB2312" w:eastAsia="楷体_GB2312" w:cs="楷体_GB2312"/>
          <w:b/>
          <w:bCs/>
          <w:sz w:val="32"/>
          <w:szCs w:val="32"/>
          <w:highlight w:val="none"/>
          <w:lang w:val="en-US" w:eastAsia="zh-CN"/>
        </w:rPr>
        <w:t>）民生福祉不断增进</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一是不断巩固拓展脱贫攻坚成效。</w:t>
      </w:r>
      <w:r>
        <w:rPr>
          <w:rFonts w:hint="eastAsia" w:ascii="仿宋" w:hAnsi="仿宋" w:eastAsia="仿宋" w:cs="仿宋"/>
          <w:b/>
          <w:bCs/>
          <w:sz w:val="32"/>
          <w:szCs w:val="32"/>
          <w:lang w:val="en-US" w:eastAsia="zh-CN"/>
        </w:rPr>
        <w:t>切实开展防返贫监测。</w:t>
      </w:r>
      <w:r>
        <w:rPr>
          <w:rFonts w:hint="eastAsia" w:ascii="仿宋_GB2312" w:hAnsi="仿宋_GB2312" w:eastAsia="仿宋_GB2312" w:cs="仿宋_GB2312"/>
          <w:b w:val="0"/>
          <w:bCs w:val="0"/>
          <w:sz w:val="32"/>
          <w:szCs w:val="32"/>
          <w:lang w:val="en-US" w:eastAsia="zh-CN"/>
        </w:rPr>
        <w:t>最大程度发挥全省防返贫监测与帮扶管理平台预警作用，对所有反馈的风险点落实入户核实，切实开展帮扶，尽快帮其消除风险点。</w:t>
      </w:r>
      <w:r>
        <w:rPr>
          <w:rFonts w:hint="eastAsia" w:ascii="仿宋" w:hAnsi="仿宋" w:eastAsia="仿宋" w:cs="仿宋"/>
          <w:b/>
          <w:bCs/>
          <w:sz w:val="32"/>
          <w:szCs w:val="32"/>
          <w:lang w:val="en-US" w:eastAsia="zh-CN"/>
        </w:rPr>
        <w:t>强化乡村振兴帮扶力量。</w:t>
      </w:r>
      <w:r>
        <w:rPr>
          <w:rFonts w:hint="eastAsia" w:ascii="仿宋_GB2312" w:hAnsi="仿宋_GB2312" w:eastAsia="仿宋_GB2312" w:cs="仿宋_GB2312"/>
          <w:b w:val="0"/>
          <w:bCs w:val="0"/>
          <w:sz w:val="32"/>
          <w:szCs w:val="32"/>
          <w:lang w:val="en-US" w:eastAsia="zh-CN"/>
        </w:rPr>
        <w:t>明确了全镇13个村乡村振兴工作队后盾单位和人员组成，按照要求，派出10名机关站所干部任驻村工作队队员，进一步增强了乡村振兴的帮扶力量。</w:t>
      </w:r>
      <w:r>
        <w:rPr>
          <w:rFonts w:hint="eastAsia" w:ascii="仿宋" w:hAnsi="仿宋" w:eastAsia="仿宋" w:cs="仿宋"/>
          <w:b/>
          <w:bCs/>
          <w:sz w:val="32"/>
          <w:szCs w:val="32"/>
          <w:lang w:val="en-US" w:eastAsia="zh-CN"/>
        </w:rPr>
        <w:t>精准推进动态调整。</w:t>
      </w:r>
      <w:r>
        <w:rPr>
          <w:rFonts w:hint="eastAsia" w:ascii="仿宋_GB2312" w:hAnsi="仿宋_GB2312" w:eastAsia="仿宋_GB2312" w:cs="仿宋_GB2312"/>
          <w:b w:val="0"/>
          <w:bCs w:val="0"/>
          <w:sz w:val="32"/>
          <w:szCs w:val="32"/>
          <w:lang w:val="en-US" w:eastAsia="zh-CN"/>
        </w:rPr>
        <w:t>常态化开展脱贫人口、监测人口动态调整工作，确保新增的对象及时纳入，减少的对象及时退出，确保精准。</w:t>
      </w:r>
      <w:r>
        <w:rPr>
          <w:rFonts w:hint="eastAsia" w:ascii="仿宋" w:hAnsi="仿宋" w:eastAsia="仿宋" w:cs="仿宋"/>
          <w:b/>
          <w:bCs/>
          <w:sz w:val="32"/>
          <w:szCs w:val="32"/>
          <w:lang w:val="en-US" w:eastAsia="zh-CN"/>
        </w:rPr>
        <w:t>确保帮扶政策落地。</w:t>
      </w:r>
      <w:r>
        <w:rPr>
          <w:rFonts w:hint="eastAsia" w:ascii="仿宋_GB2312" w:hAnsi="仿宋_GB2312" w:eastAsia="仿宋_GB2312" w:cs="仿宋_GB2312"/>
          <w:b w:val="0"/>
          <w:bCs w:val="0"/>
          <w:sz w:val="32"/>
          <w:szCs w:val="32"/>
          <w:lang w:val="en-US" w:eastAsia="zh-CN"/>
        </w:rPr>
        <w:t>积</w:t>
      </w:r>
      <w:r>
        <w:rPr>
          <w:rFonts w:hint="eastAsia" w:ascii="仿宋_GB2312" w:hAnsi="仿宋_GB2312" w:eastAsia="仿宋_GB2312" w:cs="仿宋_GB2312"/>
          <w:sz w:val="32"/>
          <w:szCs w:val="32"/>
          <w:lang w:val="en-US" w:eastAsia="zh-CN"/>
        </w:rPr>
        <w:t>极宣传稳定脱贫责任险理赔政策，按规定对农业产业收入降低户55户和超额学费学生7人进行理赔，理赔额共计10.37万元，群众获得感进一步提高。</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二是全力推动实施乡村振兴。</w:t>
      </w:r>
      <w:r>
        <w:rPr>
          <w:rFonts w:hint="default" w:ascii="仿宋_GB2312" w:hAnsi="仿宋_GB2312" w:eastAsia="仿宋_GB2312" w:cs="仿宋_GB2312"/>
          <w:b/>
          <w:bCs/>
          <w:sz w:val="32"/>
          <w:szCs w:val="32"/>
          <w:lang w:val="en-US" w:eastAsia="zh-CN"/>
        </w:rPr>
        <w:t>塑美丽乡村之“形”。</w:t>
      </w:r>
      <w:r>
        <w:rPr>
          <w:rFonts w:hint="eastAsia" w:ascii="仿宋_GB2312" w:hAnsi="仿宋_GB2312" w:eastAsia="仿宋_GB2312" w:cs="仿宋_GB2312"/>
          <w:b w:val="0"/>
          <w:bCs w:val="0"/>
          <w:sz w:val="32"/>
          <w:szCs w:val="32"/>
          <w:lang w:val="en-US" w:eastAsia="zh-CN"/>
        </w:rPr>
        <w:t>大力开展人居环境整治，不断加强宣传引导，形成良好的人居环境宣传氛围。组织开展人居环境“推磨式”检查，严格兑现奖惩。</w:t>
      </w:r>
      <w:r>
        <w:rPr>
          <w:rFonts w:hint="eastAsia" w:ascii="Times New Roman" w:hAnsi="Times New Roman" w:eastAsia="仿宋_GB2312" w:cs="Times New Roman"/>
          <w:b w:val="0"/>
          <w:bCs w:val="0"/>
          <w:sz w:val="32"/>
          <w:szCs w:val="32"/>
          <w:lang w:val="en-US" w:eastAsia="zh-CN"/>
        </w:rPr>
        <w:t>将“五大振兴”与幸福屋场建设有机结合，发掘各村（社）特色，极力促成示范点打造</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通过召开流动现场会，进行综合调研，评比筛选，选定古城岗村、花园湾社区和观音阁社区3个村（社区）作为重点，结合地理优势、产业发展、乡村旅游等方面打造</w:t>
      </w:r>
      <w:r>
        <w:rPr>
          <w:rFonts w:hint="eastAsia" w:ascii="仿宋_GB2312" w:hAnsi="仿宋_GB2312" w:eastAsia="仿宋_GB2312" w:cs="仿宋_GB2312"/>
          <w:b w:val="0"/>
          <w:bCs w:val="0"/>
          <w:sz w:val="32"/>
          <w:szCs w:val="32"/>
          <w:lang w:val="en-US" w:eastAsia="zh-CN"/>
        </w:rPr>
        <w:t>乡村振兴示范样板</w:t>
      </w:r>
      <w:r>
        <w:rPr>
          <w:rFonts w:hint="eastAsia" w:ascii="Times New Roman" w:hAnsi="Times New Roman" w:eastAsia="仿宋_GB2312" w:cs="Times New Roman"/>
          <w:b w:val="0"/>
          <w:bCs w:val="0"/>
          <w:sz w:val="32"/>
          <w:szCs w:val="32"/>
          <w:lang w:val="en-US" w:eastAsia="zh-CN"/>
        </w:rPr>
        <w:t>。</w:t>
      </w:r>
      <w:r>
        <w:rPr>
          <w:rFonts w:hint="default" w:ascii="仿宋_GB2312" w:hAnsi="仿宋_GB2312" w:eastAsia="仿宋_GB2312" w:cs="仿宋_GB2312"/>
          <w:b/>
          <w:bCs/>
          <w:sz w:val="32"/>
          <w:szCs w:val="32"/>
          <w:highlight w:val="none"/>
          <w:lang w:val="en-US" w:eastAsia="zh-CN"/>
        </w:rPr>
        <w:t>凝乡村产业之“实”。</w:t>
      </w:r>
      <w:r>
        <w:rPr>
          <w:rFonts w:hint="eastAsia" w:ascii="Times New Roman" w:hAnsi="Times New Roman" w:eastAsia="仿宋_GB2312" w:cs="Times New Roman"/>
          <w:b w:val="0"/>
          <w:bCs w:val="0"/>
          <w:sz w:val="32"/>
          <w:szCs w:val="32"/>
          <w:highlight w:val="none"/>
          <w:lang w:val="en-US" w:eastAsia="zh-CN"/>
        </w:rPr>
        <w:t>围绕特色产业提质增效，做强优势主导产业，持续促进农民增收。全力推进湖南奇宇农业有限公司项目，配套完善冻库、加工车间及生活办公等相关设施，提高蔬菜精深加工水平，增强示范带动作用。在现有油茶基地和柑桔种植的基础上，继续加大扶持力度，持续带动农户增收。柏樟村</w:t>
      </w:r>
      <w:r>
        <w:rPr>
          <w:rFonts w:hint="eastAsia" w:ascii="仿宋_GB2312" w:eastAsia="仿宋_GB2312" w:cs="Times New Roman"/>
          <w:color w:val="000000" w:themeColor="text1"/>
          <w:sz w:val="32"/>
          <w:szCs w:val="32"/>
          <w:lang w:val="en-US" w:eastAsia="zh-CN"/>
          <w14:textFill>
            <w14:solidFill>
              <w14:schemeClr w14:val="tx1"/>
            </w14:solidFill>
          </w14:textFill>
        </w:rPr>
        <w:t>与湖南锦绣千村签约，成立村社联建便民利农农资服务点，具体开展种子、化肥、农药销售和农业技术指导，收购特色农产品，打造乡土品牌，助力农村产业发展。</w:t>
      </w:r>
      <w:r>
        <w:rPr>
          <w:rFonts w:hint="default" w:ascii="仿宋_GB2312" w:hAnsi="仿宋_GB2312" w:eastAsia="仿宋_GB2312" w:cs="仿宋_GB2312"/>
          <w:b/>
          <w:bCs/>
          <w:sz w:val="32"/>
          <w:szCs w:val="32"/>
          <w:lang w:val="en-US" w:eastAsia="zh-CN"/>
        </w:rPr>
        <w:t>铸乡风文明之“魂”。</w:t>
      </w:r>
      <w:r>
        <w:rPr>
          <w:rFonts w:hint="eastAsia" w:ascii="仿宋_GB2312" w:hAnsi="仿宋_GB2312" w:eastAsia="仿宋_GB2312" w:cs="仿宋_GB2312"/>
          <w:b w:val="0"/>
          <w:bCs w:val="0"/>
          <w:kern w:val="2"/>
          <w:sz w:val="32"/>
          <w:szCs w:val="32"/>
          <w:lang w:val="en-US" w:eastAsia="zh-CN" w:bidi="ar-SA"/>
        </w:rPr>
        <w:t>多形式开展文化活动。全年，分别在古台村、澧淞村、羊煤社区等村（社区）举办多场次文艺汇演</w:t>
      </w:r>
      <w:r>
        <w:rPr>
          <w:rFonts w:hint="eastAsia" w:ascii="仿宋_GB2312" w:hAnsi="仿宋_GB2312" w:eastAsia="仿宋_GB2312" w:cs="仿宋_GB2312"/>
          <w:kern w:val="2"/>
          <w:sz w:val="32"/>
          <w:szCs w:val="32"/>
          <w:lang w:val="en-US" w:eastAsia="zh-CN" w:bidi="ar-SA"/>
        </w:rPr>
        <w:t>。邀请澧县梦溪永祥剧团到火连坡镇开展“送戏下乡”活动，惠及群众近千人。</w:t>
      </w:r>
      <w:r>
        <w:rPr>
          <w:rFonts w:hint="eastAsia" w:ascii="Times New Roman" w:hAnsi="Times New Roman" w:eastAsia="仿宋_GB2312" w:cs="Times New Roman"/>
          <w:sz w:val="32"/>
          <w:szCs w:val="32"/>
          <w:lang w:val="en-US" w:eastAsia="zh-CN"/>
        </w:rPr>
        <w:t>广泛进行最美家庭、最美新乡贤和最美庭院评选，通过树立先进典型，</w:t>
      </w:r>
      <w:r>
        <w:rPr>
          <w:rFonts w:hint="eastAsia" w:ascii="仿宋_GB2312" w:hAnsi="仿宋_GB2312" w:eastAsia="仿宋_GB2312" w:cs="仿宋_GB2312"/>
          <w:sz w:val="32"/>
          <w:szCs w:val="32"/>
          <w:lang w:val="en-US" w:eastAsia="zh-CN"/>
        </w:rPr>
        <w:t>逐步形成向善向好的乡风民风。</w:t>
      </w:r>
      <w:r>
        <w:rPr>
          <w:rFonts w:hint="eastAsia" w:ascii="Times New Roman" w:hAnsi="Times New Roman" w:eastAsia="仿宋_GB2312" w:cs="Times New Roman"/>
          <w:sz w:val="32"/>
          <w:szCs w:val="32"/>
          <w:lang w:val="en-US" w:eastAsia="zh-CN"/>
        </w:rPr>
        <w:t>组织各村（社区）修订村规民约，进一步完善乡村治理。在辖区扎实开展人情风整治，以澧淞村公益性墓地建设为示范，推进农村殡葬改革，持续深入移风易俗，形成文明乡风。</w:t>
      </w:r>
    </w:p>
    <w:p>
      <w:pPr>
        <w:keepNext w:val="0"/>
        <w:keepLines w:val="0"/>
        <w:pageBreakBefore w:val="0"/>
        <w:widowControl w:val="0"/>
        <w:kinsoku/>
        <w:wordWrap/>
        <w:overflowPunct/>
        <w:topLinePunct w:val="0"/>
        <w:autoSpaceDE/>
        <w:autoSpaceDN/>
        <w:bidi w:val="0"/>
        <w:adjustRightInd/>
        <w:snapToGrid/>
        <w:spacing w:line="550" w:lineRule="exact"/>
        <w:ind w:firstLine="641"/>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是抓好各项民生政策落实。</w:t>
      </w:r>
      <w:r>
        <w:rPr>
          <w:rFonts w:hint="eastAsia" w:ascii="仿宋_GB2312" w:hAnsi="仿宋_GB2312" w:eastAsia="仿宋_GB2312" w:cs="仿宋_GB2312"/>
          <w:b/>
          <w:bCs/>
          <w:sz w:val="32"/>
          <w:szCs w:val="32"/>
          <w:lang w:val="en-US" w:eastAsia="zh-CN"/>
        </w:rPr>
        <w:t>落实困难群体基本生活保障。</w:t>
      </w:r>
      <w:r>
        <w:rPr>
          <w:rFonts w:hint="eastAsia" w:ascii="仿宋_GB2312" w:hAnsi="仿宋_GB2312" w:eastAsia="仿宋_GB2312" w:cs="仿宋_GB2312"/>
          <w:b w:val="0"/>
          <w:bCs w:val="0"/>
          <w:sz w:val="32"/>
          <w:szCs w:val="32"/>
          <w:lang w:eastAsia="zh-CN"/>
        </w:rPr>
        <w:t>规范农村兜底保障，</w:t>
      </w:r>
      <w:r>
        <w:rPr>
          <w:rFonts w:hint="eastAsia" w:ascii="仿宋_GB2312" w:hAnsi="仿宋_GB2312" w:eastAsia="仿宋_GB2312" w:cs="仿宋_GB2312"/>
          <w:b w:val="0"/>
          <w:bCs w:val="0"/>
          <w:sz w:val="32"/>
          <w:szCs w:val="32"/>
          <w:lang w:val="en-US" w:eastAsia="zh-CN"/>
        </w:rPr>
        <w:t>完成低保人员清理整顿及</w:t>
      </w:r>
      <w:r>
        <w:rPr>
          <w:rFonts w:hint="eastAsia" w:ascii="仿宋_GB2312" w:hAnsi="仿宋_GB2312" w:eastAsia="仿宋_GB2312" w:cs="仿宋_GB2312"/>
          <w:b w:val="0"/>
          <w:bCs w:val="0"/>
          <w:sz w:val="32"/>
          <w:szCs w:val="32"/>
        </w:rPr>
        <w:t>五保对象核定</w:t>
      </w:r>
      <w:r>
        <w:rPr>
          <w:rFonts w:hint="eastAsia" w:ascii="仿宋_GB2312" w:hAnsi="仿宋_GB2312" w:eastAsia="仿宋_GB2312" w:cs="仿宋_GB2312"/>
          <w:b w:val="0"/>
          <w:bCs w:val="0"/>
          <w:sz w:val="32"/>
          <w:szCs w:val="32"/>
          <w:lang w:eastAsia="zh-CN"/>
        </w:rPr>
        <w:t>，按要求发放低保金和五保供养金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定期为全镇1394名残疾人发放两项补贴，为33名残疾人申请发放残疾人辅助器具，有效提高了生活质量。</w:t>
      </w:r>
      <w:r>
        <w:rPr>
          <w:rFonts w:hint="eastAsia" w:ascii="仿宋_GB2312" w:hAnsi="仿宋_GB2312" w:eastAsia="仿宋_GB2312" w:cs="仿宋_GB2312"/>
          <w:b w:val="0"/>
          <w:bCs w:val="0"/>
          <w:sz w:val="32"/>
          <w:szCs w:val="32"/>
          <w:highlight w:val="none"/>
          <w:lang w:eastAsia="zh-CN"/>
        </w:rPr>
        <w:t>及时开展各类</w:t>
      </w:r>
      <w:r>
        <w:rPr>
          <w:rFonts w:hint="eastAsia" w:ascii="仿宋_GB2312" w:hAnsi="仿宋_GB2312" w:eastAsia="仿宋_GB2312" w:cs="仿宋_GB2312"/>
          <w:b w:val="0"/>
          <w:bCs w:val="0"/>
          <w:sz w:val="32"/>
          <w:szCs w:val="32"/>
          <w:highlight w:val="none"/>
        </w:rPr>
        <w:t>救助</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lang w:eastAsia="zh-CN"/>
        </w:rPr>
        <w:t>今年来，提供</w:t>
      </w:r>
      <w:r>
        <w:rPr>
          <w:rFonts w:hint="eastAsia" w:ascii="仿宋_GB2312" w:hAnsi="仿宋_GB2312" w:eastAsia="仿宋_GB2312" w:cs="仿宋_GB2312"/>
          <w:b w:val="0"/>
          <w:bCs w:val="0"/>
          <w:sz w:val="32"/>
          <w:szCs w:val="32"/>
          <w:lang w:val="en-US" w:eastAsia="zh-CN"/>
        </w:rPr>
        <w:t>大病救助46人次、临时救助312人次，救助金额达29.6万元。</w:t>
      </w:r>
      <w:r>
        <w:rPr>
          <w:rFonts w:hint="eastAsia" w:ascii="仿宋_GB2312" w:hAnsi="仿宋_GB2312" w:eastAsia="仿宋_GB2312" w:cs="仿宋_GB2312"/>
          <w:b/>
          <w:bCs/>
          <w:sz w:val="32"/>
          <w:szCs w:val="32"/>
          <w:lang w:val="en-US" w:eastAsia="zh-CN"/>
        </w:rPr>
        <w:t>持续提高社会保障覆盖面</w:t>
      </w:r>
      <w:r>
        <w:rPr>
          <w:rFonts w:hint="eastAsia" w:ascii="仿宋" w:hAnsi="仿宋" w:eastAsia="仿宋" w:cstheme="minorBidi"/>
          <w:b/>
          <w:bCs/>
          <w:kern w:val="2"/>
          <w:sz w:val="32"/>
          <w:szCs w:val="32"/>
          <w:lang w:val="en-US" w:eastAsia="zh-CN" w:bidi="ar-SA"/>
        </w:rPr>
        <w:t>。</w:t>
      </w:r>
      <w:r>
        <w:rPr>
          <w:rFonts w:hint="eastAsia" w:ascii="仿宋_GB2312" w:hAnsi="仿宋_GB2312" w:eastAsia="仿宋_GB2312" w:cs="仿宋_GB2312"/>
          <w:b w:val="0"/>
          <w:bCs w:val="0"/>
          <w:sz w:val="32"/>
          <w:szCs w:val="32"/>
          <w:lang w:val="en-US" w:eastAsia="zh-CN"/>
        </w:rPr>
        <w:t>利用社保政策宣传册、横幅等，向群众大力宣传养老保险政策，动员群众参保、续保。2021年，新增养老保险参保1997人、工伤保险参保200人。广泛提供就业创业服务。组织“春风行动”专场招聘会，帮助达成就业意向173人。做好“311服务”，促成失业人员再就业75人。</w:t>
      </w:r>
      <w:r>
        <w:rPr>
          <w:rFonts w:hint="eastAsia" w:ascii="Times New Roman" w:hAnsi="Times New Roman" w:eastAsia="仿宋_GB2312" w:cs="Times New Roman"/>
          <w:b w:val="0"/>
          <w:bCs w:val="0"/>
          <w:sz w:val="32"/>
          <w:szCs w:val="32"/>
          <w:highlight w:val="none"/>
          <w:lang w:val="en-US" w:eastAsia="zh-CN"/>
        </w:rPr>
        <w:t>挂牌5家</w:t>
      </w:r>
      <w:r>
        <w:rPr>
          <w:rFonts w:hint="eastAsia" w:ascii="仿宋_GB2312" w:hAnsi="仿宋_GB2312" w:eastAsia="仿宋_GB2312" w:cs="仿宋_GB2312"/>
          <w:b w:val="0"/>
          <w:bCs w:val="0"/>
          <w:sz w:val="32"/>
          <w:szCs w:val="32"/>
          <w:highlight w:val="none"/>
          <w:lang w:val="en-US" w:eastAsia="zh-CN"/>
        </w:rPr>
        <w:t>振兴车间，帮助76人稳定就业，</w:t>
      </w:r>
      <w:r>
        <w:rPr>
          <w:rFonts w:hint="eastAsia" w:ascii="仿宋_GB2312" w:hAnsi="仿宋_GB2312" w:eastAsia="仿宋_GB2312" w:cs="仿宋_GB2312"/>
          <w:b w:val="0"/>
          <w:bCs w:val="0"/>
          <w:sz w:val="32"/>
          <w:szCs w:val="32"/>
          <w:lang w:val="en-US" w:eastAsia="zh-CN"/>
        </w:rPr>
        <w:t>开发公益性岗位114个，</w:t>
      </w:r>
      <w:r>
        <w:rPr>
          <w:rFonts w:hint="eastAsia" w:ascii="Times New Roman" w:hAnsi="Times New Roman" w:eastAsia="仿宋_GB2312" w:cs="Times New Roman"/>
          <w:b w:val="0"/>
          <w:bCs w:val="0"/>
          <w:sz w:val="32"/>
          <w:szCs w:val="32"/>
          <w:lang w:val="en-US" w:eastAsia="zh-CN"/>
        </w:rPr>
        <w:t>助力更多农村留守劳动力就近就业增收。</w:t>
      </w:r>
      <w:r>
        <w:rPr>
          <w:rFonts w:hint="eastAsia" w:ascii="仿宋_GB2312" w:hAnsi="仿宋_GB2312" w:eastAsia="仿宋_GB2312" w:cs="仿宋_GB2312"/>
          <w:b/>
          <w:bCs/>
          <w:sz w:val="32"/>
          <w:szCs w:val="32"/>
        </w:rPr>
        <w:t>着力保障校园周边环境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落实落细校园安保措施，</w:t>
      </w:r>
      <w:r>
        <w:rPr>
          <w:rFonts w:hint="eastAsia" w:ascii="仿宋_GB2312" w:hAnsi="仿宋_GB2312" w:eastAsia="仿宋_GB2312" w:cs="仿宋_GB2312"/>
          <w:sz w:val="32"/>
          <w:szCs w:val="32"/>
          <w:lang w:val="en-US" w:eastAsia="zh-CN"/>
        </w:rPr>
        <w:t>严防不法分子和危险物品进入校园。</w:t>
      </w:r>
    </w:p>
    <w:p>
      <w:pPr>
        <w:keepNext w:val="0"/>
        <w:keepLines w:val="0"/>
        <w:pageBreakBefore w:val="0"/>
        <w:widowControl w:val="0"/>
        <w:kinsoku/>
        <w:wordWrap/>
        <w:overflowPunct/>
        <w:topLinePunct w:val="0"/>
        <w:autoSpaceDE/>
        <w:autoSpaceDN/>
        <w:bidi w:val="0"/>
        <w:adjustRightInd/>
        <w:snapToGrid/>
        <w:spacing w:line="550" w:lineRule="exact"/>
        <w:ind w:firstLine="641"/>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四是切实维护群众根本利益。</w:t>
      </w:r>
      <w:r>
        <w:rPr>
          <w:rFonts w:hint="eastAsia" w:ascii="仿宋_GB2312" w:hAnsi="仿宋_GB2312" w:eastAsia="仿宋_GB2312" w:cs="仿宋_GB2312"/>
          <w:b/>
          <w:bCs/>
          <w:kern w:val="2"/>
          <w:sz w:val="32"/>
          <w:szCs w:val="32"/>
          <w:highlight w:val="none"/>
          <w:lang w:val="en-US" w:eastAsia="zh-CN" w:bidi="ar-SA"/>
        </w:rPr>
        <w:t>全力防范</w:t>
      </w:r>
      <w:r>
        <w:rPr>
          <w:rFonts w:hint="eastAsia" w:ascii="仿宋_GB2312" w:hAnsi="仿宋_GB2312" w:eastAsia="仿宋_GB2312" w:cs="仿宋_GB2312"/>
          <w:b/>
          <w:bCs/>
          <w:color w:val="auto"/>
          <w:kern w:val="2"/>
          <w:sz w:val="32"/>
          <w:szCs w:val="32"/>
          <w:highlight w:val="none"/>
          <w:lang w:val="en-US" w:eastAsia="zh-CN" w:bidi="ar-SA"/>
        </w:rPr>
        <w:t>地质灾害隐患。</w:t>
      </w:r>
      <w:r>
        <w:rPr>
          <w:rFonts w:hint="eastAsia" w:ascii="仿宋_GB2312" w:hAnsi="仿宋_GB2312" w:eastAsia="仿宋_GB2312" w:cs="仿宋_GB2312"/>
          <w:b w:val="0"/>
          <w:bCs w:val="0"/>
          <w:kern w:val="2"/>
          <w:sz w:val="32"/>
          <w:szCs w:val="32"/>
          <w:lang w:val="en-US" w:eastAsia="zh-CN" w:bidi="ar-SA"/>
        </w:rPr>
        <w:t>今年7月，为切实保障水汆洞村</w:t>
      </w:r>
      <w:r>
        <w:rPr>
          <w:rFonts w:hint="eastAsia" w:ascii="仿宋_GB2312" w:hAnsi="仿宋" w:eastAsia="仿宋_GB2312"/>
          <w:b w:val="0"/>
          <w:bCs w:val="0"/>
          <w:sz w:val="32"/>
          <w:szCs w:val="32"/>
        </w:rPr>
        <w:t>157名百姓的生命财产安全</w:t>
      </w:r>
      <w:r>
        <w:rPr>
          <w:rFonts w:hint="eastAsia" w:ascii="仿宋_GB2312" w:hAnsi="仿宋" w:eastAsia="仿宋_GB2312"/>
          <w:b w:val="0"/>
          <w:bCs w:val="0"/>
          <w:sz w:val="32"/>
          <w:szCs w:val="32"/>
          <w:lang w:eastAsia="zh-CN"/>
        </w:rPr>
        <w:t>，镇党委政府组织</w:t>
      </w:r>
      <w:r>
        <w:rPr>
          <w:rFonts w:hint="eastAsia" w:ascii="仿宋_GB2312" w:hAnsi="仿宋_GB2312" w:eastAsia="仿宋_GB2312" w:cs="仿宋_GB2312"/>
          <w:b w:val="0"/>
          <w:bCs w:val="0"/>
          <w:sz w:val="32"/>
          <w:szCs w:val="32"/>
          <w:lang w:val="en-US" w:eastAsia="zh-CN"/>
        </w:rPr>
        <w:t>镇村干部在</w:t>
      </w:r>
      <w:r>
        <w:rPr>
          <w:rFonts w:hint="eastAsia" w:ascii="仿宋_GB2312" w:hAnsi="仿宋" w:eastAsia="仿宋_GB2312"/>
          <w:b w:val="0"/>
          <w:bCs w:val="0"/>
          <w:sz w:val="32"/>
          <w:szCs w:val="32"/>
        </w:rPr>
        <w:t>水氽洞村古牛洼</w:t>
      </w:r>
      <w:r>
        <w:rPr>
          <w:rFonts w:hint="eastAsia" w:ascii="仿宋_GB2312" w:hAnsi="仿宋_GB2312" w:eastAsia="仿宋_GB2312" w:cs="仿宋_GB2312"/>
          <w:b w:val="0"/>
          <w:bCs w:val="0"/>
          <w:sz w:val="32"/>
          <w:szCs w:val="32"/>
          <w:lang w:val="en-US" w:eastAsia="zh-CN"/>
        </w:rPr>
        <w:t>地质灾害点开展24小时值守，确保及时发现和处置问题，经过2个月的值守，实现当地群众零伤亡、财产零损失。</w:t>
      </w:r>
      <w:r>
        <w:rPr>
          <w:rFonts w:hint="eastAsia" w:ascii="仿宋_GB2312" w:hAnsi="仿宋_GB2312" w:eastAsia="仿宋_GB2312" w:cs="仿宋_GB2312"/>
          <w:b/>
          <w:bCs/>
          <w:sz w:val="32"/>
          <w:szCs w:val="32"/>
          <w:lang w:val="en-US" w:eastAsia="zh-CN"/>
        </w:rPr>
        <w:t>扎实开展非洲猪瘟防控。</w:t>
      </w:r>
      <w:r>
        <w:rPr>
          <w:rFonts w:hint="eastAsia" w:ascii="仿宋_GB2312" w:hAnsi="仿宋_GB2312" w:eastAsia="仿宋_GB2312" w:cs="仿宋_GB2312"/>
          <w:b w:val="0"/>
          <w:bCs w:val="0"/>
          <w:sz w:val="32"/>
          <w:szCs w:val="32"/>
          <w:lang w:val="en-US" w:eastAsia="zh-CN"/>
        </w:rPr>
        <w:t>根据上级部门要求，在边山河设立非洲猪瘟防控卡口，对过往运输生猪车辆应检尽检。同时，为确保我镇生猪稳产保供工作任务，全镇实行了育肥猪和能繁母猪保险全覆盖，降低非洲猪瘟造成的养殖风险，得到了全镇养殖户的一致好评。</w:t>
      </w:r>
      <w:r>
        <w:rPr>
          <w:rFonts w:hint="eastAsia" w:ascii="仿宋_GB2312" w:hAnsi="仿宋_GB2312" w:eastAsia="仿宋_GB2312" w:cs="仿宋_GB2312"/>
          <w:b/>
          <w:bCs/>
          <w:sz w:val="32"/>
          <w:szCs w:val="32"/>
          <w:highlight w:val="none"/>
          <w:lang w:val="en-US" w:eastAsia="zh-CN"/>
        </w:rPr>
        <w:t>有效保障群众住房安全。</w:t>
      </w:r>
      <w:r>
        <w:rPr>
          <w:rFonts w:hint="eastAsia" w:ascii="仿宋_GB2312" w:hAnsi="仿宋_GB2312" w:eastAsia="仿宋_GB2312" w:cs="仿宋_GB2312"/>
          <w:b w:val="0"/>
          <w:bCs w:val="0"/>
          <w:sz w:val="32"/>
          <w:szCs w:val="32"/>
          <w:lang w:val="en-US" w:eastAsia="zh-CN"/>
        </w:rPr>
        <w:t>对全镇25692所房屋进行住房风险系统排查</w:t>
      </w:r>
      <w:r>
        <w:rPr>
          <w:rFonts w:hint="eastAsia" w:ascii="仿宋_GB2312" w:hAnsi="仿宋_GB2312" w:eastAsia="仿宋_GB2312" w:cs="仿宋_GB2312"/>
          <w:sz w:val="32"/>
          <w:szCs w:val="32"/>
          <w:lang w:val="en-US" w:eastAsia="zh-CN"/>
        </w:rPr>
        <w:t>，按照农村低收入群体危房改造暨抗震改造应该尽改的原则，落实因灾危房改造9户、抗震改造4户，均已完工。</w:t>
      </w:r>
    </w:p>
    <w:p>
      <w:pPr>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回顾全镇各项工作，在县委的正确领导和关心支持下，虽然取得了以上成绩，但仍存在一些问题，例如：</w:t>
      </w:r>
      <w:r>
        <w:rPr>
          <w:rFonts w:hint="eastAsia" w:ascii="仿宋" w:hAnsi="仿宋" w:eastAsia="仿宋" w:cs="Times New Roman"/>
          <w:color w:val="000000"/>
          <w:kern w:val="0"/>
          <w:sz w:val="32"/>
          <w:szCs w:val="32"/>
          <w:lang w:val="en-US" w:eastAsia="zh-CN" w:bidi="ar-SA"/>
        </w:rPr>
        <w:t>一是预算编制的科学性、合理性、严谨性和可控性有待进一步加强；二是对资金执行力度和使用后的效益跟踪有待进一步提高。三</w:t>
      </w:r>
      <w:r>
        <w:rPr>
          <w:rFonts w:hint="eastAsia" w:ascii="仿宋_GB2312" w:hAnsi="仿宋_GB2312" w:eastAsia="仿宋_GB2312" w:cs="仿宋_GB2312"/>
          <w:color w:val="auto"/>
          <w:sz w:val="32"/>
          <w:szCs w:val="32"/>
          <w:highlight w:val="none"/>
          <w:lang w:eastAsia="zh-CN"/>
        </w:rPr>
        <w:t>是缺乏强有力的产业支撑和产业带动，产业形式单一，产品附加值较少。</w:t>
      </w: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七．后续的工作计划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仿宋" w:hAnsi="仿宋" w:eastAsia="仿宋" w:cs="仿宋"/>
          <w:sz w:val="32"/>
          <w:szCs w:val="32"/>
        </w:rPr>
      </w:pPr>
      <w:r>
        <w:rPr>
          <w:rFonts w:hint="eastAsia" w:ascii="仿宋" w:hAnsi="仿宋" w:eastAsia="仿宋" w:cs="Times New Roman"/>
          <w:color w:val="000000"/>
          <w:kern w:val="0"/>
          <w:sz w:val="32"/>
          <w:szCs w:val="32"/>
          <w:lang w:val="en-US" w:eastAsia="zh-CN" w:bidi="ar-SA"/>
        </w:rPr>
        <w:t>1.单位要</w:t>
      </w:r>
      <w:r>
        <w:rPr>
          <w:rFonts w:hint="eastAsia" w:ascii="仿宋" w:hAnsi="仿宋" w:eastAsia="仿宋" w:cs="仿宋"/>
          <w:sz w:val="32"/>
          <w:szCs w:val="32"/>
        </w:rPr>
        <w:t>以精细化管理为抓手，切实提高财政服务效能和效率。继续强化厉行节约，压缩一般性支出，加强资产管理、物资采购、工程建设的透明化管理，始终保持廉洁自律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2.单位要加强绩效目标设立、细化和量化工作的力度，进一步提高资金使用效率。</w:t>
      </w:r>
    </w:p>
    <w:p>
      <w:pPr>
        <w:ind w:firstLine="640" w:firstLineChars="200"/>
        <w:rPr>
          <w:rFonts w:hint="eastAsia" w:ascii="仿宋" w:hAnsi="仿宋" w:eastAsia="仿宋" w:cs="仿宋"/>
          <w:sz w:val="32"/>
          <w:szCs w:val="32"/>
        </w:rPr>
      </w:pPr>
      <w:r>
        <w:rPr>
          <w:rFonts w:hint="eastAsia" w:ascii="仿宋" w:hAnsi="仿宋" w:eastAsia="仿宋" w:cs="Times New Roman"/>
          <w:color w:val="000000"/>
          <w:kern w:val="0"/>
          <w:sz w:val="32"/>
          <w:szCs w:val="32"/>
          <w:lang w:val="en-US" w:eastAsia="zh-CN" w:bidi="ar-SA"/>
        </w:rPr>
        <w:t>3、强化财务人员业务知识培训，进一步严控财务管理，提高部门预算收支管理水平。</w:t>
      </w:r>
      <w:r>
        <w:rPr>
          <w:rFonts w:hint="eastAsia" w:ascii="仿宋" w:hAnsi="仿宋" w:eastAsia="仿宋" w:cs="仿宋"/>
          <w:sz w:val="32"/>
          <w:szCs w:val="32"/>
        </w:rPr>
        <w:t>进一步增强服务意识和责任意识，全面提升财政干部队伍的政治素质和业务水平，努力打造一支政治坚定、业务精湛、作风过硬、清正廉洁、开拓进取的“忠诚、干净、担当的高素质”财政干部队伍。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default" w:ascii="仿宋_GB2312" w:hAnsi="仿宋_GB2312" w:eastAsia="仿宋_GB2312" w:cs="仿宋_GB2312"/>
          <w:color w:val="auto"/>
          <w:sz w:val="32"/>
          <w:szCs w:val="32"/>
          <w:highlight w:val="none"/>
          <w:lang w:val="en-US" w:eastAsia="zh-CN"/>
        </w:rPr>
      </w:pPr>
    </w:p>
    <w:p>
      <w:pPr>
        <w:spacing w:line="560" w:lineRule="exact"/>
        <w:jc w:val="both"/>
        <w:rPr>
          <w:rFonts w:hint="eastAsia" w:ascii="仿宋" w:hAnsi="仿宋" w:eastAsia="仿宋" w:cs="宋体"/>
          <w:b/>
          <w:bCs/>
          <w:kern w:val="0"/>
          <w:sz w:val="32"/>
          <w:szCs w:val="32"/>
        </w:rPr>
      </w:pPr>
    </w:p>
    <w:p>
      <w:pPr>
        <w:spacing w:line="560" w:lineRule="exact"/>
        <w:jc w:val="center"/>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tbl>
      <w:tblPr>
        <w:tblStyle w:val="3"/>
        <w:tblpPr w:leftFromText="180" w:rightFromText="180" w:vertAnchor="text" w:horzAnchor="page" w:tblpX="755" w:tblpY="440"/>
        <w:tblOverlap w:val="never"/>
        <w:tblW w:w="10771" w:type="dxa"/>
        <w:tblInd w:w="0" w:type="dxa"/>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eastAsiaTheme="minorEastAsia"/>
                <w:kern w:val="0"/>
                <w:sz w:val="24"/>
                <w:szCs w:val="24"/>
                <w:lang w:eastAsia="zh-CN"/>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p>
          <w:p>
            <w:pPr>
              <w:widowControl/>
              <w:spacing w:line="300" w:lineRule="exact"/>
              <w:jc w:val="center"/>
              <w:rPr>
                <w:rFonts w:ascii="宋体" w:hAnsi="宋体"/>
                <w:kern w:val="0"/>
                <w:sz w:val="24"/>
                <w:szCs w:val="24"/>
              </w:rPr>
            </w:pP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hint="default" w:ascii="宋体" w:hAnsi="宋体" w:eastAsiaTheme="minorEastAsia"/>
                <w:kern w:val="0"/>
                <w:sz w:val="24"/>
                <w:szCs w:val="24"/>
                <w:lang w:val="en-US" w:eastAsia="zh-CN"/>
              </w:rPr>
            </w:pPr>
            <w:r>
              <w:rPr>
                <w:rFonts w:hint="eastAsia" w:ascii="宋体" w:hAnsi="宋体"/>
                <w:kern w:val="0"/>
                <w:sz w:val="24"/>
                <w:szCs w:val="24"/>
                <w:lang w:val="en-US" w:eastAsia="zh-CN"/>
              </w:rPr>
              <w:t>5</w:t>
            </w:r>
          </w:p>
        </w:tc>
      </w:tr>
      <w:tr>
        <w:tblPrEx>
          <w:tblCellMar>
            <w:top w:w="0" w:type="dxa"/>
            <w:left w:w="108" w:type="dxa"/>
            <w:bottom w:w="0" w:type="dxa"/>
            <w:right w:w="108" w:type="dxa"/>
          </w:tblCellMar>
        </w:tblPrEx>
        <w:trPr>
          <w:trHeight w:val="1418"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r>
      <w:tr>
        <w:tblPrEx>
          <w:tblCellMar>
            <w:top w:w="0" w:type="dxa"/>
            <w:left w:w="108" w:type="dxa"/>
            <w:bottom w:w="0" w:type="dxa"/>
            <w:right w:w="108" w:type="dxa"/>
          </w:tblCellMar>
        </w:tblPrEx>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1273"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1160"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eastAsiaTheme="minorEastAsia"/>
                <w:kern w:val="0"/>
                <w:sz w:val="24"/>
                <w:szCs w:val="24"/>
                <w:lang w:eastAsia="zh-CN"/>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p>
          <w:p>
            <w:pPr>
              <w:widowControl/>
              <w:spacing w:line="300" w:lineRule="exact"/>
              <w:jc w:val="center"/>
              <w:rPr>
                <w:rFonts w:ascii="宋体" w:hAnsi="宋体"/>
                <w:kern w:val="0"/>
                <w:sz w:val="24"/>
                <w:szCs w:val="24"/>
              </w:rPr>
            </w:pP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r>
      <w:tr>
        <w:tblPrEx>
          <w:tblCellMar>
            <w:top w:w="0" w:type="dxa"/>
            <w:left w:w="108" w:type="dxa"/>
            <w:bottom w:w="0" w:type="dxa"/>
            <w:right w:w="108" w:type="dxa"/>
          </w:tblCellMar>
        </w:tblPrEx>
        <w:trPr>
          <w:trHeight w:val="1306"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eastAsiaTheme="minorEastAsia"/>
                <w:kern w:val="0"/>
                <w:sz w:val="24"/>
                <w:szCs w:val="24"/>
                <w:lang w:eastAsia="zh-CN"/>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p>
          <w:p>
            <w:pPr>
              <w:widowControl/>
              <w:spacing w:line="300" w:lineRule="exact"/>
              <w:jc w:val="center"/>
              <w:rPr>
                <w:rFonts w:ascii="宋体" w:hAnsi="宋体"/>
                <w:kern w:val="0"/>
                <w:sz w:val="24"/>
                <w:szCs w:val="24"/>
              </w:rPr>
            </w:pP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r>
      <w:tr>
        <w:tblPrEx>
          <w:tblCellMar>
            <w:top w:w="0" w:type="dxa"/>
            <w:left w:w="108" w:type="dxa"/>
            <w:bottom w:w="0" w:type="dxa"/>
            <w:right w:w="108" w:type="dxa"/>
          </w:tblCellMar>
        </w:tblPrEx>
        <w:trPr>
          <w:trHeight w:val="1672"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eastAsiaTheme="minorEastAsia"/>
                <w:kern w:val="0"/>
                <w:sz w:val="24"/>
                <w:szCs w:val="24"/>
                <w:lang w:eastAsia="zh-CN"/>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p>
          <w:p>
            <w:pPr>
              <w:widowControl/>
              <w:spacing w:line="300" w:lineRule="exact"/>
              <w:jc w:val="center"/>
              <w:rPr>
                <w:rFonts w:ascii="宋体" w:hAnsi="宋体"/>
                <w:kern w:val="0"/>
                <w:sz w:val="24"/>
                <w:szCs w:val="24"/>
              </w:rPr>
            </w:pP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r>
      <w:tr>
        <w:tblPrEx>
          <w:tblCellMar>
            <w:top w:w="0" w:type="dxa"/>
            <w:left w:w="108" w:type="dxa"/>
            <w:bottom w:w="0" w:type="dxa"/>
            <w:right w:w="108" w:type="dxa"/>
          </w:tblCellMar>
        </w:tblPrEx>
        <w:trPr>
          <w:trHeight w:val="1085"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r>
      <w:tr>
        <w:tblPrEx>
          <w:tblCellMar>
            <w:top w:w="0" w:type="dxa"/>
            <w:left w:w="108" w:type="dxa"/>
            <w:bottom w:w="0" w:type="dxa"/>
            <w:right w:w="108" w:type="dxa"/>
          </w:tblCellMar>
        </w:tblPrEx>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kern w:val="0"/>
                <w:sz w:val="24"/>
                <w:szCs w:val="24"/>
                <w:lang w:eastAsia="zh-CN"/>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p>
          <w:p>
            <w:pPr>
              <w:widowControl/>
              <w:spacing w:line="280" w:lineRule="exact"/>
              <w:jc w:val="center"/>
              <w:rPr>
                <w:rFonts w:hint="eastAsia" w:ascii="宋体" w:hAnsi="宋体" w:cs="宋体" w:eastAsiaTheme="minorEastAsia"/>
                <w:kern w:val="0"/>
                <w:sz w:val="24"/>
                <w:szCs w:val="24"/>
                <w:lang w:eastAsia="zh-CN"/>
              </w:rPr>
            </w:pP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p>
          <w:p>
            <w:pPr>
              <w:widowControl/>
              <w:spacing w:line="280" w:lineRule="exact"/>
              <w:jc w:val="center"/>
              <w:rPr>
                <w:rFonts w:ascii="宋体" w:hAnsi="宋体"/>
                <w:kern w:val="0"/>
                <w:sz w:val="24"/>
                <w:szCs w:val="24"/>
              </w:rPr>
            </w:pP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kern w:val="0"/>
                <w:sz w:val="24"/>
                <w:szCs w:val="24"/>
                <w:lang w:eastAsia="zh-CN"/>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280" w:lineRule="exact"/>
              <w:jc w:val="center"/>
              <w:rPr>
                <w:rFonts w:ascii="宋体" w:hAnsi="宋体"/>
                <w:kern w:val="0"/>
                <w:sz w:val="24"/>
                <w:szCs w:val="24"/>
              </w:rPr>
            </w:pP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r>
      <w:tr>
        <w:tblPrEx>
          <w:tblCellMar>
            <w:top w:w="0" w:type="dxa"/>
            <w:left w:w="108" w:type="dxa"/>
            <w:bottom w:w="0" w:type="dxa"/>
            <w:right w:w="108" w:type="dxa"/>
          </w:tblCellMar>
        </w:tblPrEx>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kern w:val="0"/>
                <w:sz w:val="24"/>
                <w:szCs w:val="24"/>
                <w:lang w:eastAsia="zh-CN"/>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p>
          <w:p>
            <w:pPr>
              <w:widowControl/>
              <w:spacing w:line="280" w:lineRule="exact"/>
              <w:jc w:val="center"/>
              <w:rPr>
                <w:rFonts w:ascii="宋体"/>
                <w:kern w:val="0"/>
                <w:sz w:val="24"/>
                <w:szCs w:val="24"/>
              </w:rPr>
            </w:pP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 w:val="24"/>
                <w:szCs w:val="24"/>
              </w:rPr>
            </w:pPr>
            <w:r>
              <w:rPr>
                <w:rFonts w:ascii="宋体" w:hAnsi="宋体" w:cs="宋体"/>
                <w:kern w:val="0"/>
                <w:sz w:val="24"/>
                <w:szCs w:val="24"/>
              </w:rPr>
              <w:t>8</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center"/>
              <w:rPr>
                <w:rFonts w:ascii="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758"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center"/>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center"/>
              <w:rPr>
                <w:rFonts w:ascii="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sz w:val="24"/>
                <w:szCs w:val="24"/>
              </w:rPr>
            </w:pPr>
            <w:r>
              <w:rPr>
                <w:rFonts w:ascii="宋体" w:hAnsi="宋体" w:cs="宋体"/>
                <w:kern w:val="0"/>
                <w:sz w:val="24"/>
                <w:szCs w:val="24"/>
              </w:rPr>
              <w:t>6</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kern w:val="0"/>
                <w:sz w:val="24"/>
                <w:szCs w:val="24"/>
                <w:lang w:eastAsia="zh-CN"/>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p>
          <w:p>
            <w:pPr>
              <w:widowControl/>
              <w:spacing w:line="280" w:lineRule="exact"/>
              <w:jc w:val="center"/>
              <w:rPr>
                <w:rFonts w:hint="eastAsia" w:ascii="宋体" w:hAnsi="宋体" w:cs="宋体" w:eastAsiaTheme="minorEastAsia"/>
                <w:kern w:val="0"/>
                <w:sz w:val="24"/>
                <w:szCs w:val="24"/>
                <w:lang w:eastAsia="zh-CN"/>
              </w:rPr>
            </w:pP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p>
          <w:p>
            <w:pPr>
              <w:widowControl/>
              <w:spacing w:line="280" w:lineRule="exact"/>
              <w:jc w:val="center"/>
              <w:rPr>
                <w:rFonts w:hint="eastAsia" w:ascii="宋体" w:hAnsi="宋体" w:cs="宋体" w:eastAsiaTheme="minorEastAsia"/>
                <w:kern w:val="0"/>
                <w:sz w:val="24"/>
                <w:szCs w:val="24"/>
                <w:lang w:eastAsia="zh-CN"/>
              </w:rPr>
            </w:pP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p>
          <w:p>
            <w:pPr>
              <w:widowControl/>
              <w:spacing w:line="280" w:lineRule="exact"/>
              <w:jc w:val="center"/>
              <w:rPr>
                <w:rFonts w:ascii="宋体"/>
                <w:kern w:val="0"/>
                <w:sz w:val="24"/>
                <w:szCs w:val="24"/>
              </w:rPr>
            </w:pP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 w:val="24"/>
                <w:szCs w:val="24"/>
              </w:rPr>
            </w:pPr>
            <w:r>
              <w:rPr>
                <w:rFonts w:ascii="宋体" w:hAnsi="宋体" w:cs="宋体"/>
                <w:kern w:val="0"/>
                <w:sz w:val="24"/>
                <w:szCs w:val="24"/>
              </w:rPr>
              <w:t>6</w:t>
            </w:r>
          </w:p>
        </w:tc>
      </w:tr>
      <w:tr>
        <w:tblPrEx>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eastAsiaTheme="minorEastAsia"/>
                <w:kern w:val="0"/>
                <w:sz w:val="24"/>
                <w:szCs w:val="24"/>
                <w:lang w:val="en-US" w:eastAsia="zh-CN"/>
              </w:rPr>
            </w:pPr>
            <w:r>
              <w:rPr>
                <w:rFonts w:hint="eastAsia" w:ascii="宋体" w:hAnsi="宋体" w:cs="宋体"/>
                <w:kern w:val="0"/>
                <w:sz w:val="24"/>
                <w:szCs w:val="24"/>
              </w:rPr>
              <w:t>9</w:t>
            </w:r>
            <w:r>
              <w:rPr>
                <w:rFonts w:hint="eastAsia" w:ascii="宋体" w:hAnsi="宋体" w:cs="宋体"/>
                <w:kern w:val="0"/>
                <w:sz w:val="24"/>
                <w:szCs w:val="24"/>
                <w:lang w:val="en-US" w:eastAsia="zh-CN"/>
              </w:rPr>
              <w:t>5</w:t>
            </w:r>
          </w:p>
        </w:tc>
      </w:tr>
    </w:tbl>
    <w:p>
      <w:pPr>
        <w:spacing w:line="560" w:lineRule="exact"/>
        <w:jc w:val="both"/>
        <w:rPr>
          <w:rFonts w:ascii="仿宋" w:hAnsi="仿宋" w:eastAsia="仿宋"/>
          <w:kern w:val="0"/>
          <w:sz w:val="32"/>
          <w:szCs w:val="32"/>
        </w:rPr>
      </w:pPr>
    </w:p>
    <w:p>
      <w:pPr>
        <w:spacing w:line="560" w:lineRule="exact"/>
        <w:jc w:val="both"/>
        <w:rPr>
          <w:rFonts w:asciiTheme="majorEastAsia" w:hAnsiTheme="majorEastAsia" w:eastAsiaTheme="majorEastAsia" w:cstheme="majorEastAsia"/>
          <w:b/>
          <w:bCs/>
          <w:kern w:val="0"/>
          <w:sz w:val="36"/>
          <w:szCs w:val="36"/>
        </w:rPr>
      </w:pPr>
    </w:p>
    <w:p>
      <w:pPr>
        <w:spacing w:line="560" w:lineRule="exact"/>
        <w:jc w:val="center"/>
        <w:rPr>
          <w:rFonts w:hint="eastAsia"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部门整体支出绩效评价基础数据表</w:t>
      </w:r>
    </w:p>
    <w:p>
      <w:pPr>
        <w:spacing w:line="560" w:lineRule="exact"/>
        <w:jc w:val="both"/>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w:t>
      </w:r>
      <w:r>
        <w:rPr>
          <w:rFonts w:hint="eastAsia" w:ascii="Times New Roman" w:hAnsi="Times New Roman" w:eastAsia="仿宋_GB2312"/>
          <w:kern w:val="0"/>
          <w:sz w:val="24"/>
          <w:lang w:val="en-US" w:eastAsia="zh-CN"/>
        </w:rPr>
        <w:t>火连坡镇人民政府</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p>
    <w:tbl>
      <w:tblPr>
        <w:tblStyle w:val="3"/>
        <w:tblpPr w:leftFromText="180" w:rightFromText="180" w:vertAnchor="text" w:horzAnchor="page" w:tblpX="851" w:tblpY="629"/>
        <w:tblOverlap w:val="never"/>
        <w:tblW w:w="10339" w:type="dxa"/>
        <w:tblInd w:w="0" w:type="dxa"/>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89</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84</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lang w:val="en-US" w:eastAsia="zh-CN"/>
              </w:rPr>
              <w:t>20</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default" w:ascii="Times New Roman" w:hAnsi="Times New Roman" w:eastAsia="仿宋_GB2312"/>
                <w:kern w:val="0"/>
                <w:sz w:val="24"/>
                <w:lang w:val="en-US" w:eastAsia="zh-CN"/>
              </w:rPr>
              <w:t>16.95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w:t>
            </w:r>
          </w:p>
        </w:tc>
      </w:tr>
      <w:tr>
        <w:tblPrEx>
          <w:tblCellMar>
            <w:top w:w="0" w:type="dxa"/>
            <w:left w:w="108" w:type="dxa"/>
            <w:bottom w:w="0" w:type="dxa"/>
            <w:right w:w="108" w:type="dxa"/>
          </w:tblCellMar>
        </w:tblPrEx>
        <w:trPr>
          <w:trHeight w:val="39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5.2</w:t>
            </w: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11.15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9.5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9.5</w:t>
            </w:r>
          </w:p>
        </w:tc>
      </w:tr>
      <w:tr>
        <w:tblPrEx>
          <w:tblCellMar>
            <w:top w:w="0" w:type="dxa"/>
            <w:left w:w="108" w:type="dxa"/>
            <w:bottom w:w="0" w:type="dxa"/>
            <w:right w:w="108" w:type="dxa"/>
          </w:tblCellMar>
        </w:tblPrEx>
        <w:trPr>
          <w:trHeight w:val="39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p>
        </w:tc>
      </w:tr>
      <w:tr>
        <w:tblPrEx>
          <w:tblCellMar>
            <w:top w:w="0" w:type="dxa"/>
            <w:left w:w="108" w:type="dxa"/>
            <w:bottom w:w="0" w:type="dxa"/>
            <w:right w:w="108" w:type="dxa"/>
          </w:tblCellMar>
        </w:tblPrEx>
        <w:trPr>
          <w:trHeight w:val="39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28.28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29.02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29.02</w:t>
            </w: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1.7</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1.51</w:t>
            </w: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1154" w:hRule="atLeast"/>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kern w:val="0"/>
                <w:sz w:val="24"/>
                <w:lang w:eastAsia="zh-CN"/>
              </w:rPr>
            </w:pPr>
            <w:r>
              <w:rPr>
                <w:rFonts w:ascii="Times New Roman" w:hAnsi="Times New Roman" w:eastAsia="仿宋_GB2312"/>
                <w:kern w:val="0"/>
                <w:sz w:val="24"/>
              </w:rPr>
              <w:t>楼堂馆所控制情况</w:t>
            </w:r>
          </w:p>
          <w:p>
            <w:pPr>
              <w:widowControl/>
              <w:jc w:val="center"/>
              <w:rPr>
                <w:rFonts w:ascii="Times New Roman" w:hAnsi="Times New Roman" w:eastAsia="仿宋_GB2312"/>
                <w:kern w:val="0"/>
                <w:sz w:val="24"/>
              </w:rPr>
            </w:pPr>
            <w:r>
              <w:rPr>
                <w:rFonts w:ascii="Times New Roman" w:hAnsi="Times New Roman" w:eastAsia="仿宋_GB2312"/>
                <w:kern w:val="0"/>
                <w:sz w:val="24"/>
              </w:rPr>
              <w:t>（</w:t>
            </w:r>
            <w:r>
              <w:rPr>
                <w:rFonts w:hint="eastAsia" w:ascii="Times New Roman" w:hAnsi="Times New Roman" w:eastAsia="仿宋_GB2312"/>
                <w:kern w:val="0"/>
                <w:sz w:val="24"/>
                <w:lang w:val="en-US" w:eastAsia="zh-CN"/>
              </w:rPr>
              <w:t>2021</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b/>
                <w:bCs/>
                <w:kern w:val="0"/>
                <w:sz w:val="24"/>
                <w:lang w:eastAsia="zh-CN"/>
              </w:rPr>
            </w:pPr>
            <w:r>
              <w:rPr>
                <w:rFonts w:ascii="Times New Roman" w:hAnsi="Times New Roman" w:eastAsia="仿宋_GB2312"/>
                <w:b/>
                <w:bCs/>
                <w:kern w:val="0"/>
                <w:sz w:val="24"/>
              </w:rPr>
              <w:t>批复规模</w:t>
            </w:r>
          </w:p>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trPr>
        <w:tc>
          <w:tcPr>
            <w:tcW w:w="3550"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bl>
    <w:p>
      <w:pPr>
        <w:widowControl/>
        <w:jc w:val="center"/>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numPr>
          <w:ilvl w:val="0"/>
          <w:numId w:val="0"/>
        </w:numPr>
        <w:ind w:firstLine="640" w:firstLineChars="200"/>
        <w:jc w:val="center"/>
        <w:rPr>
          <w:rFonts w:hint="eastAsia" w:ascii="仿宋" w:hAnsi="仿宋" w:eastAsia="仿宋" w:cs="仿宋"/>
          <w:sz w:val="32"/>
          <w:szCs w:val="32"/>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BE5D4"/>
    <w:multiLevelType w:val="singleLevel"/>
    <w:tmpl w:val="C5FBE5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N2NlNzZjZDY2NzAyNDFhZGExOWM1NmRiYmIwN2EifQ=="/>
  </w:docVars>
  <w:rsids>
    <w:rsidRoot w:val="0FD94117"/>
    <w:rsid w:val="00D20B4D"/>
    <w:rsid w:val="03AE6C79"/>
    <w:rsid w:val="06B84C24"/>
    <w:rsid w:val="07665369"/>
    <w:rsid w:val="09DC2A3C"/>
    <w:rsid w:val="0CDC257E"/>
    <w:rsid w:val="0D741E43"/>
    <w:rsid w:val="0E4017EB"/>
    <w:rsid w:val="0E5928AD"/>
    <w:rsid w:val="0F73799F"/>
    <w:rsid w:val="0FD94117"/>
    <w:rsid w:val="11F1104F"/>
    <w:rsid w:val="13682647"/>
    <w:rsid w:val="13DA7FEC"/>
    <w:rsid w:val="160622EA"/>
    <w:rsid w:val="18820C52"/>
    <w:rsid w:val="18D011A9"/>
    <w:rsid w:val="1AB01AA7"/>
    <w:rsid w:val="1B334486"/>
    <w:rsid w:val="1C220782"/>
    <w:rsid w:val="1ED27346"/>
    <w:rsid w:val="24A3442A"/>
    <w:rsid w:val="265F25D3"/>
    <w:rsid w:val="29634188"/>
    <w:rsid w:val="2AB551AE"/>
    <w:rsid w:val="2C673F8F"/>
    <w:rsid w:val="31B71515"/>
    <w:rsid w:val="36E20DE2"/>
    <w:rsid w:val="37B82B1D"/>
    <w:rsid w:val="37BF1123"/>
    <w:rsid w:val="37D20E57"/>
    <w:rsid w:val="4335673E"/>
    <w:rsid w:val="47A51F53"/>
    <w:rsid w:val="490B41C9"/>
    <w:rsid w:val="49431BB4"/>
    <w:rsid w:val="50C25AB5"/>
    <w:rsid w:val="54752E3E"/>
    <w:rsid w:val="57024575"/>
    <w:rsid w:val="5798756F"/>
    <w:rsid w:val="585F1E3B"/>
    <w:rsid w:val="5C060049"/>
    <w:rsid w:val="62522A10"/>
    <w:rsid w:val="688B4586"/>
    <w:rsid w:val="6D401DE3"/>
    <w:rsid w:val="6DC81DD9"/>
    <w:rsid w:val="72C46FB8"/>
    <w:rsid w:val="73133AF6"/>
    <w:rsid w:val="74D13C69"/>
    <w:rsid w:val="75556648"/>
    <w:rsid w:val="75AB0187"/>
    <w:rsid w:val="76E71522"/>
    <w:rsid w:val="78347FC0"/>
    <w:rsid w:val="79142376"/>
    <w:rsid w:val="793B5B55"/>
    <w:rsid w:val="7A020420"/>
    <w:rsid w:val="7BCD518A"/>
    <w:rsid w:val="7D5D42EC"/>
    <w:rsid w:val="7D831878"/>
    <w:rsid w:val="7EDB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8240</Words>
  <Characters>8807</Characters>
  <Lines>0</Lines>
  <Paragraphs>0</Paragraphs>
  <TotalTime>4</TotalTime>
  <ScaleCrop>false</ScaleCrop>
  <LinksUpToDate>false</LinksUpToDate>
  <CharactersWithSpaces>8816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2022-06-16T07:41:00Z</dcterms:created>
  <dc:creator>掱惢1396539491</dc:creator>
  <cp:lastModifiedBy>Administrator</cp:lastModifiedBy>
  <dcterms:modified xsi:type="dcterms:W3CDTF">2024-04-02T08:17:29Z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C56244E5493841EDB2004B9798D8FC4E</vt:lpwstr>
  </property>
</Properties>
</file>