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Times New Roman" w:hAnsi="Times New Roman"/>
          <w:b/>
          <w:color w:val="222222"/>
          <w:kern w:val="0"/>
          <w:sz w:val="44"/>
          <w:szCs w:val="44"/>
        </w:rPr>
      </w:pPr>
      <w:r>
        <w:rPr>
          <w:rFonts w:ascii="Times New Roman" w:hAnsi="Times New Roman" w:eastAsia="仿宋_GB2312"/>
          <w:bCs/>
          <w:color w:val="222222"/>
          <w:kern w:val="0"/>
          <w:sz w:val="32"/>
          <w:szCs w:val="32"/>
        </w:rPr>
        <w:t>附件</w:t>
      </w:r>
      <w:r>
        <w:rPr>
          <w:rFonts w:hint="eastAsia" w:ascii="Times New Roman" w:hAnsi="Times New Roman" w:eastAsia="仿宋_GB2312"/>
          <w:bCs/>
          <w:color w:val="222222"/>
          <w:kern w:val="0"/>
          <w:sz w:val="32"/>
          <w:szCs w:val="32"/>
        </w:rPr>
        <w:t>2</w:t>
      </w:r>
      <w:r>
        <w:rPr>
          <w:rFonts w:ascii="Times New Roman" w:hAnsi="Times New Roman" w:eastAsia="仿宋_GB2312"/>
          <w:bCs/>
          <w:color w:val="222222"/>
          <w:kern w:val="0"/>
          <w:sz w:val="32"/>
          <w:szCs w:val="32"/>
        </w:rPr>
        <w:t>：</w:t>
      </w:r>
    </w:p>
    <w:p>
      <w:pPr>
        <w:spacing w:line="560" w:lineRule="exact"/>
        <w:jc w:val="center"/>
        <w:rPr>
          <w:rFonts w:ascii="Times New Roman" w:hAnsi="Times New Roman" w:eastAsia="方正小标宋_GBK"/>
          <w:b/>
          <w:kern w:val="0"/>
          <w:sz w:val="36"/>
          <w:szCs w:val="36"/>
        </w:rPr>
      </w:pPr>
    </w:p>
    <w:p>
      <w:pPr>
        <w:spacing w:line="560" w:lineRule="exact"/>
        <w:jc w:val="center"/>
        <w:rPr>
          <w:rFonts w:ascii="Times New Roman" w:hAnsi="Times New Roman" w:eastAsiaTheme="majorEastAsia"/>
          <w:b/>
          <w:kern w:val="0"/>
          <w:sz w:val="44"/>
          <w:szCs w:val="44"/>
        </w:rPr>
      </w:pPr>
      <w:r>
        <w:rPr>
          <w:rFonts w:ascii="Times New Roman" w:hAnsi="Times New Roman" w:eastAsiaTheme="majorEastAsia"/>
          <w:b/>
          <w:kern w:val="0"/>
          <w:sz w:val="44"/>
          <w:szCs w:val="44"/>
        </w:rPr>
        <w:t>20</w:t>
      </w:r>
      <w:r>
        <w:rPr>
          <w:rFonts w:hint="eastAsia" w:ascii="Times New Roman" w:hAnsi="Times New Roman" w:eastAsiaTheme="majorEastAsia"/>
          <w:b/>
          <w:kern w:val="0"/>
          <w:sz w:val="44"/>
          <w:szCs w:val="44"/>
        </w:rPr>
        <w:t>20</w:t>
      </w:r>
      <w:r>
        <w:rPr>
          <w:rFonts w:ascii="Times New Roman" w:hAnsi="Times New Roman" w:eastAsiaTheme="majorEastAsia"/>
          <w:b/>
          <w:kern w:val="0"/>
          <w:sz w:val="44"/>
          <w:szCs w:val="44"/>
        </w:rPr>
        <w:t>年度</w:t>
      </w:r>
      <w:r>
        <w:rPr>
          <w:rFonts w:hint="eastAsia" w:ascii="Times New Roman" w:hAnsi="Times New Roman" w:eastAsiaTheme="majorEastAsia"/>
          <w:b/>
          <w:kern w:val="0"/>
          <w:sz w:val="44"/>
          <w:szCs w:val="44"/>
        </w:rPr>
        <w:t>澧县涔南镇人民政府</w:t>
      </w:r>
    </w:p>
    <w:p>
      <w:pPr>
        <w:spacing w:line="560" w:lineRule="exact"/>
        <w:jc w:val="center"/>
        <w:rPr>
          <w:rFonts w:ascii="Times New Roman" w:hAnsi="Times New Roman" w:eastAsiaTheme="majorEastAsia"/>
          <w:b/>
          <w:kern w:val="0"/>
          <w:sz w:val="44"/>
          <w:szCs w:val="44"/>
        </w:rPr>
      </w:pPr>
      <w:r>
        <w:rPr>
          <w:rFonts w:ascii="Times New Roman" w:hAnsi="Times New Roman" w:eastAsiaTheme="majorEastAsia"/>
          <w:b/>
          <w:kern w:val="0"/>
          <w:sz w:val="44"/>
          <w:szCs w:val="44"/>
        </w:rPr>
        <w:t>部门整体支出绩效报告</w:t>
      </w:r>
    </w:p>
    <w:p>
      <w:pPr>
        <w:widowControl/>
        <w:spacing w:line="560" w:lineRule="exact"/>
        <w:ind w:firstLine="640"/>
        <w:rPr>
          <w:rFonts w:ascii="Times New Roman" w:hAnsi="Times New Roman" w:eastAsia="仿宋_GB2312"/>
          <w:color w:val="222222"/>
          <w:kern w:val="0"/>
          <w:sz w:val="32"/>
          <w:szCs w:val="32"/>
        </w:rPr>
      </w:pP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一、部门概况</w:t>
      </w:r>
    </w:p>
    <w:p>
      <w:pPr>
        <w:widowControl/>
        <w:spacing w:line="360" w:lineRule="auto"/>
        <w:ind w:firstLine="640" w:firstLineChars="20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（一）机构、人员构成</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澧县涔南镇人民政府为独立核算的行政单位，属一级预算单位，执行政府会计制度。对镇党政内设机构统一设置为6个。即党政办公室、党建办公室、经济发展办公室、社会事务办公室、自然资源和生态环境办公室、社会治安和应急管理办公室。统一设置一个执法机构：综合行政执法队。统一设置事业单位6个：即农业和农村经营管理服务站、水利管理站、民政和社会保障站、综合文化站、安全生产监督管理站、退役军人服务站。</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2020年，我镇行政编制人数为39人，与上年相同；实有人数39人，与上年相同。2020年，我镇事业编制人数28人，比上年增加1人；实有人数28人，比上年增加1人，增加原因是有新进人员。</w:t>
      </w:r>
    </w:p>
    <w:p>
      <w:pPr>
        <w:spacing w:line="360" w:lineRule="auto"/>
        <w:ind w:right="-512" w:rightChars="-244" w:firstLine="480" w:firstLineChars="150"/>
        <w:rPr>
          <w:rFonts w:ascii="Times New Roman" w:hAnsi="Times New Roman" w:eastAsia="仿宋_GB2312"/>
          <w:color w:val="222222"/>
          <w:kern w:val="0"/>
          <w:sz w:val="32"/>
          <w:szCs w:val="32"/>
        </w:rPr>
      </w:pPr>
      <w:r>
        <w:rPr>
          <w:rFonts w:ascii="Times New Roman" w:hAnsi="Times New Roman" w:eastAsia="仿宋_GB2312"/>
          <w:color w:val="222222"/>
          <w:kern w:val="0"/>
          <w:sz w:val="32"/>
          <w:szCs w:val="32"/>
        </w:rPr>
        <w:t>（二）单位主要职责</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加强党的建设。落实基层党建工作责任制，统筹全镇村（社区）区域化党建，加强非公有制经济组织和社会组织党建工作，实现党的组织和工作全覆盖。加强意识形态阵地及队伍建设。不断提高党的建设质量，落实管党治党责任，推动全面</w:t>
      </w:r>
      <w:r>
        <w:rPr>
          <w:rFonts w:hint="eastAsia" w:ascii="仿宋" w:hAnsi="仿宋" w:eastAsia="仿宋"/>
          <w:sz w:val="32"/>
          <w:szCs w:val="32"/>
          <w:lang w:val="en-US" w:eastAsia="zh-CN"/>
        </w:rPr>
        <w:t>从严</w:t>
      </w:r>
      <w:bookmarkStart w:id="0" w:name="_GoBack"/>
      <w:bookmarkEnd w:id="0"/>
      <w:r>
        <w:rPr>
          <w:rFonts w:hint="eastAsia" w:ascii="仿宋" w:hAnsi="仿宋" w:eastAsia="仿宋"/>
          <w:sz w:val="32"/>
          <w:szCs w:val="32"/>
        </w:rPr>
        <w:t>治党向基层延伸。</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2、统筹区域发展。参与拟订县级关于辖区发展的重大决策和建设规划并统筹落实，负责促进辖区经济建设，承担优化发展环境、采集企业信息、服务辖区企业、促进项目发展等工作。</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组织公共服务。组织实施与村（居）民生活密切相关的各项公共服务事项，落实人力资源社会保障、民政、教育、科技、文化、体育、卫生健康、退役军人事务、村（居）民小区物业管理等领域相关法规政策。动员辖区内各类单位、社会组织、村（居）民等社会力量参与社会治理，为全镇发展服务。</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4、实施公共管理。负责辖区内生态环境保护、城镇管理、控违拆违、征地拆迁等综合性管理工作。</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5、维护公共安全。承担辖区内社会治安综合治理、平安建设、应急管理等有关工作，接待群众来信来访，反映社情民意，化解矛盾纠纷等。</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6、监督执法管理。对辖区内各类行政执法工作进行统筹协调，组织开展群众监督和社会监督。</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7、保障居民自治。指导村（居）委员会建设，健全村（居）民自治平台，组织村（居）民参与村（社区）建设、管理。</w:t>
      </w: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二、部门财务情况</w:t>
      </w:r>
    </w:p>
    <w:p>
      <w:pPr>
        <w:pStyle w:val="127"/>
        <w:ind w:firstLine="640" w:firstLineChars="200"/>
        <w:jc w:val="both"/>
        <w:rPr>
          <w:rFonts w:ascii="Times New Roman" w:hAnsi="Times New Roman" w:eastAsia="仿宋_GB2312"/>
          <w:color w:val="222222"/>
          <w:sz w:val="32"/>
          <w:szCs w:val="32"/>
        </w:rPr>
      </w:pPr>
      <w:r>
        <w:rPr>
          <w:rFonts w:ascii="Times New Roman" w:hAnsi="Times New Roman" w:eastAsia="仿宋_GB2312"/>
          <w:color w:val="222222"/>
          <w:sz w:val="32"/>
          <w:szCs w:val="32"/>
        </w:rPr>
        <w:t>（一）部门整体支出情况</w:t>
      </w:r>
    </w:p>
    <w:p>
      <w:pPr>
        <w:pStyle w:val="127"/>
        <w:ind w:firstLine="640" w:firstLineChars="200"/>
        <w:jc w:val="both"/>
        <w:rPr>
          <w:rFonts w:ascii="仿宋" w:hAnsi="仿宋" w:eastAsia="仿宋" w:cs="宋体"/>
          <w:sz w:val="32"/>
          <w:szCs w:val="32"/>
        </w:rPr>
      </w:pPr>
      <w:r>
        <w:rPr>
          <w:rFonts w:hint="eastAsia" w:ascii="仿宋" w:hAnsi="仿宋" w:eastAsia="仿宋" w:cs="宋体"/>
          <w:sz w:val="32"/>
          <w:szCs w:val="32"/>
        </w:rPr>
        <w:t>2020年度收、支总计2210.66万元（含结转结余）。与上年相比，减少120.67万元，减少5.18%，主要是因为国防、交通运输、资源勘探信息等项目的收支大幅减少，同比去年均减少100%。</w:t>
      </w:r>
    </w:p>
    <w:p>
      <w:pPr>
        <w:pStyle w:val="127"/>
        <w:jc w:val="both"/>
        <w:outlineLvl w:val="0"/>
        <w:rPr>
          <w:rFonts w:ascii="仿宋" w:hAnsi="仿宋" w:eastAsia="仿宋"/>
          <w:b/>
          <w:bCs/>
          <w:sz w:val="32"/>
          <w:szCs w:val="32"/>
        </w:rPr>
      </w:pPr>
      <w:r>
        <w:rPr>
          <w:rFonts w:ascii="仿宋" w:hAnsi="仿宋" w:eastAsia="仿宋"/>
          <w:color w:val="222222"/>
          <w:sz w:val="32"/>
          <w:szCs w:val="32"/>
        </w:rPr>
        <w:t>（二）部门预算收支决算情况</w:t>
      </w:r>
    </w:p>
    <w:p>
      <w:pPr>
        <w:pStyle w:val="127"/>
        <w:ind w:firstLine="640" w:firstLineChars="200"/>
        <w:jc w:val="both"/>
        <w:rPr>
          <w:rFonts w:ascii="仿宋" w:hAnsi="仿宋" w:eastAsia="仿宋" w:cs="宋体"/>
          <w:sz w:val="32"/>
          <w:szCs w:val="32"/>
        </w:rPr>
      </w:pPr>
      <w:r>
        <w:rPr>
          <w:rFonts w:hint="eastAsia" w:ascii="仿宋" w:hAnsi="仿宋" w:eastAsia="仿宋" w:cs="宋体"/>
          <w:sz w:val="32"/>
          <w:szCs w:val="32"/>
        </w:rPr>
        <w:t>本年收入合计2205.10万元，其中：财政拨款收入2205.10万元，占100%；上级补助收入0万元，占0%；事业收入0万元，占0%；经营收入0万元，占0%；附属单位上缴收入0万元，占0%；其他收入0万元，占0%。</w:t>
      </w:r>
    </w:p>
    <w:p>
      <w:pPr>
        <w:pStyle w:val="127"/>
        <w:ind w:firstLine="640" w:firstLineChars="200"/>
        <w:jc w:val="both"/>
        <w:rPr>
          <w:rFonts w:ascii="仿宋" w:hAnsi="仿宋" w:eastAsia="仿宋" w:cs="宋体"/>
          <w:sz w:val="32"/>
          <w:szCs w:val="32"/>
        </w:rPr>
      </w:pPr>
      <w:r>
        <w:rPr>
          <w:rFonts w:hint="eastAsia" w:ascii="仿宋" w:hAnsi="仿宋" w:eastAsia="仿宋" w:cs="宋体"/>
          <w:sz w:val="32"/>
          <w:szCs w:val="32"/>
        </w:rPr>
        <w:t>本年支出合计2172.91万元，其中：基本支出624.15万元，占28.72%；项目支出1548.76万元，占71.28%；上缴上级支出0万元，占0%；经营支出0万元，占0%；对附属单位补助支出0万元，占0%。</w:t>
      </w:r>
    </w:p>
    <w:p>
      <w:pPr>
        <w:pStyle w:val="127"/>
        <w:ind w:firstLine="640" w:firstLineChars="200"/>
        <w:jc w:val="both"/>
        <w:rPr>
          <w:rFonts w:ascii="Times New Roman" w:hAnsi="Times New Roman" w:eastAsia="仿宋_GB2312"/>
          <w:color w:val="222222"/>
          <w:sz w:val="32"/>
          <w:szCs w:val="32"/>
        </w:rPr>
      </w:pPr>
      <w:r>
        <w:rPr>
          <w:rFonts w:ascii="Times New Roman" w:hAnsi="Times New Roman" w:eastAsia="仿宋_GB2312"/>
          <w:color w:val="222222"/>
          <w:sz w:val="32"/>
          <w:szCs w:val="32"/>
        </w:rPr>
        <w:t>（三） “三公经费”支出使用和管理情况</w:t>
      </w:r>
    </w:p>
    <w:p>
      <w:pPr>
        <w:widowControl/>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2020年度“三公”经费财政拨款支出决算中，公务接待费支出决算1.95万元，占31.97%,因公出国（境）费支出决算0万元，占0%,公务用车购置费及运行维护费支出决算4.15万元，占68.03%。其中：</w:t>
      </w:r>
    </w:p>
    <w:p>
      <w:pPr>
        <w:widowControl/>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1、因公出国（境）费支出决算为0万元，全年安排因公出国（境）团组0个，累计0人次。</w:t>
      </w:r>
    </w:p>
    <w:p>
      <w:pPr>
        <w:widowControl/>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2、公务接待费支出决算为1.95万元，全年共接待来访团组90个、来宾300人次。主要是脱贫攻坚、人居环境整治等工作的督查督导及其他发生的接待支出。</w:t>
      </w:r>
    </w:p>
    <w:p>
      <w:pPr>
        <w:widowControl/>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3、公务用车购置费及运行维护费支出决算为4.15万元，其中：公务用车购置费0万元，更新公务用车0辆。公务用车运行维护费4.15万元，主要是维修维护、购买保险及油料支出，截止2020年12月31日，我单位开支财政拨款的公务用车保有量为1辆。</w:t>
      </w:r>
    </w:p>
    <w:p>
      <w:pPr>
        <w:widowControl/>
        <w:ind w:firstLine="640" w:firstLineChars="200"/>
        <w:rPr>
          <w:rFonts w:ascii="黑体" w:hAnsi="黑体" w:eastAsia="黑体" w:cs="黑体"/>
          <w:color w:val="222222"/>
          <w:kern w:val="0"/>
          <w:sz w:val="32"/>
          <w:szCs w:val="32"/>
        </w:rPr>
      </w:pPr>
      <w:r>
        <w:rPr>
          <w:rFonts w:hint="eastAsia" w:ascii="黑体" w:hAnsi="黑体" w:eastAsia="黑体" w:cs="黑体"/>
          <w:color w:val="222222"/>
          <w:kern w:val="0"/>
          <w:sz w:val="32"/>
          <w:szCs w:val="32"/>
        </w:rPr>
        <w:t>三、部门绩效目标</w:t>
      </w:r>
    </w:p>
    <w:p>
      <w:pPr>
        <w:ind w:firstLine="640" w:firstLineChars="200"/>
        <w:rPr>
          <w:rFonts w:ascii="仿宋" w:hAnsi="仿宋" w:eastAsia="仿宋"/>
          <w:sz w:val="32"/>
          <w:szCs w:val="32"/>
        </w:rPr>
      </w:pPr>
      <w:r>
        <w:rPr>
          <w:rFonts w:hint="eastAsia" w:ascii="仿宋" w:hAnsi="仿宋" w:eastAsia="仿宋"/>
          <w:sz w:val="32"/>
          <w:szCs w:val="32"/>
        </w:rPr>
        <w:t>（一）贯彻执行上级的各项方针政策，抓好基层党建及脱贫工作，稳定和完善政府各项决策部署，加强农业基础设施建设，改善农业生产条件，确保各项工作目标任务圆满完成。</w:t>
      </w:r>
    </w:p>
    <w:p>
      <w:pPr>
        <w:ind w:firstLine="640" w:firstLineChars="200"/>
        <w:rPr>
          <w:rFonts w:ascii="仿宋" w:hAnsi="仿宋" w:eastAsia="仿宋"/>
          <w:sz w:val="32"/>
          <w:szCs w:val="32"/>
        </w:rPr>
      </w:pPr>
      <w:r>
        <w:rPr>
          <w:rFonts w:hint="eastAsia" w:ascii="仿宋" w:hAnsi="仿宋" w:eastAsia="仿宋"/>
          <w:sz w:val="32"/>
          <w:szCs w:val="32"/>
        </w:rPr>
        <w:t>（二）抓好本乡镇的行政事业单位和村级财务实行统一管理、集中核算、全面监督，负责农村医疗合作管理、社会养老保险、卫生整治、脱贫工作、等上级交办的其他各项工作任务。</w:t>
      </w:r>
    </w:p>
    <w:p>
      <w:pPr>
        <w:widowControl/>
        <w:rPr>
          <w:rFonts w:ascii="黑体" w:hAnsi="黑体" w:eastAsia="黑体" w:cs="黑体"/>
          <w:color w:val="222222"/>
          <w:kern w:val="0"/>
          <w:sz w:val="32"/>
          <w:szCs w:val="32"/>
        </w:rPr>
      </w:pPr>
      <w:r>
        <w:rPr>
          <w:rFonts w:hint="eastAsia" w:ascii="黑体" w:hAnsi="黑体" w:eastAsia="黑体" w:cs="黑体"/>
          <w:color w:val="222222"/>
          <w:kern w:val="0"/>
          <w:sz w:val="32"/>
          <w:szCs w:val="32"/>
        </w:rPr>
        <w:t>四、绩效评价工作情况</w:t>
      </w:r>
    </w:p>
    <w:p>
      <w:pPr>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（一）严格落实《预算法》及主管部门绩效管理的相关制度和规定，进一步规范和落实财政资金的专项管理，强化财政支出绩效理念，提高资金使用效益。</w:t>
      </w:r>
    </w:p>
    <w:p>
      <w:pPr>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根据绩效评价的要求，本单位领导高度重视，成立了自评工作领导小组，由镇长任组长，相关干部为成员，积极开展绩效自评工作，按照绩效管理目标要求对照各实施项目的内容逐条逐项自评。在自评过程中，查找原因，及时纠正偏差，为下一步工作夯实基础。</w:t>
      </w:r>
    </w:p>
    <w:p>
      <w:pPr>
        <w:rPr>
          <w:rFonts w:ascii="黑体" w:hAnsi="黑体" w:eastAsia="黑体" w:cs="黑体"/>
          <w:color w:val="000000"/>
          <w:sz w:val="32"/>
          <w:szCs w:val="32"/>
        </w:rPr>
      </w:pPr>
      <w:r>
        <w:rPr>
          <w:rFonts w:hint="eastAsia" w:ascii="黑体" w:hAnsi="黑体" w:eastAsia="黑体" w:cs="黑体"/>
          <w:color w:val="000000"/>
          <w:sz w:val="32"/>
          <w:szCs w:val="32"/>
        </w:rPr>
        <w:t>五、综合评价结果</w:t>
      </w:r>
    </w:p>
    <w:p>
      <w:pPr>
        <w:spacing w:line="576"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（一）战疫情、扶企业、稳经济。</w:t>
      </w:r>
    </w:p>
    <w:p>
      <w:pPr>
        <w:spacing w:line="576" w:lineRule="exact"/>
        <w:ind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全面落实疫情防控各项措施。对高风险地区返（来）涔人员进行彻查彻排，严防输入扩散，营造全镇上下同呼吸、共命运，全民发动、全员参战、全社会积极支持，共同抗疫的良好社会氛围；强化组织领导、强化舆论宣传、强化措施管控、强化网格管理、强化物资保证，截至目前我镇未发现一起新冠肺炎确诊或疑似病例。在此基础上，全镇统筹推进疫情防控和经济社会发展工作，全面规范企业复工复产，持续做好学校复学防控，做到常态化疫情防控与经济发展同步进行。</w:t>
      </w:r>
    </w:p>
    <w:p>
      <w:pPr>
        <w:widowControl/>
        <w:spacing w:line="576" w:lineRule="exact"/>
        <w:ind w:right="105" w:rightChars="50"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（二）抗汛情、树精神、保民生。</w:t>
      </w:r>
    </w:p>
    <w:p>
      <w:pPr>
        <w:widowControl/>
        <w:spacing w:line="576" w:lineRule="exact"/>
        <w:ind w:right="105" w:rightChars="50"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涔水保卫战期间，全镇以“重塑防汛组织动员体系，重拾抗洪精神传统传承”为主旨，认真组织防汛救灾工作，</w:t>
      </w:r>
      <w:r>
        <w:rPr>
          <w:rFonts w:ascii="仿宋" w:hAnsi="仿宋" w:eastAsia="仿宋"/>
          <w:color w:val="000000"/>
          <w:kern w:val="0"/>
          <w:sz w:val="32"/>
          <w:szCs w:val="32"/>
        </w:rPr>
        <w:t>3000</w:t>
      </w:r>
      <w:r>
        <w:rPr>
          <w:rFonts w:hint="eastAsia" w:ascii="仿宋" w:hAnsi="仿宋" w:eastAsia="仿宋"/>
          <w:color w:val="000000"/>
          <w:kern w:val="0"/>
          <w:sz w:val="32"/>
          <w:szCs w:val="32"/>
        </w:rPr>
        <w:t>多名干部群众，用“三上三下”历时</w:t>
      </w:r>
      <w:r>
        <w:rPr>
          <w:rFonts w:ascii="仿宋" w:hAnsi="仿宋" w:eastAsia="仿宋"/>
          <w:color w:val="000000"/>
          <w:kern w:val="0"/>
          <w:sz w:val="32"/>
          <w:szCs w:val="32"/>
        </w:rPr>
        <w:t>450</w:t>
      </w:r>
      <w:r>
        <w:rPr>
          <w:rFonts w:hint="eastAsia" w:ascii="仿宋" w:hAnsi="仿宋" w:eastAsia="仿宋"/>
          <w:color w:val="000000"/>
          <w:kern w:val="0"/>
          <w:sz w:val="32"/>
          <w:szCs w:val="32"/>
        </w:rPr>
        <w:t>个小时</w:t>
      </w:r>
      <w:r>
        <w:rPr>
          <w:rFonts w:ascii="仿宋" w:hAnsi="仿宋" w:eastAsia="仿宋"/>
          <w:color w:val="000000"/>
          <w:kern w:val="0"/>
          <w:sz w:val="32"/>
          <w:szCs w:val="32"/>
        </w:rPr>
        <w:t>18</w:t>
      </w:r>
      <w:r>
        <w:rPr>
          <w:rFonts w:hint="eastAsia" w:ascii="仿宋" w:hAnsi="仿宋" w:eastAsia="仿宋"/>
          <w:color w:val="000000"/>
          <w:kern w:val="0"/>
          <w:sz w:val="32"/>
          <w:szCs w:val="32"/>
        </w:rPr>
        <w:t>个日夜的坚守，干净利落的打赢了“涔水保卫战”，做到了“不溃一堤一垸，不死一人”的承诺，原镇党委书记张滔同志，更是被评为“省防汛救灾先进个人”。同时，全面做好灾后恢复工作，迅速抢修损毁房屋、道路、供水等设施，确保群众生产生活恢复正常，并且加班加点开展水毁工程修复工作，筑牢防汛体系建设基础，并中干渠召开了县级水利秋冬修现场会，获得了县级领导的一致认可。</w:t>
      </w:r>
    </w:p>
    <w:p>
      <w:pPr>
        <w:widowControl/>
        <w:spacing w:line="576" w:lineRule="exact"/>
        <w:ind w:right="105" w:rightChars="50"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（三）补短板、强落实、迎脱贫。</w:t>
      </w:r>
    </w:p>
    <w:p>
      <w:pPr>
        <w:widowControl/>
        <w:spacing w:line="576" w:lineRule="exact"/>
        <w:ind w:right="105" w:rightChars="50"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围绕“两不愁三保障”，补齐住房、医疗、教育、安全饮水短板。重点排查摸底“六类对象”，开展住房安全、饮水安全等问题清零行动。积极帮助105名外出务工人员返岗就业；开发107个公益性岗位，解决贫困人口132人居家灵活就业。持续紧盯中央专项巡视“回头看”反馈问题、</w:t>
      </w:r>
      <w:r>
        <w:rPr>
          <w:rFonts w:ascii="仿宋" w:hAnsi="仿宋" w:eastAsia="仿宋"/>
          <w:color w:val="000000"/>
          <w:kern w:val="0"/>
          <w:sz w:val="32"/>
          <w:szCs w:val="32"/>
        </w:rPr>
        <w:t>2019</w:t>
      </w:r>
      <w:r>
        <w:rPr>
          <w:rFonts w:hint="eastAsia" w:ascii="仿宋" w:hAnsi="仿宋" w:eastAsia="仿宋"/>
          <w:color w:val="000000"/>
          <w:kern w:val="0"/>
          <w:sz w:val="32"/>
          <w:szCs w:val="32"/>
        </w:rPr>
        <w:t>年脱贫攻坚成效考核反馈问题以及其他问题整改工作，把跟踪督查贯穿问题整改全过程，确保整改到位。顺利通过省脱贫攻坚考实地核，截至</w:t>
      </w:r>
      <w:r>
        <w:rPr>
          <w:rFonts w:ascii="仿宋" w:hAnsi="仿宋" w:eastAsia="仿宋"/>
          <w:color w:val="000000"/>
          <w:kern w:val="0"/>
          <w:sz w:val="32"/>
          <w:szCs w:val="32"/>
        </w:rPr>
        <w:t>2020</w:t>
      </w:r>
      <w:r>
        <w:rPr>
          <w:rFonts w:hint="eastAsia" w:ascii="仿宋" w:hAnsi="仿宋" w:eastAsia="仿宋"/>
          <w:color w:val="000000"/>
          <w:kern w:val="0"/>
          <w:sz w:val="32"/>
          <w:szCs w:val="32"/>
        </w:rPr>
        <w:t>年</w:t>
      </w:r>
      <w:r>
        <w:rPr>
          <w:rFonts w:ascii="仿宋" w:hAnsi="仿宋" w:eastAsia="仿宋"/>
          <w:color w:val="000000"/>
          <w:kern w:val="0"/>
          <w:sz w:val="32"/>
          <w:szCs w:val="32"/>
        </w:rPr>
        <w:t>11</w:t>
      </w:r>
      <w:r>
        <w:rPr>
          <w:rFonts w:hint="eastAsia" w:ascii="仿宋" w:hAnsi="仿宋" w:eastAsia="仿宋"/>
          <w:color w:val="000000"/>
          <w:kern w:val="0"/>
          <w:sz w:val="32"/>
          <w:szCs w:val="32"/>
        </w:rPr>
        <w:t>月下旬，全镇</w:t>
      </w:r>
      <w:r>
        <w:rPr>
          <w:rFonts w:ascii="仿宋" w:hAnsi="仿宋" w:eastAsia="仿宋"/>
          <w:color w:val="000000"/>
          <w:kern w:val="0"/>
          <w:sz w:val="32"/>
          <w:szCs w:val="32"/>
        </w:rPr>
        <w:t>642</w:t>
      </w:r>
      <w:r>
        <w:rPr>
          <w:rFonts w:hint="eastAsia" w:ascii="仿宋" w:hAnsi="仿宋" w:eastAsia="仿宋"/>
          <w:color w:val="000000"/>
          <w:kern w:val="0"/>
          <w:sz w:val="32"/>
          <w:szCs w:val="32"/>
        </w:rPr>
        <w:t>户</w:t>
      </w:r>
      <w:r>
        <w:rPr>
          <w:rFonts w:ascii="仿宋" w:hAnsi="仿宋" w:eastAsia="仿宋"/>
          <w:color w:val="000000"/>
          <w:kern w:val="0"/>
          <w:sz w:val="32"/>
          <w:szCs w:val="32"/>
        </w:rPr>
        <w:t>184</w:t>
      </w:r>
      <w:r>
        <w:rPr>
          <w:rFonts w:hint="eastAsia" w:ascii="仿宋" w:hAnsi="仿宋" w:eastAsia="仿宋"/>
          <w:color w:val="000000"/>
          <w:kern w:val="0"/>
          <w:sz w:val="32"/>
          <w:szCs w:val="32"/>
        </w:rPr>
        <w:t>2人建档立卡贫困户已实现全面脱贫。我镇脱贫攻坚工作被评为2019年度市级先进单位，2020年度考核排名也位列前茅。</w:t>
      </w:r>
    </w:p>
    <w:p>
      <w:pPr>
        <w:widowControl/>
        <w:spacing w:line="576" w:lineRule="exact"/>
        <w:ind w:right="105" w:rightChars="50"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（四）核心产业逐步增强。</w:t>
      </w:r>
    </w:p>
    <w:p>
      <w:pPr>
        <w:widowControl/>
        <w:spacing w:line="576" w:lineRule="exact"/>
        <w:ind w:right="105" w:rightChars="50"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涔南镇立足区位优势、坚持问题导向、创新工作方式、凝聚内生动力，农业工作取得了可喜成效。截至2020年，全镇已流转土地12000亩，坚持把果蔬产业作为产业结构调整的主攻方向，以专业合作社为龙头，种植优质稻13000亩，各类蔬菜水果6000多亩，其中大棚蔬菜水果种植4000多亩，渔业养殖水面3000多亩，牲畜存栏1万头。引进湖田坝农业有限公司，投资1200万元打造高标准果蔬冷链中心，形成以黄家套、老207国道为核心的“涔南镇果蔬走廊”，仅该片区年产值就达2000万元以上。</w:t>
      </w:r>
    </w:p>
    <w:p>
      <w:pPr>
        <w:widowControl/>
        <w:spacing w:line="576" w:lineRule="exact"/>
        <w:ind w:right="105" w:rightChars="50"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（五）持续优化人居环境</w:t>
      </w:r>
    </w:p>
    <w:p>
      <w:pPr>
        <w:widowControl/>
        <w:spacing w:line="576" w:lineRule="exact"/>
        <w:ind w:right="105" w:rightChars="50"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秸秆禁烧工作成效显著。各村（社区）配备灭火器材、宣传喇叭，实行干部包片到户制度，强化禁烧巡查检查，充分利用蓝天卫士平台，加强后台监控，对焚烧的违法行为坚决给予查处；组织成立菌菇种植合作社，回收秸秆发展种植，解决秸秆禁烧源头问题，获县级点名表扬。生态环境长效治理措施得力。对各级反馈的环境污染问题进行整改销号；完成面源污染治理工程，消除集镇周边黑臭水体；完成十一个村（社区）的环境综合整治行动，提高人居环境治理水平；完成国省两道专项治理，成功打造一处县级国道治理样板路段。城镇面貌得到有效改观。规范农贸市场经营管理，扩充城管力量，进行违建管控，实行农民建房审批制；保质保量完成全镇1473户农村改厕工作；提升集镇品味和形象，定期开展群众主导的“村庄清洁”和干部主导的“人居环境集中整治”等活动，农村人居环境得到进一步改善。</w:t>
      </w:r>
    </w:p>
    <w:p>
      <w:pPr>
        <w:widowControl/>
        <w:spacing w:line="576" w:lineRule="exact"/>
        <w:ind w:right="105" w:rightChars="50"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（六）各项事业有序开展。</w:t>
      </w:r>
    </w:p>
    <w:p>
      <w:pPr>
        <w:widowControl/>
        <w:spacing w:line="576" w:lineRule="exact"/>
        <w:ind w:right="105" w:rightChars="50" w:firstLine="640" w:firstLineChars="200"/>
        <w:rPr>
          <w:rFonts w:ascii="仿宋" w:hAnsi="仿宋" w:eastAsia="仿宋"/>
          <w:color w:val="000000"/>
          <w:kern w:val="0"/>
          <w:sz w:val="32"/>
          <w:szCs w:val="32"/>
        </w:rPr>
      </w:pPr>
      <w:r>
        <w:rPr>
          <w:rFonts w:hint="eastAsia" w:ascii="仿宋" w:hAnsi="仿宋" w:eastAsia="仿宋"/>
          <w:color w:val="000000"/>
          <w:kern w:val="0"/>
          <w:sz w:val="32"/>
          <w:szCs w:val="32"/>
        </w:rPr>
        <w:t>进一步理顺了河长制管理组织机构和责任体系，全镇8条主沟主渠实现镇级河长制管理体系全覆盖。集中开展安全生产大检查、百日攻坚等行动，全年未发生一起重大以上安全事故，获得2020年度市级安全生产先进单位荣誉。开展酒类市场暨食品安全专项整治，确保人民群众舌尖上的安全。热情接待来访群众，尽力解决群众诉求，全年镇共受理矛盾纠纷356起，成功调解355起，调解成功率99.7%，全年共为本镇村民挽回经济损失830多万元。镇综治维稳信访中心接访38件，其中34件已经解决，还有4件正在解决之中，2020年的综治稳定工作被评为县级良好等次。市县长热线转交办件和发生网络舆情及在线民声诉求32件，已办结32件，办结率100%，并书面进行了上报。全镇11个村(社区）完成雪亮工程平台建设并投入正常运营，已建公共探头115个，至少为3起交通事故案件提供了有力的证据。全面完成全镇11个普查区158个普查小区的第七次人口普查数据录入工作。积极参加上级组织的送戏下乡等文化活动，健全各项规章制度、普法教育深入民心、“三优”创建效果显著，荣获2020年市级文明乡镇称号。与此同时，征兵、退役军人、统战、团委、妇联等各项工作也取得了新成绩、新进步。</w:t>
      </w:r>
    </w:p>
    <w:p>
      <w:pPr>
        <w:spacing w:line="576"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二、2020年</w:t>
      </w:r>
      <w:r>
        <w:rPr>
          <w:rFonts w:hint="eastAsia" w:ascii="仿宋" w:hAnsi="仿宋" w:eastAsia="仿宋" w:cs="黑体"/>
          <w:color w:val="000000" w:themeColor="text1"/>
          <w:sz w:val="32"/>
          <w:szCs w:val="32"/>
        </w:rPr>
        <w:t>中心</w:t>
      </w:r>
      <w:r>
        <w:rPr>
          <w:rFonts w:hint="eastAsia" w:ascii="仿宋" w:hAnsi="仿宋" w:eastAsia="仿宋"/>
          <w:color w:val="000000" w:themeColor="text1"/>
          <w:sz w:val="32"/>
          <w:szCs w:val="32"/>
        </w:rPr>
        <w:t>工作情况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一年来，我镇党委政府，紧紧围绕县委、县政府的部署和要求，坚持稳中求进工作总基调，团结和带领全镇广大党员干部，众志成城，坚决打赢疫情防控阻击战，围绕“三点一线两轴一特色”统筹兼顾，2020年农业农村各项工作也取得较好成绩。</w:t>
      </w:r>
    </w:p>
    <w:p>
      <w:pPr>
        <w:pStyle w:val="125"/>
        <w:numPr>
          <w:ilvl w:val="0"/>
          <w:numId w:val="1"/>
        </w:numPr>
        <w:snapToGrid w:val="0"/>
        <w:spacing w:line="520" w:lineRule="exact"/>
        <w:ind w:firstLineChars="0"/>
        <w:rPr>
          <w:rFonts w:ascii="仿宋_GB2312" w:hAnsi="仿宋" w:eastAsia="仿宋_GB2312"/>
          <w:sz w:val="32"/>
          <w:szCs w:val="32"/>
        </w:rPr>
      </w:pPr>
      <w:r>
        <w:rPr>
          <w:rFonts w:hint="eastAsia" w:ascii="仿宋_GB2312" w:hAnsi="仿宋" w:eastAsia="仿宋_GB2312"/>
          <w:sz w:val="32"/>
          <w:szCs w:val="32"/>
        </w:rPr>
        <w:t>疫情防控取得阶段性成果。</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全镇上下同呼吸、共命运，全民发动、全员参战、全社会积极支持，强化组织领导、强化舆论宣传、强化措施管控、强化网格管理、强化物资保证，共打一场“疫情防控阻击战”，实现了“零感染”“零发病”的目标。</w:t>
      </w:r>
    </w:p>
    <w:p>
      <w:pPr>
        <w:pStyle w:val="125"/>
        <w:numPr>
          <w:ilvl w:val="0"/>
          <w:numId w:val="1"/>
        </w:numPr>
        <w:snapToGrid w:val="0"/>
        <w:spacing w:line="520" w:lineRule="exact"/>
        <w:ind w:firstLineChars="0"/>
        <w:rPr>
          <w:rFonts w:ascii="仿宋_GB2312" w:hAnsi="仿宋" w:eastAsia="仿宋_GB2312"/>
          <w:sz w:val="32"/>
          <w:szCs w:val="32"/>
        </w:rPr>
      </w:pPr>
      <w:r>
        <w:rPr>
          <w:rFonts w:hint="eastAsia" w:ascii="仿宋_GB2312" w:hAnsi="仿宋" w:eastAsia="仿宋_GB2312"/>
          <w:sz w:val="32"/>
          <w:szCs w:val="32"/>
        </w:rPr>
        <w:t>“涔水保卫战”胜利收官。</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全镇以“重塑防汛组织动员体系，重拾抗洪精神传统传承”为主旨，认真组织防汛救灾工作，全镇3000多名干部群众，用“三上三下”450个小时18个日夜的坚守，干净利落的打赢了“涔水保卫战”，做到了“不溃一堤一垸，不死一人”的承诺。</w:t>
      </w:r>
    </w:p>
    <w:p>
      <w:pPr>
        <w:numPr>
          <w:ilvl w:val="0"/>
          <w:numId w:val="1"/>
        </w:numPr>
        <w:snapToGrid w:val="0"/>
        <w:spacing w:line="520"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脱贫攻坚工作成效明显。</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我镇脱贫攻坚工作紧紧围绕“两不愁三保障一达标”关键指标，依托产业扶贫、就业扶贫、健康扶贫、教育扶贫、金融扶贫、社会扶贫、危房改造、社会保障兜底、基础设施建设等“十大工程”建设为抓手，创新工作思路，突出重点、多措并举，认真组织实施脱贫攻坚各类工程，扎实有效开展脱贫攻坚工作。截至2020年11月下旬，全镇642户1841人建档立卡贫困户已实现全面脱贫。</w:t>
      </w:r>
    </w:p>
    <w:p>
      <w:pPr>
        <w:numPr>
          <w:ilvl w:val="0"/>
          <w:numId w:val="1"/>
        </w:numPr>
        <w:snapToGrid w:val="0"/>
        <w:spacing w:line="520"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农村人居环境持续改善。</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一是开展环境集中整治。对全镇11个村（社区）实施绿化、美化，种植乔灌木6000余株。全面动员，开展国省道专项整治提质行动，累计清除杂草9万平方米，清理砂石堆场3个、木材交易场1个、收荒场4个，拆除非法广告牌30处、违规建设厂棚45处，修整树木3000株，补植樟树550株、红继木300株，国道沿线整改成效显著。二是落实秸秆禁烧及综合利用工作。启动全面摸排、包保到户、定点核查，对于全镇范围内所有秸秆登记造册，实行精准销号，与收割机手签订协议，粉碎机安装率达90%以上，有效推进秸秆粉碎还田。三是加强河长制管理。我镇共有堤段20.5公里，沟港8条，全长17.7公里，今年以来，镇级河长巡河110次，清理河道垃圾23吨。</w:t>
      </w:r>
    </w:p>
    <w:p>
      <w:pPr>
        <w:numPr>
          <w:ilvl w:val="0"/>
          <w:numId w:val="1"/>
        </w:numPr>
        <w:snapToGrid w:val="0"/>
        <w:spacing w:line="520"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农业工作成效明显。</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以扶持优质稻种植专业合作社为依托，积极发展优质稻种植产业。通过农业产业调整升级、产业融合，以点带面，推进土地向大户流转，盘活土地资源，扩大全镇蔬菜种植规模，引进大户5家，带动农户100多人，现有水果蔬菜种植面积6000亩。为稳固粮食产量发展,全镇发动农户种植早稻4万亩,完善机械化种植示范基地4700亩,继续发力打造“果蔬走廊”，推广高效蔬菜、优质葡萄种植面积超5000亩,带动全镇人民发展经济，有效提高群众生活水平。</w:t>
      </w:r>
    </w:p>
    <w:p>
      <w:pPr>
        <w:numPr>
          <w:ilvl w:val="0"/>
          <w:numId w:val="1"/>
        </w:numPr>
        <w:snapToGrid w:val="0"/>
        <w:spacing w:line="520" w:lineRule="exact"/>
        <w:ind w:left="0" w:firstLine="640" w:firstLineChars="200"/>
        <w:rPr>
          <w:rFonts w:ascii="仿宋_GB2312" w:hAnsi="仿宋" w:eastAsia="仿宋_GB2312"/>
          <w:sz w:val="32"/>
          <w:szCs w:val="32"/>
        </w:rPr>
      </w:pPr>
      <w:r>
        <w:rPr>
          <w:rFonts w:hint="eastAsia" w:ascii="仿宋_GB2312" w:hAnsi="仿宋" w:eastAsia="仿宋_GB2312"/>
          <w:sz w:val="32"/>
          <w:szCs w:val="32"/>
        </w:rPr>
        <w:t>民生事业持续改善。</w:t>
      </w:r>
    </w:p>
    <w:p>
      <w:pPr>
        <w:widowControl/>
        <w:ind w:firstLine="640" w:firstLineChars="200"/>
        <w:rPr>
          <w:rFonts w:ascii="仿宋" w:hAnsi="仿宋" w:eastAsia="仿宋" w:cs="黑体"/>
          <w:color w:val="000000"/>
          <w:sz w:val="32"/>
          <w:szCs w:val="32"/>
        </w:rPr>
      </w:pPr>
      <w:r>
        <w:rPr>
          <w:rFonts w:hint="eastAsia" w:ascii="仿宋_GB2312" w:hAnsi="仿宋" w:eastAsia="仿宋_GB2312"/>
          <w:sz w:val="32"/>
          <w:szCs w:val="32"/>
        </w:rPr>
        <w:t>截至目前，全镇共办理临时救助共229件，发救助149640元。重度残疾人护理补贴和生活补贴的申报、系统录入、管理。现有一二级残疾人享受护理补贴593人，死亡或审核取消39人。三四级残疾人享受生活补贴475人。留守老人573人，留守儿童346人，困境儿童20人，已经录入系统，都建立了包保制度，定期探望，随时监护，确保他们的生活无忧及身体健康。疫情期间，建立低保户、特困人员、孤寡老人、重度残疾人照料包保责任制。发放村两委成员疫情补助77人,共235300元。积极组织开展第七次人口普查工作，多维宣传，依法普查，做好前期发动工作。积极推进电力、电信、交通等各项事业协调发展。</w:t>
      </w:r>
    </w:p>
    <w:p>
      <w:pPr>
        <w:spacing w:line="560" w:lineRule="exact"/>
        <w:jc w:val="center"/>
        <w:rPr>
          <w:rFonts w:hint="eastAsia" w:ascii="仿宋" w:hAnsi="仿宋" w:eastAsia="仿宋" w:cs="宋体"/>
          <w:b/>
          <w:bCs/>
          <w:kern w:val="0"/>
          <w:sz w:val="32"/>
          <w:szCs w:val="32"/>
        </w:rPr>
      </w:pPr>
    </w:p>
    <w:p>
      <w:pPr>
        <w:spacing w:line="560" w:lineRule="exact"/>
        <w:jc w:val="center"/>
        <w:rPr>
          <w:rFonts w:hint="eastAsia" w:ascii="仿宋" w:hAnsi="仿宋" w:eastAsia="仿宋" w:cs="宋体"/>
          <w:b/>
          <w:bCs/>
          <w:kern w:val="0"/>
          <w:sz w:val="32"/>
          <w:szCs w:val="32"/>
        </w:rPr>
      </w:pPr>
    </w:p>
    <w:p>
      <w:pPr>
        <w:spacing w:line="560" w:lineRule="exact"/>
        <w:jc w:val="center"/>
        <w:rPr>
          <w:rFonts w:hint="eastAsia" w:ascii="仿宋" w:hAnsi="仿宋" w:eastAsia="仿宋" w:cs="宋体"/>
          <w:b/>
          <w:bCs/>
          <w:kern w:val="0"/>
          <w:sz w:val="32"/>
          <w:szCs w:val="32"/>
        </w:rPr>
      </w:pPr>
    </w:p>
    <w:p>
      <w:pPr>
        <w:spacing w:line="560" w:lineRule="exact"/>
        <w:jc w:val="center"/>
        <w:rPr>
          <w:rFonts w:hint="eastAsia" w:ascii="仿宋" w:hAnsi="仿宋" w:eastAsia="仿宋" w:cs="宋体"/>
          <w:b/>
          <w:bCs/>
          <w:kern w:val="0"/>
          <w:sz w:val="32"/>
          <w:szCs w:val="32"/>
        </w:rPr>
      </w:pPr>
    </w:p>
    <w:p>
      <w:pPr>
        <w:spacing w:line="560" w:lineRule="exact"/>
        <w:jc w:val="center"/>
        <w:rPr>
          <w:rFonts w:hint="eastAsia" w:ascii="仿宋" w:hAnsi="仿宋" w:eastAsia="仿宋" w:cs="宋体"/>
          <w:b/>
          <w:bCs/>
          <w:kern w:val="0"/>
          <w:sz w:val="32"/>
          <w:szCs w:val="32"/>
        </w:rPr>
      </w:pPr>
    </w:p>
    <w:p>
      <w:pPr>
        <w:spacing w:line="560" w:lineRule="exact"/>
        <w:jc w:val="center"/>
        <w:rPr>
          <w:rFonts w:hint="eastAsia" w:ascii="仿宋" w:hAnsi="仿宋" w:eastAsia="仿宋" w:cs="宋体"/>
          <w:b/>
          <w:bCs/>
          <w:kern w:val="0"/>
          <w:sz w:val="32"/>
          <w:szCs w:val="32"/>
        </w:rPr>
      </w:pPr>
    </w:p>
    <w:p>
      <w:pPr>
        <w:spacing w:line="560" w:lineRule="exact"/>
        <w:jc w:val="center"/>
        <w:rPr>
          <w:rFonts w:hint="eastAsia" w:ascii="仿宋" w:hAnsi="仿宋" w:eastAsia="仿宋" w:cs="宋体"/>
          <w:b/>
          <w:bCs/>
          <w:kern w:val="0"/>
          <w:sz w:val="32"/>
          <w:szCs w:val="32"/>
        </w:rPr>
      </w:pPr>
    </w:p>
    <w:p>
      <w:pPr>
        <w:spacing w:line="560" w:lineRule="exact"/>
        <w:jc w:val="center"/>
        <w:rPr>
          <w:rFonts w:hint="eastAsia" w:ascii="仿宋" w:hAnsi="仿宋" w:eastAsia="仿宋" w:cs="宋体"/>
          <w:b/>
          <w:bCs/>
          <w:kern w:val="0"/>
          <w:sz w:val="32"/>
          <w:szCs w:val="32"/>
        </w:rPr>
      </w:pPr>
    </w:p>
    <w:p>
      <w:pPr>
        <w:spacing w:line="560" w:lineRule="exact"/>
        <w:jc w:val="center"/>
        <w:rPr>
          <w:rFonts w:hint="eastAsia" w:ascii="仿宋" w:hAnsi="仿宋" w:eastAsia="仿宋" w:cs="宋体"/>
          <w:b/>
          <w:bCs/>
          <w:kern w:val="0"/>
          <w:sz w:val="32"/>
          <w:szCs w:val="32"/>
        </w:rPr>
      </w:pPr>
    </w:p>
    <w:p>
      <w:pPr>
        <w:spacing w:line="560" w:lineRule="exact"/>
        <w:jc w:val="center"/>
        <w:rPr>
          <w:rFonts w:hint="eastAsia" w:ascii="仿宋" w:hAnsi="仿宋" w:eastAsia="仿宋" w:cs="宋体"/>
          <w:b/>
          <w:bCs/>
          <w:kern w:val="0"/>
          <w:sz w:val="32"/>
          <w:szCs w:val="32"/>
        </w:rPr>
      </w:pPr>
    </w:p>
    <w:p>
      <w:pPr>
        <w:spacing w:line="560" w:lineRule="exact"/>
        <w:jc w:val="center"/>
        <w:rPr>
          <w:rFonts w:hint="eastAsia" w:ascii="仿宋" w:hAnsi="仿宋" w:eastAsia="仿宋" w:cs="宋体"/>
          <w:b/>
          <w:bCs/>
          <w:kern w:val="0"/>
          <w:sz w:val="32"/>
          <w:szCs w:val="32"/>
        </w:rPr>
      </w:pPr>
    </w:p>
    <w:p>
      <w:pPr>
        <w:spacing w:line="560" w:lineRule="exact"/>
        <w:jc w:val="center"/>
        <w:rPr>
          <w:rFonts w:hint="eastAsia" w:ascii="仿宋" w:hAnsi="仿宋" w:eastAsia="仿宋" w:cs="宋体"/>
          <w:b/>
          <w:bCs/>
          <w:kern w:val="0"/>
          <w:sz w:val="32"/>
          <w:szCs w:val="32"/>
        </w:rPr>
      </w:pPr>
    </w:p>
    <w:p>
      <w:pPr>
        <w:spacing w:line="560" w:lineRule="exact"/>
        <w:jc w:val="center"/>
        <w:rPr>
          <w:rFonts w:hint="eastAsia" w:ascii="仿宋" w:hAnsi="仿宋" w:eastAsia="仿宋" w:cs="宋体"/>
          <w:b/>
          <w:bCs/>
          <w:kern w:val="0"/>
          <w:sz w:val="32"/>
          <w:szCs w:val="32"/>
        </w:rPr>
      </w:pPr>
    </w:p>
    <w:p>
      <w:pPr>
        <w:spacing w:line="560" w:lineRule="exact"/>
        <w:jc w:val="center"/>
        <w:rPr>
          <w:rFonts w:hint="eastAsia" w:ascii="仿宋" w:hAnsi="仿宋" w:eastAsia="仿宋" w:cs="宋体"/>
          <w:b/>
          <w:bCs/>
          <w:kern w:val="0"/>
          <w:sz w:val="32"/>
          <w:szCs w:val="32"/>
        </w:rPr>
      </w:pPr>
    </w:p>
    <w:p>
      <w:pPr>
        <w:spacing w:line="560" w:lineRule="exact"/>
        <w:jc w:val="center"/>
        <w:rPr>
          <w:rFonts w:hint="eastAsia" w:ascii="仿宋" w:hAnsi="仿宋" w:eastAsia="仿宋" w:cs="宋体"/>
          <w:b/>
          <w:bCs/>
          <w:kern w:val="0"/>
          <w:sz w:val="32"/>
          <w:szCs w:val="32"/>
        </w:rPr>
      </w:pPr>
    </w:p>
    <w:p>
      <w:pPr>
        <w:spacing w:line="560" w:lineRule="exact"/>
        <w:jc w:val="center"/>
        <w:rPr>
          <w:rFonts w:hint="eastAsia" w:ascii="仿宋" w:hAnsi="仿宋" w:eastAsia="仿宋" w:cs="宋体"/>
          <w:b/>
          <w:bCs/>
          <w:kern w:val="0"/>
          <w:sz w:val="32"/>
          <w:szCs w:val="32"/>
        </w:rPr>
      </w:pPr>
    </w:p>
    <w:p>
      <w:pPr>
        <w:spacing w:line="560" w:lineRule="exact"/>
        <w:jc w:val="center"/>
        <w:rPr>
          <w:rFonts w:hint="eastAsia" w:ascii="仿宋" w:hAnsi="仿宋" w:eastAsia="仿宋" w:cs="宋体"/>
          <w:b/>
          <w:bCs/>
          <w:kern w:val="0"/>
          <w:sz w:val="32"/>
          <w:szCs w:val="32"/>
        </w:rPr>
      </w:pPr>
    </w:p>
    <w:p>
      <w:pPr>
        <w:spacing w:line="560" w:lineRule="exact"/>
        <w:jc w:val="center"/>
        <w:rPr>
          <w:rFonts w:hint="eastAsia" w:ascii="仿宋" w:hAnsi="仿宋" w:eastAsia="仿宋" w:cs="宋体"/>
          <w:b/>
          <w:bCs/>
          <w:kern w:val="0"/>
          <w:sz w:val="32"/>
          <w:szCs w:val="32"/>
        </w:rPr>
      </w:pPr>
    </w:p>
    <w:p>
      <w:pPr>
        <w:spacing w:line="560" w:lineRule="exact"/>
        <w:jc w:val="center"/>
        <w:rPr>
          <w:rFonts w:hint="eastAsia" w:ascii="仿宋" w:hAnsi="仿宋" w:eastAsia="仿宋" w:cs="宋体"/>
          <w:b/>
          <w:bCs/>
          <w:kern w:val="0"/>
          <w:sz w:val="32"/>
          <w:szCs w:val="32"/>
        </w:rPr>
      </w:pPr>
    </w:p>
    <w:p>
      <w:pPr>
        <w:spacing w:line="560" w:lineRule="exact"/>
        <w:jc w:val="center"/>
        <w:rPr>
          <w:rFonts w:hint="eastAsia" w:ascii="仿宋" w:hAnsi="仿宋" w:eastAsia="仿宋" w:cs="宋体"/>
          <w:b/>
          <w:bCs/>
          <w:kern w:val="0"/>
          <w:sz w:val="32"/>
          <w:szCs w:val="32"/>
        </w:rPr>
      </w:pPr>
    </w:p>
    <w:p>
      <w:pPr>
        <w:spacing w:line="560" w:lineRule="exact"/>
        <w:jc w:val="center"/>
        <w:rPr>
          <w:rFonts w:hint="eastAsia" w:ascii="仿宋" w:hAnsi="仿宋" w:eastAsia="仿宋" w:cs="宋体"/>
          <w:b/>
          <w:bCs/>
          <w:kern w:val="0"/>
          <w:sz w:val="32"/>
          <w:szCs w:val="32"/>
        </w:rPr>
      </w:pPr>
    </w:p>
    <w:p>
      <w:pPr>
        <w:spacing w:line="560" w:lineRule="exact"/>
        <w:jc w:val="center"/>
        <w:rPr>
          <w:rFonts w:hint="eastAsia" w:ascii="仿宋" w:hAnsi="仿宋" w:eastAsia="仿宋" w:cs="宋体"/>
          <w:b/>
          <w:bCs/>
          <w:kern w:val="0"/>
          <w:sz w:val="32"/>
          <w:szCs w:val="32"/>
        </w:rPr>
      </w:pPr>
    </w:p>
    <w:p>
      <w:pPr>
        <w:spacing w:line="560" w:lineRule="exact"/>
        <w:jc w:val="center"/>
        <w:rPr>
          <w:rFonts w:ascii="仿宋" w:hAnsi="仿宋" w:eastAsia="仿宋"/>
          <w:b/>
          <w:bCs/>
          <w:kern w:val="0"/>
          <w:sz w:val="32"/>
          <w:szCs w:val="32"/>
        </w:rPr>
      </w:pPr>
      <w:r>
        <w:rPr>
          <w:rFonts w:hint="eastAsia" w:ascii="仿宋" w:hAnsi="仿宋" w:eastAsia="仿宋" w:cs="宋体"/>
          <w:b/>
          <w:bCs/>
          <w:kern w:val="0"/>
          <w:sz w:val="32"/>
          <w:szCs w:val="32"/>
        </w:rPr>
        <w:t>部门整体支出绩效评价指标表</w:t>
      </w:r>
    </w:p>
    <w:p>
      <w:pPr>
        <w:spacing w:line="560" w:lineRule="exact"/>
        <w:jc w:val="center"/>
        <w:rPr>
          <w:rFonts w:ascii="仿宋" w:hAnsi="仿宋" w:eastAsia="仿宋"/>
          <w:kern w:val="0"/>
          <w:sz w:val="32"/>
          <w:szCs w:val="32"/>
        </w:rPr>
      </w:pPr>
    </w:p>
    <w:tbl>
      <w:tblPr>
        <w:tblStyle w:val="12"/>
        <w:tblW w:w="10771" w:type="dxa"/>
        <w:jc w:val="center"/>
        <w:tblLayout w:type="fixed"/>
        <w:tblCellMar>
          <w:top w:w="0" w:type="dxa"/>
          <w:left w:w="108" w:type="dxa"/>
          <w:bottom w:w="0" w:type="dxa"/>
          <w:right w:w="108" w:type="dxa"/>
        </w:tblCellMar>
      </w:tblPr>
      <w:tblGrid>
        <w:gridCol w:w="678"/>
        <w:gridCol w:w="516"/>
        <w:gridCol w:w="659"/>
        <w:gridCol w:w="516"/>
        <w:gridCol w:w="1074"/>
        <w:gridCol w:w="516"/>
        <w:gridCol w:w="2878"/>
        <w:gridCol w:w="3312"/>
        <w:gridCol w:w="622"/>
      </w:tblGrid>
      <w:tr>
        <w:tblPrEx>
          <w:tblCellMar>
            <w:top w:w="0" w:type="dxa"/>
            <w:left w:w="108" w:type="dxa"/>
            <w:bottom w:w="0" w:type="dxa"/>
            <w:right w:w="108" w:type="dxa"/>
          </w:tblCellMar>
        </w:tblPrEx>
        <w:trPr>
          <w:tblHeade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一级指标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65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二级指标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107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三级</w:t>
            </w:r>
          </w:p>
          <w:p>
            <w:pPr>
              <w:widowControl/>
              <w:spacing w:line="300" w:lineRule="exact"/>
              <w:jc w:val="center"/>
              <w:rPr>
                <w:rFonts w:ascii="宋体" w:hAnsi="宋体"/>
                <w:kern w:val="0"/>
                <w:sz w:val="24"/>
                <w:szCs w:val="24"/>
              </w:rPr>
            </w:pPr>
            <w:r>
              <w:rPr>
                <w:rFonts w:hint="eastAsia" w:ascii="宋体" w:hAnsi="宋体" w:cs="宋体"/>
                <w:kern w:val="0"/>
                <w:sz w:val="24"/>
                <w:szCs w:val="24"/>
              </w:rPr>
              <w:t>指标</w:t>
            </w:r>
          </w:p>
        </w:tc>
        <w:tc>
          <w:tcPr>
            <w:tcW w:w="5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分值</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评价标准</w:t>
            </w:r>
          </w:p>
        </w:tc>
        <w:tc>
          <w:tcPr>
            <w:tcW w:w="331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指标说明</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得分</w:t>
            </w:r>
          </w:p>
        </w:tc>
      </w:tr>
      <w:tr>
        <w:tblPrEx>
          <w:tblCellMar>
            <w:top w:w="0" w:type="dxa"/>
            <w:left w:w="108" w:type="dxa"/>
            <w:bottom w:w="0" w:type="dxa"/>
            <w:right w:w="108" w:type="dxa"/>
          </w:tblCellMar>
        </w:tblPrEx>
        <w:trPr>
          <w:trHeight w:val="1814" w:hRule="atLeast"/>
          <w:jc w:val="center"/>
        </w:trPr>
        <w:tc>
          <w:tcPr>
            <w:tcW w:w="67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投入</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13</w:t>
            </w:r>
          </w:p>
        </w:tc>
        <w:tc>
          <w:tcPr>
            <w:tcW w:w="659" w:type="dxa"/>
            <w:vMerge w:val="restart"/>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预算配置</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13</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在职人员控制率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nil"/>
              <w:right w:val="nil"/>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以</w:t>
            </w:r>
            <w:r>
              <w:rPr>
                <w:rFonts w:ascii="宋体" w:hAnsi="宋体" w:cs="宋体"/>
                <w:kern w:val="0"/>
                <w:sz w:val="24"/>
                <w:szCs w:val="24"/>
              </w:rPr>
              <w:t>100%</w:t>
            </w:r>
            <w:r>
              <w:rPr>
                <w:rFonts w:hint="eastAsia" w:ascii="宋体" w:hAnsi="宋体" w:cs="宋体"/>
                <w:kern w:val="0"/>
                <w:sz w:val="24"/>
                <w:szCs w:val="24"/>
              </w:rPr>
              <w:t>为标准。在职人员控制率≦</w:t>
            </w:r>
            <w:r>
              <w:rPr>
                <w:rFonts w:ascii="宋体" w:hAnsi="宋体" w:cs="宋体"/>
                <w:kern w:val="0"/>
                <w:sz w:val="24"/>
                <w:szCs w:val="24"/>
              </w:rPr>
              <w:t>100%</w:t>
            </w:r>
            <w:r>
              <w:rPr>
                <w:rFonts w:hint="eastAsia" w:ascii="宋体" w:hAnsi="宋体" w:cs="宋体"/>
                <w:kern w:val="0"/>
                <w:sz w:val="24"/>
                <w:szCs w:val="24"/>
              </w:rPr>
              <w:t>，计</w:t>
            </w:r>
            <w:r>
              <w:rPr>
                <w:rFonts w:ascii="宋体" w:hAnsi="宋体" w:cs="宋体"/>
                <w:kern w:val="0"/>
                <w:sz w:val="24"/>
                <w:szCs w:val="24"/>
              </w:rPr>
              <w:t>5</w:t>
            </w:r>
            <w:r>
              <w:rPr>
                <w:rFonts w:hint="eastAsia" w:ascii="宋体" w:hAnsi="宋体" w:cs="宋体"/>
                <w:kern w:val="0"/>
                <w:sz w:val="24"/>
                <w:szCs w:val="24"/>
              </w:rPr>
              <w:t>分；每超过一个百分点扣</w:t>
            </w:r>
            <w:r>
              <w:rPr>
                <w:rFonts w:ascii="宋体" w:hAnsi="宋体" w:cs="宋体"/>
                <w:kern w:val="0"/>
                <w:sz w:val="24"/>
                <w:szCs w:val="24"/>
              </w:rPr>
              <w:t>0.5</w:t>
            </w:r>
            <w:r>
              <w:rPr>
                <w:rFonts w:hint="eastAsia" w:ascii="宋体" w:hAnsi="宋体" w:cs="宋体"/>
                <w:kern w:val="0"/>
                <w:sz w:val="24"/>
                <w:szCs w:val="24"/>
              </w:rPr>
              <w:t>分，扣完为止。</w:t>
            </w:r>
          </w:p>
        </w:tc>
        <w:tc>
          <w:tcPr>
            <w:tcW w:w="331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在职人员控制率</w:t>
            </w:r>
            <w:r>
              <w:rPr>
                <w:rFonts w:ascii="宋体" w:hAnsi="宋体" w:cs="宋体"/>
                <w:kern w:val="0"/>
                <w:sz w:val="24"/>
                <w:szCs w:val="24"/>
              </w:rPr>
              <w:t>=</w:t>
            </w:r>
            <w:r>
              <w:rPr>
                <w:rFonts w:hint="eastAsia" w:ascii="宋体" w:hAnsi="宋体" w:cs="宋体"/>
                <w:kern w:val="0"/>
                <w:sz w:val="24"/>
                <w:szCs w:val="24"/>
              </w:rPr>
              <w:t>（在职人员数</w:t>
            </w:r>
            <w:r>
              <w:rPr>
                <w:rFonts w:ascii="宋体" w:hAnsi="宋体" w:cs="宋体"/>
                <w:kern w:val="0"/>
                <w:sz w:val="24"/>
                <w:szCs w:val="24"/>
              </w:rPr>
              <w:t>/</w:t>
            </w:r>
            <w:r>
              <w:rPr>
                <w:rFonts w:hint="eastAsia" w:ascii="宋体" w:hAnsi="宋体" w:cs="宋体"/>
                <w:kern w:val="0"/>
                <w:sz w:val="24"/>
                <w:szCs w:val="24"/>
              </w:rPr>
              <w:t>编制数）×</w:t>
            </w:r>
            <w:r>
              <w:rPr>
                <w:rFonts w:ascii="宋体" w:hAnsi="宋体" w:cs="宋体"/>
                <w:kern w:val="0"/>
                <w:sz w:val="24"/>
                <w:szCs w:val="24"/>
              </w:rPr>
              <w:t>100%</w:t>
            </w:r>
            <w:r>
              <w:rPr>
                <w:rFonts w:hint="eastAsia" w:ascii="宋体" w:hAnsi="宋体" w:cs="宋体"/>
                <w:kern w:val="0"/>
                <w:sz w:val="24"/>
                <w:szCs w:val="24"/>
              </w:rPr>
              <w:t>，在职人员数：部门（单位）实际在职人数，以财政局确定的部门决算编制口径为准。</w:t>
            </w:r>
            <w:r>
              <w:rPr>
                <w:rFonts w:ascii="宋体" w:hAnsi="宋体"/>
                <w:kern w:val="0"/>
                <w:sz w:val="24"/>
                <w:szCs w:val="24"/>
              </w:rPr>
              <w:br w:type="textWrapping"/>
            </w:r>
            <w:r>
              <w:rPr>
                <w:rFonts w:hint="eastAsia" w:ascii="宋体" w:hAnsi="宋体" w:cs="宋体"/>
                <w:kern w:val="0"/>
                <w:sz w:val="24"/>
                <w:szCs w:val="24"/>
              </w:rPr>
              <w:t>编制数：机构编制部门核定批复的部门（单位）的人员编制数。</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5　</w:t>
            </w:r>
          </w:p>
        </w:tc>
      </w:tr>
      <w:tr>
        <w:tblPrEx>
          <w:tblCellMar>
            <w:top w:w="0" w:type="dxa"/>
            <w:left w:w="108" w:type="dxa"/>
            <w:bottom w:w="0" w:type="dxa"/>
            <w:right w:w="108" w:type="dxa"/>
          </w:tblCellMar>
        </w:tblPrEx>
        <w:trPr>
          <w:trHeight w:val="1418"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“三公经费”变动率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“三公经费”变动率≦</w:t>
            </w:r>
            <w:r>
              <w:rPr>
                <w:rFonts w:ascii="宋体" w:hAnsi="宋体" w:cs="宋体"/>
                <w:kern w:val="0"/>
                <w:sz w:val="24"/>
                <w:szCs w:val="24"/>
              </w:rPr>
              <w:t>0,</w:t>
            </w:r>
            <w:r>
              <w:rPr>
                <w:rFonts w:hint="eastAsia" w:ascii="宋体" w:hAnsi="宋体" w:cs="宋体"/>
                <w:kern w:val="0"/>
                <w:sz w:val="24"/>
                <w:szCs w:val="24"/>
              </w:rPr>
              <w:t>计</w:t>
            </w:r>
            <w:r>
              <w:rPr>
                <w:rFonts w:ascii="宋体" w:hAnsi="宋体" w:cs="宋体"/>
                <w:kern w:val="0"/>
                <w:sz w:val="24"/>
                <w:szCs w:val="24"/>
              </w:rPr>
              <w:t>8</w:t>
            </w:r>
            <w:r>
              <w:rPr>
                <w:rFonts w:hint="eastAsia" w:ascii="宋体" w:hAnsi="宋体" w:cs="宋体"/>
                <w:kern w:val="0"/>
                <w:sz w:val="24"/>
                <w:szCs w:val="24"/>
              </w:rPr>
              <w:t>分；“三公经费”＞</w:t>
            </w:r>
            <w:r>
              <w:rPr>
                <w:rFonts w:ascii="宋体" w:hAnsi="宋体" w:cs="宋体"/>
                <w:kern w:val="0"/>
                <w:sz w:val="24"/>
                <w:szCs w:val="24"/>
              </w:rPr>
              <w:t>0</w:t>
            </w:r>
            <w:r>
              <w:rPr>
                <w:rFonts w:hint="eastAsia" w:ascii="宋体" w:hAnsi="宋体" w:cs="宋体"/>
                <w:kern w:val="0"/>
                <w:sz w:val="24"/>
                <w:szCs w:val="24"/>
              </w:rPr>
              <w:t>，每超过一个百分点扣</w:t>
            </w:r>
            <w:r>
              <w:rPr>
                <w:rFonts w:ascii="宋体" w:hAnsi="宋体" w:cs="宋体"/>
                <w:kern w:val="0"/>
                <w:sz w:val="24"/>
                <w:szCs w:val="24"/>
              </w:rPr>
              <w:t>0.8</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“三公经费”变动率</w:t>
            </w:r>
            <w:r>
              <w:rPr>
                <w:rFonts w:ascii="宋体" w:hAnsi="宋体" w:cs="宋体"/>
                <w:kern w:val="0"/>
                <w:sz w:val="24"/>
                <w:szCs w:val="24"/>
              </w:rPr>
              <w:t>=[</w:t>
            </w:r>
            <w:r>
              <w:rPr>
                <w:rFonts w:hint="eastAsia" w:ascii="宋体" w:hAnsi="宋体" w:cs="宋体"/>
                <w:kern w:val="0"/>
                <w:sz w:val="24"/>
                <w:szCs w:val="24"/>
              </w:rPr>
              <w:t>（本年度“三公经费”预算数</w:t>
            </w:r>
            <w:r>
              <w:rPr>
                <w:rFonts w:ascii="宋体" w:hAnsi="宋体" w:cs="宋体"/>
                <w:kern w:val="0"/>
                <w:sz w:val="24"/>
                <w:szCs w:val="24"/>
              </w:rPr>
              <w:t>-</w:t>
            </w:r>
            <w:r>
              <w:rPr>
                <w:rFonts w:hint="eastAsia" w:ascii="宋体" w:hAnsi="宋体" w:cs="宋体"/>
                <w:kern w:val="0"/>
                <w:sz w:val="24"/>
                <w:szCs w:val="24"/>
              </w:rPr>
              <w:t>上年度“三公经费”预算数）</w:t>
            </w:r>
            <w:r>
              <w:rPr>
                <w:rFonts w:ascii="宋体" w:hAnsi="宋体" w:cs="宋体"/>
                <w:kern w:val="0"/>
                <w:sz w:val="24"/>
                <w:szCs w:val="24"/>
              </w:rPr>
              <w:t>/</w:t>
            </w:r>
            <w:r>
              <w:rPr>
                <w:rFonts w:hint="eastAsia" w:ascii="宋体" w:hAnsi="宋体" w:cs="宋体"/>
                <w:kern w:val="0"/>
                <w:sz w:val="24"/>
                <w:szCs w:val="24"/>
              </w:rPr>
              <w:t>上年度“三公经费”预算数</w:t>
            </w:r>
            <w:r>
              <w:rPr>
                <w:rFonts w:ascii="宋体" w:hAnsi="宋体" w:cs="宋体"/>
                <w:kern w:val="0"/>
                <w:sz w:val="24"/>
                <w:szCs w:val="24"/>
              </w:rPr>
              <w:t>]</w:t>
            </w:r>
            <w:r>
              <w:rPr>
                <w:rFonts w:hint="eastAsia" w:ascii="宋体" w:hAnsi="宋体" w:cs="宋体"/>
                <w:kern w:val="0"/>
                <w:sz w:val="24"/>
                <w:szCs w:val="24"/>
              </w:rPr>
              <w:t>×</w:t>
            </w:r>
            <w:r>
              <w:rPr>
                <w:rFonts w:ascii="宋体" w:hAnsi="宋体" w:cs="宋体"/>
                <w:kern w:val="0"/>
                <w:sz w:val="24"/>
                <w:szCs w:val="24"/>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过程</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61</w:t>
            </w: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预算执行</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20</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预算完成率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计满分，每低于</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预算完成率</w:t>
            </w:r>
            <w:r>
              <w:rPr>
                <w:rFonts w:ascii="宋体" w:hAnsi="宋体" w:cs="宋体"/>
                <w:kern w:val="0"/>
                <w:sz w:val="24"/>
                <w:szCs w:val="24"/>
              </w:rPr>
              <w:t>=</w:t>
            </w:r>
            <w:r>
              <w:rPr>
                <w:rFonts w:hint="eastAsia" w:ascii="宋体" w:hAnsi="宋体" w:cs="宋体"/>
                <w:kern w:val="0"/>
                <w:sz w:val="24"/>
                <w:szCs w:val="24"/>
              </w:rPr>
              <w:t>（上年结转</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w:t>
            </w:r>
            <w:r>
              <w:rPr>
                <w:rFonts w:hint="eastAsia" w:ascii="宋体" w:hAnsi="宋体" w:cs="宋体"/>
                <w:kern w:val="0"/>
                <w:sz w:val="24"/>
                <w:szCs w:val="24"/>
              </w:rPr>
              <w:t>年末结余）</w:t>
            </w:r>
            <w:r>
              <w:rPr>
                <w:rFonts w:ascii="宋体" w:hAnsi="宋体" w:cs="宋体"/>
                <w:kern w:val="0"/>
                <w:sz w:val="24"/>
                <w:szCs w:val="24"/>
              </w:rPr>
              <w:t>/</w:t>
            </w:r>
            <w:r>
              <w:rPr>
                <w:rFonts w:hint="eastAsia" w:ascii="宋体" w:hAnsi="宋体" w:cs="宋体"/>
                <w:kern w:val="0"/>
                <w:sz w:val="24"/>
                <w:szCs w:val="24"/>
              </w:rPr>
              <w:t>（上年结转</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1</w:t>
            </w:r>
          </w:p>
        </w:tc>
      </w:tr>
      <w:tr>
        <w:tblPrEx>
          <w:tblCellMar>
            <w:top w:w="0" w:type="dxa"/>
            <w:left w:w="108" w:type="dxa"/>
            <w:bottom w:w="0" w:type="dxa"/>
            <w:right w:w="108" w:type="dxa"/>
          </w:tblCellMar>
        </w:tblPrEx>
        <w:trPr>
          <w:trHeight w:val="12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预算控制率</w:t>
            </w:r>
            <w:r>
              <w:rPr>
                <w:rFonts w:ascii="宋体" w:hAnsi="宋体" w:cs="宋体"/>
                <w:kern w:val="0"/>
                <w:sz w:val="24"/>
                <w:szCs w:val="24"/>
              </w:rPr>
              <w:t>=0</w:t>
            </w:r>
            <w:r>
              <w:rPr>
                <w:rFonts w:hint="eastAsia" w:ascii="宋体" w:hAnsi="宋体" w:cs="宋体"/>
                <w:kern w:val="0"/>
                <w:sz w:val="24"/>
                <w:szCs w:val="24"/>
              </w:rPr>
              <w:t>，计</w:t>
            </w:r>
            <w:r>
              <w:rPr>
                <w:rFonts w:ascii="宋体" w:hAnsi="宋体" w:cs="宋体"/>
                <w:kern w:val="0"/>
                <w:sz w:val="24"/>
                <w:szCs w:val="24"/>
              </w:rPr>
              <w:t>5</w:t>
            </w:r>
            <w:r>
              <w:rPr>
                <w:rFonts w:hint="eastAsia" w:ascii="宋体" w:hAnsi="宋体" w:cs="宋体"/>
                <w:kern w:val="0"/>
                <w:sz w:val="24"/>
                <w:szCs w:val="24"/>
              </w:rPr>
              <w:t>分；</w:t>
            </w:r>
            <w:r>
              <w:rPr>
                <w:rFonts w:ascii="宋体" w:hAnsi="宋体" w:cs="宋体"/>
                <w:kern w:val="0"/>
                <w:sz w:val="24"/>
                <w:szCs w:val="24"/>
              </w:rPr>
              <w:t>0-10%</w:t>
            </w:r>
            <w:r>
              <w:rPr>
                <w:rFonts w:hint="eastAsia" w:ascii="宋体" w:hAnsi="宋体" w:cs="宋体"/>
                <w:kern w:val="0"/>
                <w:sz w:val="24"/>
                <w:szCs w:val="24"/>
              </w:rPr>
              <w:t>（含），计</w:t>
            </w:r>
            <w:r>
              <w:rPr>
                <w:rFonts w:ascii="宋体" w:hAnsi="宋体" w:cs="宋体"/>
                <w:kern w:val="0"/>
                <w:sz w:val="24"/>
                <w:szCs w:val="24"/>
              </w:rPr>
              <w:t>4</w:t>
            </w:r>
            <w:r>
              <w:rPr>
                <w:rFonts w:hint="eastAsia" w:ascii="宋体" w:hAnsi="宋体" w:cs="宋体"/>
                <w:kern w:val="0"/>
                <w:sz w:val="24"/>
                <w:szCs w:val="24"/>
              </w:rPr>
              <w:t>分；</w:t>
            </w:r>
            <w:r>
              <w:rPr>
                <w:rFonts w:ascii="宋体" w:hAnsi="宋体" w:cs="宋体"/>
                <w:kern w:val="0"/>
                <w:sz w:val="24"/>
                <w:szCs w:val="24"/>
              </w:rPr>
              <w:t>10-20%</w:t>
            </w:r>
            <w:r>
              <w:rPr>
                <w:rFonts w:hint="eastAsia" w:ascii="宋体" w:hAnsi="宋体" w:cs="宋体"/>
                <w:kern w:val="0"/>
                <w:sz w:val="24"/>
                <w:szCs w:val="24"/>
              </w:rPr>
              <w:t>（含），计</w:t>
            </w:r>
            <w:r>
              <w:rPr>
                <w:rFonts w:ascii="宋体" w:hAnsi="宋体" w:cs="宋体"/>
                <w:kern w:val="0"/>
                <w:sz w:val="24"/>
                <w:szCs w:val="24"/>
              </w:rPr>
              <w:t>3</w:t>
            </w:r>
            <w:r>
              <w:rPr>
                <w:rFonts w:hint="eastAsia" w:ascii="宋体" w:hAnsi="宋体" w:cs="宋体"/>
                <w:kern w:val="0"/>
                <w:sz w:val="24"/>
                <w:szCs w:val="24"/>
              </w:rPr>
              <w:t>分；</w:t>
            </w:r>
            <w:r>
              <w:rPr>
                <w:rFonts w:ascii="宋体" w:hAnsi="宋体" w:cs="宋体"/>
                <w:kern w:val="0"/>
                <w:sz w:val="24"/>
                <w:szCs w:val="24"/>
              </w:rPr>
              <w:t>20-30%</w:t>
            </w:r>
            <w:r>
              <w:rPr>
                <w:rFonts w:hint="eastAsia" w:ascii="宋体" w:hAnsi="宋体" w:cs="宋体"/>
                <w:kern w:val="0"/>
                <w:sz w:val="24"/>
                <w:szCs w:val="24"/>
              </w:rPr>
              <w:t>（含），计</w:t>
            </w:r>
            <w:r>
              <w:rPr>
                <w:rFonts w:ascii="宋体" w:hAnsi="宋体" w:cs="宋体"/>
                <w:kern w:val="0"/>
                <w:sz w:val="24"/>
                <w:szCs w:val="24"/>
              </w:rPr>
              <w:t>2</w:t>
            </w:r>
            <w:r>
              <w:rPr>
                <w:rFonts w:hint="eastAsia" w:ascii="宋体" w:hAnsi="宋体" w:cs="宋体"/>
                <w:kern w:val="0"/>
                <w:sz w:val="24"/>
                <w:szCs w:val="24"/>
              </w:rPr>
              <w:t>分；大于</w:t>
            </w:r>
            <w:r>
              <w:rPr>
                <w:rFonts w:ascii="宋体" w:hAnsi="宋体" w:cs="宋体"/>
                <w:kern w:val="0"/>
                <w:sz w:val="24"/>
                <w:szCs w:val="24"/>
              </w:rPr>
              <w:t>30%</w:t>
            </w:r>
            <w:r>
              <w:rPr>
                <w:rFonts w:hint="eastAsia" w:ascii="宋体" w:hAnsi="宋体" w:cs="宋体"/>
                <w:kern w:val="0"/>
                <w:sz w:val="24"/>
                <w:szCs w:val="24"/>
              </w:rPr>
              <w:t>不得分。</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预算控制率</w:t>
            </w:r>
            <w:r>
              <w:rPr>
                <w:rFonts w:ascii="宋体" w:hAnsi="宋体" w:cs="宋体"/>
                <w:kern w:val="0"/>
                <w:sz w:val="24"/>
                <w:szCs w:val="24"/>
              </w:rPr>
              <w:t>=</w:t>
            </w:r>
            <w:r>
              <w:rPr>
                <w:rFonts w:hint="eastAsia" w:ascii="宋体" w:hAnsi="宋体" w:cs="宋体"/>
                <w:kern w:val="0"/>
                <w:sz w:val="24"/>
                <w:szCs w:val="24"/>
              </w:rPr>
              <w:t>（本年追加预算</w:t>
            </w:r>
            <w:r>
              <w:rPr>
                <w:rFonts w:ascii="宋体" w:hAnsi="宋体" w:cs="宋体"/>
                <w:kern w:val="0"/>
                <w:sz w:val="24"/>
                <w:szCs w:val="24"/>
              </w:rPr>
              <w:t>/</w:t>
            </w:r>
            <w:r>
              <w:rPr>
                <w:rFonts w:hint="eastAsia" w:ascii="宋体" w:hAnsi="宋体" w:cs="宋体"/>
                <w:kern w:val="0"/>
                <w:sz w:val="24"/>
                <w:szCs w:val="24"/>
              </w:rPr>
              <w:t>年初预算）×</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vAlign w:val="center"/>
          </w:tcPr>
          <w:p>
            <w:pPr>
              <w:widowControl/>
              <w:spacing w:line="300" w:lineRule="exact"/>
              <w:jc w:val="right"/>
              <w:rPr>
                <w:rFonts w:ascii="宋体" w:hAnsi="宋体"/>
                <w:kern w:val="0"/>
                <w:sz w:val="24"/>
                <w:szCs w:val="24"/>
              </w:rPr>
            </w:pPr>
            <w:r>
              <w:rPr>
                <w:rFonts w:ascii="宋体" w:hAnsi="宋体" w:cs="宋体"/>
                <w:kern w:val="0"/>
                <w:sz w:val="24"/>
                <w:szCs w:val="24"/>
              </w:rPr>
              <w:t>3</w:t>
            </w:r>
          </w:p>
        </w:tc>
      </w:tr>
      <w:tr>
        <w:tblPrEx>
          <w:tblCellMar>
            <w:top w:w="0" w:type="dxa"/>
            <w:left w:w="108" w:type="dxa"/>
            <w:bottom w:w="0" w:type="dxa"/>
            <w:right w:w="108" w:type="dxa"/>
          </w:tblCellMar>
        </w:tblPrEx>
        <w:trPr>
          <w:trHeight w:val="1160"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新建楼堂馆所面积控制率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分，扣完为止。没有楼堂馆所项目的部门按满分计算。</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楼堂馆所面积控制率</w:t>
            </w:r>
            <w:r>
              <w:rPr>
                <w:rFonts w:ascii="宋体" w:hAnsi="宋体" w:cs="宋体"/>
                <w:kern w:val="0"/>
                <w:sz w:val="24"/>
                <w:szCs w:val="24"/>
              </w:rPr>
              <w:t>=</w:t>
            </w:r>
            <w:r>
              <w:rPr>
                <w:rFonts w:hint="eastAsia" w:ascii="宋体" w:hAnsi="宋体" w:cs="宋体"/>
                <w:kern w:val="0"/>
                <w:sz w:val="24"/>
                <w:szCs w:val="24"/>
              </w:rPr>
              <w:t>实际建设面积</w:t>
            </w:r>
            <w:r>
              <w:rPr>
                <w:rFonts w:ascii="宋体" w:hAnsi="宋体" w:cs="宋体"/>
                <w:kern w:val="0"/>
                <w:sz w:val="24"/>
                <w:szCs w:val="24"/>
              </w:rPr>
              <w:t>/</w:t>
            </w:r>
            <w:r>
              <w:rPr>
                <w:rFonts w:hint="eastAsia" w:ascii="宋体" w:hAnsi="宋体" w:cs="宋体"/>
                <w:kern w:val="0"/>
                <w:sz w:val="24"/>
                <w:szCs w:val="24"/>
              </w:rPr>
              <w:t>批准建设面积×</w:t>
            </w:r>
            <w:r>
              <w:rPr>
                <w:rFonts w:ascii="宋体" w:hAnsi="宋体" w:cs="宋体"/>
                <w:kern w:val="0"/>
                <w:sz w:val="24"/>
                <w:szCs w:val="24"/>
              </w:rPr>
              <w:t xml:space="preserve">100% </w:t>
            </w:r>
            <w:r>
              <w:rPr>
                <w:rFonts w:hint="eastAsia" w:ascii="宋体" w:hAnsi="宋体" w:cs="宋体"/>
                <w:kern w:val="0"/>
                <w:sz w:val="24"/>
                <w:szCs w:val="24"/>
              </w:rPr>
              <w:t>。</w:t>
            </w:r>
            <w:r>
              <w:rPr>
                <w:rFonts w:ascii="宋体" w:hAnsi="宋体"/>
                <w:kern w:val="0"/>
                <w:sz w:val="24"/>
                <w:szCs w:val="24"/>
              </w:rPr>
              <w:br w:type="textWrapping"/>
            </w:r>
            <w:r>
              <w:rPr>
                <w:rFonts w:hint="eastAsia" w:ascii="宋体" w:hAnsi="宋体" w:cs="宋体"/>
                <w:kern w:val="0"/>
                <w:sz w:val="24"/>
                <w:szCs w:val="24"/>
              </w:rPr>
              <w:t>该指标以</w:t>
            </w:r>
            <w:r>
              <w:rPr>
                <w:rFonts w:ascii="宋体" w:hAnsi="宋体" w:cs="宋体"/>
                <w:kern w:val="0"/>
                <w:sz w:val="24"/>
                <w:szCs w:val="24"/>
              </w:rPr>
              <w:t>2015</w:t>
            </w:r>
            <w:r>
              <w:rPr>
                <w:rFonts w:hint="eastAsia" w:ascii="宋体" w:hAnsi="宋体" w:cs="宋体"/>
                <w:kern w:val="0"/>
                <w:sz w:val="24"/>
                <w:szCs w:val="24"/>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CellMar>
            <w:top w:w="0" w:type="dxa"/>
            <w:left w:w="108" w:type="dxa"/>
            <w:bottom w:w="0" w:type="dxa"/>
            <w:right w:w="108" w:type="dxa"/>
          </w:tblCellMar>
        </w:tblPrEx>
        <w:trPr>
          <w:trHeight w:val="1306"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新建楼堂馆所投资概算控制率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楼堂馆所投资预算控制率</w:t>
            </w:r>
            <w:r>
              <w:rPr>
                <w:rFonts w:ascii="宋体" w:hAnsi="宋体" w:cs="宋体"/>
                <w:kern w:val="0"/>
                <w:sz w:val="24"/>
                <w:szCs w:val="24"/>
              </w:rPr>
              <w:t>=</w:t>
            </w:r>
            <w:r>
              <w:rPr>
                <w:rFonts w:hint="eastAsia" w:ascii="宋体" w:hAnsi="宋体" w:cs="宋体"/>
                <w:kern w:val="0"/>
                <w:sz w:val="24"/>
                <w:szCs w:val="24"/>
              </w:rPr>
              <w:t>实际投资金额</w:t>
            </w:r>
            <w:r>
              <w:rPr>
                <w:rFonts w:ascii="宋体" w:hAnsi="宋体" w:cs="宋体"/>
                <w:kern w:val="0"/>
                <w:sz w:val="24"/>
                <w:szCs w:val="24"/>
              </w:rPr>
              <w:t>/</w:t>
            </w:r>
            <w:r>
              <w:rPr>
                <w:rFonts w:hint="eastAsia" w:ascii="宋体" w:hAnsi="宋体" w:cs="宋体"/>
                <w:kern w:val="0"/>
                <w:sz w:val="24"/>
                <w:szCs w:val="24"/>
              </w:rPr>
              <w:t>批准投资金额×</w:t>
            </w:r>
            <w:r>
              <w:rPr>
                <w:rFonts w:ascii="宋体" w:hAnsi="宋体" w:cs="宋体"/>
                <w:kern w:val="0"/>
                <w:sz w:val="24"/>
                <w:szCs w:val="24"/>
              </w:rPr>
              <w:t xml:space="preserve">100% </w:t>
            </w:r>
            <w:r>
              <w:rPr>
                <w:rFonts w:hint="eastAsia" w:ascii="宋体" w:hAnsi="宋体" w:cs="宋体"/>
                <w:kern w:val="0"/>
                <w:sz w:val="24"/>
                <w:szCs w:val="24"/>
              </w:rPr>
              <w:t>。</w:t>
            </w:r>
            <w:r>
              <w:rPr>
                <w:rFonts w:ascii="宋体" w:hAnsi="宋体"/>
                <w:kern w:val="0"/>
                <w:sz w:val="24"/>
                <w:szCs w:val="24"/>
              </w:rPr>
              <w:br w:type="textWrapping"/>
            </w:r>
            <w:r>
              <w:rPr>
                <w:rFonts w:hint="eastAsia" w:ascii="宋体" w:hAnsi="宋体" w:cs="宋体"/>
                <w:kern w:val="0"/>
                <w:sz w:val="24"/>
                <w:szCs w:val="24"/>
              </w:rPr>
              <w:t>该指标以</w:t>
            </w:r>
            <w:r>
              <w:rPr>
                <w:rFonts w:ascii="宋体" w:hAnsi="宋体" w:cs="宋体"/>
                <w:kern w:val="0"/>
                <w:sz w:val="24"/>
                <w:szCs w:val="24"/>
              </w:rPr>
              <w:t>2015</w:t>
            </w:r>
            <w:r>
              <w:rPr>
                <w:rFonts w:hint="eastAsia" w:ascii="宋体" w:hAnsi="宋体" w:cs="宋体"/>
                <w:kern w:val="0"/>
                <w:sz w:val="24"/>
                <w:szCs w:val="24"/>
              </w:rPr>
              <w:t>年完工的新建楼堂馆所为评价内容。</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CellMar>
            <w:top w:w="0" w:type="dxa"/>
            <w:left w:w="108" w:type="dxa"/>
            <w:bottom w:w="0" w:type="dxa"/>
            <w:right w:w="108" w:type="dxa"/>
          </w:tblCellMar>
        </w:tblPrEx>
        <w:trPr>
          <w:trHeight w:val="1672"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hint="eastAsia" w:ascii="宋体" w:hAnsi="宋体" w:cs="宋体"/>
                <w:kern w:val="0"/>
                <w:sz w:val="24"/>
                <w:szCs w:val="24"/>
              </w:rPr>
              <w:t>预算管理</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41</w:t>
            </w: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公用经费控制率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1%</w:t>
            </w:r>
            <w:r>
              <w:rPr>
                <w:rFonts w:hint="eastAsia" w:ascii="宋体" w:hAnsi="宋体" w:cs="宋体"/>
                <w:kern w:val="0"/>
                <w:sz w:val="24"/>
                <w:szCs w:val="24"/>
              </w:rPr>
              <w:t>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公用经费控制率</w:t>
            </w:r>
            <w:r>
              <w:rPr>
                <w:rFonts w:ascii="宋体" w:hAnsi="宋体" w:cs="宋体"/>
                <w:kern w:val="0"/>
                <w:sz w:val="24"/>
                <w:szCs w:val="24"/>
              </w:rPr>
              <w:t>=</w:t>
            </w:r>
            <w:r>
              <w:rPr>
                <w:rFonts w:hint="eastAsia" w:ascii="宋体" w:hAnsi="宋体" w:cs="宋体"/>
                <w:kern w:val="0"/>
                <w:sz w:val="24"/>
                <w:szCs w:val="24"/>
              </w:rPr>
              <w:t>（实际支出公用经费总额</w:t>
            </w:r>
            <w:r>
              <w:rPr>
                <w:rFonts w:ascii="宋体" w:hAnsi="宋体" w:cs="宋体"/>
                <w:kern w:val="0"/>
                <w:sz w:val="24"/>
                <w:szCs w:val="24"/>
              </w:rPr>
              <w:t>/</w:t>
            </w:r>
            <w:r>
              <w:rPr>
                <w:rFonts w:hint="eastAsia" w:ascii="宋体" w:hAnsi="宋体" w:cs="宋体"/>
                <w:kern w:val="0"/>
                <w:sz w:val="24"/>
                <w:szCs w:val="24"/>
              </w:rPr>
              <w:t>预算安排公用经费总额）×</w:t>
            </w:r>
            <w:r>
              <w:rPr>
                <w:rFonts w:ascii="宋体" w:hAnsi="宋体" w:cs="宋体"/>
                <w:kern w:val="0"/>
                <w:sz w:val="24"/>
                <w:szCs w:val="24"/>
              </w:rPr>
              <w:t>100%</w:t>
            </w:r>
            <w:r>
              <w:rPr>
                <w:rFonts w:hint="eastAsia" w:ascii="宋体" w:hAnsi="宋体" w:cs="宋体"/>
                <w:kern w:val="0"/>
                <w:sz w:val="24"/>
                <w:szCs w:val="24"/>
              </w:rPr>
              <w:t>。</w:t>
            </w:r>
            <w:r>
              <w:rPr>
                <w:rFonts w:ascii="宋体" w:hAnsi="宋体"/>
                <w:kern w:val="0"/>
                <w:sz w:val="24"/>
                <w:szCs w:val="24"/>
              </w:rPr>
              <w:br w:type="textWrapping"/>
            </w:r>
            <w:r>
              <w:rPr>
                <w:rFonts w:hint="eastAsia" w:ascii="宋体" w:hAnsi="宋体" w:cs="宋体"/>
                <w:kern w:val="0"/>
                <w:sz w:val="24"/>
                <w:szCs w:val="24"/>
              </w:rPr>
              <w:t>公用经费支出是指部门基本支出中的一般商品和服务支出。</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trHeight w:val="1073"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“三公经费”控制率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以下（含）计满分，每超出</w:t>
            </w:r>
            <w:r>
              <w:rPr>
                <w:rFonts w:ascii="宋体" w:hAnsi="宋体" w:cs="宋体"/>
                <w:kern w:val="0"/>
                <w:sz w:val="24"/>
                <w:szCs w:val="24"/>
              </w:rPr>
              <w:t>1%</w:t>
            </w:r>
            <w:r>
              <w:rPr>
                <w:rFonts w:hint="eastAsia" w:ascii="宋体" w:hAnsi="宋体" w:cs="宋体"/>
                <w:kern w:val="0"/>
                <w:sz w:val="24"/>
                <w:szCs w:val="24"/>
              </w:rPr>
              <w:t>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“三公经费”控制率</w:t>
            </w:r>
            <w:r>
              <w:rPr>
                <w:rFonts w:ascii="宋体" w:hAnsi="宋体" w:cs="宋体"/>
                <w:kern w:val="0"/>
                <w:sz w:val="24"/>
                <w:szCs w:val="24"/>
              </w:rPr>
              <w:t>-</w:t>
            </w:r>
            <w:r>
              <w:rPr>
                <w:rFonts w:hint="eastAsia" w:ascii="宋体" w:hAnsi="宋体" w:cs="宋体"/>
                <w:kern w:val="0"/>
                <w:sz w:val="24"/>
                <w:szCs w:val="24"/>
              </w:rPr>
              <w:t>（“三公经费”实际支出数</w:t>
            </w:r>
            <w:r>
              <w:rPr>
                <w:rFonts w:ascii="宋体" w:hAnsi="宋体" w:cs="宋体"/>
                <w:kern w:val="0"/>
                <w:sz w:val="24"/>
                <w:szCs w:val="24"/>
              </w:rPr>
              <w:t>/</w:t>
            </w:r>
            <w:r>
              <w:rPr>
                <w:rFonts w:hint="eastAsia" w:ascii="宋体" w:hAnsi="宋体" w:cs="宋体"/>
                <w:kern w:val="0"/>
                <w:sz w:val="24"/>
                <w:szCs w:val="24"/>
              </w:rPr>
              <w:t>“三公经费”预算安排数）×</w:t>
            </w:r>
            <w:r>
              <w:rPr>
                <w:rFonts w:ascii="宋体" w:hAnsi="宋体" w:cs="宋体"/>
                <w:kern w:val="0"/>
                <w:sz w:val="24"/>
                <w:szCs w:val="24"/>
              </w:rPr>
              <w:t>100%</w:t>
            </w:r>
            <w:r>
              <w:rPr>
                <w:rFonts w:hint="eastAsia" w:ascii="宋体" w:hAnsi="宋体" w:cs="宋体"/>
                <w:kern w:val="0"/>
                <w:sz w:val="24"/>
                <w:szCs w:val="24"/>
              </w:rPr>
              <w:t>。</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trHeight w:val="1085" w:hRule="atLeast"/>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政府采购执行率</w:t>
            </w:r>
          </w:p>
        </w:tc>
        <w:tc>
          <w:tcPr>
            <w:tcW w:w="51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100%</w:t>
            </w:r>
            <w:r>
              <w:rPr>
                <w:rFonts w:hint="eastAsia" w:ascii="宋体" w:hAnsi="宋体" w:cs="宋体"/>
                <w:kern w:val="0"/>
                <w:sz w:val="24"/>
                <w:szCs w:val="24"/>
              </w:rPr>
              <w:t>计满分，每超过（降低）</w:t>
            </w:r>
            <w:r>
              <w:rPr>
                <w:rFonts w:ascii="宋体" w:hAnsi="宋体" w:cs="宋体"/>
                <w:kern w:val="0"/>
                <w:sz w:val="24"/>
                <w:szCs w:val="24"/>
              </w:rPr>
              <w:t>5%</w:t>
            </w:r>
            <w:r>
              <w:rPr>
                <w:rFonts w:hint="eastAsia" w:ascii="宋体" w:hAnsi="宋体" w:cs="宋体"/>
                <w:kern w:val="0"/>
                <w:sz w:val="24"/>
                <w:szCs w:val="24"/>
              </w:rPr>
              <w:t>扣</w:t>
            </w:r>
            <w:r>
              <w:rPr>
                <w:rFonts w:ascii="宋体" w:hAnsi="宋体" w:cs="宋体"/>
                <w:kern w:val="0"/>
                <w:sz w:val="24"/>
                <w:szCs w:val="24"/>
              </w:rPr>
              <w:t>2</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政府采购执行率</w:t>
            </w:r>
            <w:r>
              <w:rPr>
                <w:rFonts w:ascii="宋体" w:hAnsi="宋体" w:cs="宋体"/>
                <w:kern w:val="0"/>
                <w:sz w:val="24"/>
                <w:szCs w:val="24"/>
              </w:rPr>
              <w:t>=</w:t>
            </w:r>
            <w:r>
              <w:rPr>
                <w:rFonts w:hint="eastAsia" w:ascii="宋体" w:hAnsi="宋体" w:cs="宋体"/>
                <w:kern w:val="0"/>
                <w:sz w:val="24"/>
                <w:szCs w:val="24"/>
              </w:rPr>
              <w:t>（实际政府采购金额</w:t>
            </w:r>
            <w:r>
              <w:rPr>
                <w:rFonts w:ascii="宋体" w:hAnsi="宋体" w:cs="宋体"/>
                <w:kern w:val="0"/>
                <w:sz w:val="24"/>
                <w:szCs w:val="24"/>
              </w:rPr>
              <w:t>/</w:t>
            </w:r>
            <w:r>
              <w:rPr>
                <w:rFonts w:hint="eastAsia" w:ascii="宋体" w:hAnsi="宋体" w:cs="宋体"/>
                <w:kern w:val="0"/>
                <w:sz w:val="24"/>
                <w:szCs w:val="24"/>
              </w:rPr>
              <w:t>政府采购预算数）×</w:t>
            </w:r>
            <w:r>
              <w:rPr>
                <w:rFonts w:ascii="宋体" w:hAnsi="宋体" w:cs="宋体"/>
                <w:kern w:val="0"/>
                <w:sz w:val="24"/>
                <w:szCs w:val="24"/>
              </w:rPr>
              <w:t>100%</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hAnsi="宋体"/>
                <w:kern w:val="0"/>
                <w:sz w:val="24"/>
                <w:szCs w:val="24"/>
              </w:rPr>
            </w:pPr>
            <w:r>
              <w:rPr>
                <w:rFonts w:hint="eastAsia" w:ascii="宋体" w:hAnsi="宋体" w:cs="宋体"/>
                <w:kern w:val="0"/>
                <w:sz w:val="24"/>
                <w:szCs w:val="24"/>
              </w:rPr>
              <w:t>过程</w:t>
            </w:r>
          </w:p>
        </w:tc>
        <w:tc>
          <w:tcPr>
            <w:tcW w:w="516" w:type="dxa"/>
            <w:vMerge w:val="restart"/>
            <w:tcBorders>
              <w:top w:val="single" w:color="auto" w:sz="4" w:space="0"/>
              <w:left w:val="single" w:color="auto" w:sz="4" w:space="0"/>
              <w:bottom w:val="single" w:color="000000" w:sz="4" w:space="0"/>
              <w:right w:val="single" w:color="auto" w:sz="4" w:space="0"/>
            </w:tcBorders>
            <w:vAlign w:val="center"/>
          </w:tcPr>
          <w:p>
            <w:pPr>
              <w:spacing w:line="280" w:lineRule="exact"/>
              <w:jc w:val="left"/>
              <w:rPr>
                <w:rFonts w:ascii="宋体" w:hAnsi="宋体"/>
                <w:kern w:val="0"/>
                <w:sz w:val="24"/>
                <w:szCs w:val="24"/>
              </w:rPr>
            </w:pPr>
            <w:r>
              <w:rPr>
                <w:rFonts w:ascii="宋体" w:hAnsi="宋体" w:cs="宋体"/>
                <w:kern w:val="0"/>
                <w:sz w:val="24"/>
                <w:szCs w:val="24"/>
              </w:rPr>
              <w:t>61</w:t>
            </w:r>
          </w:p>
        </w:tc>
        <w:tc>
          <w:tcPr>
            <w:tcW w:w="659" w:type="dxa"/>
            <w:vMerge w:val="restart"/>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预算管理</w:t>
            </w: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管理制度健全性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①有内部财务管理制度、会计核算制度等管理制度，</w:t>
            </w:r>
            <w:r>
              <w:rPr>
                <w:rFonts w:ascii="宋体" w:hAnsi="宋体" w:cs="宋体"/>
                <w:kern w:val="0"/>
                <w:sz w:val="24"/>
                <w:szCs w:val="24"/>
              </w:rPr>
              <w:t>2</w:t>
            </w:r>
            <w:r>
              <w:rPr>
                <w:rFonts w:hint="eastAsia" w:ascii="宋体" w:hAnsi="宋体" w:cs="宋体"/>
                <w:kern w:val="0"/>
                <w:sz w:val="24"/>
                <w:szCs w:val="24"/>
              </w:rPr>
              <w:t>分；</w:t>
            </w:r>
            <w:r>
              <w:rPr>
                <w:rFonts w:ascii="宋体" w:hAnsi="宋体"/>
                <w:kern w:val="0"/>
                <w:sz w:val="24"/>
                <w:szCs w:val="24"/>
              </w:rPr>
              <w:br w:type="textWrapping"/>
            </w:r>
            <w:r>
              <w:rPr>
                <w:rFonts w:hint="eastAsia" w:ascii="宋体" w:hAnsi="宋体" w:cs="宋体"/>
                <w:kern w:val="0"/>
                <w:sz w:val="24"/>
                <w:szCs w:val="24"/>
              </w:rPr>
              <w:t>②有本部门厉行节约制度</w:t>
            </w:r>
            <w:r>
              <w:rPr>
                <w:rFonts w:ascii="宋体" w:hAnsi="宋体" w:cs="宋体"/>
                <w:kern w:val="0"/>
                <w:sz w:val="24"/>
                <w:szCs w:val="24"/>
              </w:rPr>
              <w:t>,2</w:t>
            </w:r>
            <w:r>
              <w:rPr>
                <w:rFonts w:hint="eastAsia" w:ascii="宋体" w:hAnsi="宋体" w:cs="宋体"/>
                <w:kern w:val="0"/>
                <w:sz w:val="24"/>
                <w:szCs w:val="24"/>
              </w:rPr>
              <w:t>分；</w:t>
            </w:r>
            <w:r>
              <w:rPr>
                <w:rFonts w:ascii="宋体" w:hAnsi="宋体"/>
                <w:kern w:val="0"/>
                <w:sz w:val="24"/>
                <w:szCs w:val="24"/>
              </w:rPr>
              <w:br w:type="textWrapping"/>
            </w:r>
            <w:r>
              <w:rPr>
                <w:rFonts w:hint="eastAsia" w:ascii="宋体" w:hAnsi="宋体" w:cs="宋体"/>
                <w:kern w:val="0"/>
                <w:sz w:val="24"/>
                <w:szCs w:val="24"/>
              </w:rPr>
              <w:t>③相关管理制度合法、合规、完整，</w:t>
            </w:r>
            <w:r>
              <w:rPr>
                <w:rFonts w:ascii="宋体" w:hAnsi="宋体" w:cs="宋体"/>
                <w:kern w:val="0"/>
                <w:sz w:val="24"/>
                <w:szCs w:val="24"/>
              </w:rPr>
              <w:t>2</w:t>
            </w:r>
            <w:r>
              <w:rPr>
                <w:rFonts w:hint="eastAsia" w:ascii="宋体" w:hAnsi="宋体" w:cs="宋体"/>
                <w:kern w:val="0"/>
                <w:sz w:val="24"/>
                <w:szCs w:val="24"/>
              </w:rPr>
              <w:t>分；④相关管理制度得到有效执行，</w:t>
            </w:r>
            <w:r>
              <w:rPr>
                <w:rFonts w:ascii="宋体" w:hAnsi="宋体" w:cs="宋体"/>
                <w:kern w:val="0"/>
                <w:sz w:val="24"/>
                <w:szCs w:val="24"/>
              </w:rPr>
              <w:t>2</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ascii="宋体" w:hAnsi="宋体" w:cs="宋体"/>
                <w:kern w:val="0"/>
                <w:sz w:val="24"/>
                <w:szCs w:val="24"/>
              </w:rPr>
              <w:t>8</w:t>
            </w:r>
            <w:r>
              <w:rPr>
                <w:rFonts w:hint="eastAsia" w:ascii="宋体" w:hAnsi="宋体" w:cs="宋体"/>
                <w:kern w:val="0"/>
                <w:sz w:val="24"/>
                <w:szCs w:val="24"/>
              </w:rPr>
              <w:t>　</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资金使用合规性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宋体" w:hAnsi="宋体"/>
                <w:kern w:val="0"/>
                <w:sz w:val="24"/>
                <w:szCs w:val="24"/>
              </w:rPr>
              <w:br w:type="textWrapping"/>
            </w:r>
            <w:r>
              <w:rPr>
                <w:rFonts w:hint="eastAsia" w:ascii="宋体" w:hAnsi="宋体" w:cs="宋体"/>
                <w:kern w:val="0"/>
                <w:sz w:val="24"/>
                <w:szCs w:val="24"/>
              </w:rPr>
              <w:t>以上情况每出现一例不符合要求的扣</w:t>
            </w:r>
            <w:r>
              <w:rPr>
                <w:rFonts w:ascii="宋体" w:hAnsi="宋体" w:cs="宋体"/>
                <w:kern w:val="0"/>
                <w:sz w:val="24"/>
                <w:szCs w:val="24"/>
              </w:rPr>
              <w:t>1</w:t>
            </w:r>
            <w:r>
              <w:rPr>
                <w:rFonts w:hint="eastAsia" w:ascii="宋体" w:hAnsi="宋体" w:cs="宋体"/>
                <w:kern w:val="0"/>
                <w:sz w:val="24"/>
                <w:szCs w:val="24"/>
              </w:rPr>
              <w:t>分，扣完为止。</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659" w:type="dxa"/>
            <w:vMerge w:val="continue"/>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hAns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预决算信息公开性</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kern w:val="0"/>
                <w:sz w:val="24"/>
                <w:szCs w:val="24"/>
              </w:rPr>
            </w:pPr>
            <w:r>
              <w:rPr>
                <w:rFonts w:ascii="宋体" w:hAnsi="宋体" w:cs="宋体"/>
                <w:kern w:val="0"/>
                <w:sz w:val="24"/>
                <w:szCs w:val="24"/>
              </w:rPr>
              <w:t>5</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①按规定内容公开预决算信息，</w:t>
            </w:r>
            <w:r>
              <w:rPr>
                <w:rFonts w:ascii="宋体" w:hAnsi="宋体" w:cs="宋体"/>
                <w:kern w:val="0"/>
                <w:sz w:val="24"/>
                <w:szCs w:val="24"/>
              </w:rPr>
              <w:t>1</w:t>
            </w:r>
            <w:r>
              <w:rPr>
                <w:rFonts w:hint="eastAsia" w:ascii="宋体" w:hAnsi="宋体" w:cs="宋体"/>
                <w:kern w:val="0"/>
                <w:sz w:val="24"/>
                <w:szCs w:val="24"/>
              </w:rPr>
              <w:t>分；②按规定时限公开预决算信息，</w:t>
            </w:r>
            <w:r>
              <w:rPr>
                <w:rFonts w:ascii="宋体" w:hAnsi="宋体" w:cs="宋体"/>
                <w:kern w:val="0"/>
                <w:sz w:val="24"/>
                <w:szCs w:val="24"/>
              </w:rPr>
              <w:t>1</w:t>
            </w:r>
            <w:r>
              <w:rPr>
                <w:rFonts w:hint="eastAsia" w:ascii="宋体" w:hAnsi="宋体" w:cs="宋体"/>
                <w:kern w:val="0"/>
                <w:sz w:val="24"/>
                <w:szCs w:val="24"/>
              </w:rPr>
              <w:t>分；③基础数据信息和会计信息资料真实，</w:t>
            </w:r>
            <w:r>
              <w:rPr>
                <w:rFonts w:ascii="宋体" w:hAnsi="宋体" w:cs="宋体"/>
                <w:kern w:val="0"/>
                <w:sz w:val="24"/>
                <w:szCs w:val="24"/>
              </w:rPr>
              <w:t>1</w:t>
            </w:r>
            <w:r>
              <w:rPr>
                <w:rFonts w:hint="eastAsia" w:ascii="宋体" w:hAnsi="宋体" w:cs="宋体"/>
                <w:kern w:val="0"/>
                <w:sz w:val="24"/>
                <w:szCs w:val="24"/>
              </w:rPr>
              <w:t>分；④基础数据信息和会计信息资料完整，</w:t>
            </w:r>
            <w:r>
              <w:rPr>
                <w:rFonts w:ascii="宋体" w:hAnsi="宋体" w:cs="宋体"/>
                <w:kern w:val="0"/>
                <w:sz w:val="24"/>
                <w:szCs w:val="24"/>
              </w:rPr>
              <w:t>1</w:t>
            </w:r>
            <w:r>
              <w:rPr>
                <w:rFonts w:hint="eastAsia" w:ascii="宋体" w:hAnsi="宋体" w:cs="宋体"/>
                <w:kern w:val="0"/>
                <w:sz w:val="24"/>
                <w:szCs w:val="24"/>
              </w:rPr>
              <w:t>分；⑤基础数据信息和汇集信息资料准确，</w:t>
            </w:r>
            <w:r>
              <w:rPr>
                <w:rFonts w:ascii="宋体" w:hAnsi="宋体" w:cs="宋体"/>
                <w:kern w:val="0"/>
                <w:sz w:val="24"/>
                <w:szCs w:val="24"/>
              </w:rPr>
              <w:t>1</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hAnsi="宋体"/>
                <w:kern w:val="0"/>
                <w:sz w:val="24"/>
                <w:szCs w:val="24"/>
              </w:rPr>
            </w:pPr>
            <w:r>
              <w:rPr>
                <w:rFonts w:hint="eastAsia" w:ascii="宋体" w:hAnsi="宋体" w:cs="宋体"/>
                <w:kern w:val="0"/>
                <w:sz w:val="24"/>
                <w:szCs w:val="24"/>
              </w:rPr>
              <w:t>预决算信息是指与部门预算、执行、决算、监督、绩效等管理相关的信息。</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hAnsi="宋体"/>
                <w:kern w:val="0"/>
                <w:sz w:val="24"/>
                <w:szCs w:val="24"/>
              </w:rPr>
            </w:pPr>
            <w:r>
              <w:rPr>
                <w:rFonts w:hint="eastAsia" w:ascii="宋体" w:hAnsi="宋体" w:cs="宋体"/>
                <w:kern w:val="0"/>
                <w:sz w:val="24"/>
                <w:szCs w:val="24"/>
              </w:rPr>
              <w:t>　</w:t>
            </w:r>
            <w:r>
              <w:rPr>
                <w:rFonts w:ascii="宋体" w:hAnsi="宋体" w:cs="宋体"/>
                <w:kern w:val="0"/>
                <w:sz w:val="24"/>
                <w:szCs w:val="24"/>
              </w:rPr>
              <w:t>5</w:t>
            </w:r>
          </w:p>
        </w:tc>
      </w:tr>
      <w:tr>
        <w:tblPrEx>
          <w:tblCellMar>
            <w:top w:w="0" w:type="dxa"/>
            <w:left w:w="108" w:type="dxa"/>
            <w:bottom w:w="0" w:type="dxa"/>
            <w:right w:w="108" w:type="dxa"/>
          </w:tblCellMar>
        </w:tblPrEx>
        <w:trPr>
          <w:jc w:val="center"/>
        </w:trPr>
        <w:tc>
          <w:tcPr>
            <w:tcW w:w="678"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产出及效率</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26</w:t>
            </w:r>
          </w:p>
        </w:tc>
        <w:tc>
          <w:tcPr>
            <w:tcW w:w="659"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职责履行</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8</w:t>
            </w:r>
          </w:p>
        </w:tc>
        <w:tc>
          <w:tcPr>
            <w:tcW w:w="1074" w:type="dxa"/>
            <w:tcBorders>
              <w:top w:val="nil"/>
              <w:left w:val="nil"/>
              <w:bottom w:val="nil"/>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重点工作实际完成率</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8</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根据绩效办</w:t>
            </w:r>
            <w:r>
              <w:rPr>
                <w:rFonts w:ascii="宋体" w:hAnsi="宋体" w:cs="宋体"/>
                <w:kern w:val="0"/>
                <w:sz w:val="24"/>
                <w:szCs w:val="24"/>
              </w:rPr>
              <w:t>2015</w:t>
            </w:r>
            <w:r>
              <w:rPr>
                <w:rFonts w:hint="eastAsia" w:ascii="宋体" w:hAnsi="宋体" w:cs="宋体"/>
                <w:kern w:val="0"/>
                <w:sz w:val="24"/>
                <w:szCs w:val="24"/>
              </w:rPr>
              <w:t>年对各部门为民办实事和部门重点工程与重点工作考核分数折算。</w:t>
            </w:r>
            <w:r>
              <w:rPr>
                <w:rFonts w:ascii="宋体"/>
                <w:kern w:val="0"/>
                <w:sz w:val="24"/>
                <w:szCs w:val="24"/>
              </w:rPr>
              <w:br w:type="textWrapping"/>
            </w:r>
            <w:r>
              <w:rPr>
                <w:rFonts w:hint="eastAsia" w:ascii="宋体" w:hAnsi="宋体" w:cs="宋体"/>
                <w:kern w:val="0"/>
                <w:sz w:val="24"/>
                <w:szCs w:val="24"/>
              </w:rPr>
              <w:t>该项得分</w:t>
            </w:r>
            <w:r>
              <w:rPr>
                <w:rFonts w:ascii="宋体" w:hAnsi="宋体" w:cs="宋体"/>
                <w:kern w:val="0"/>
                <w:sz w:val="24"/>
                <w:szCs w:val="24"/>
              </w:rPr>
              <w:t>=</w:t>
            </w:r>
            <w:r>
              <w:rPr>
                <w:rFonts w:hint="eastAsia" w:ascii="宋体" w:hAnsi="宋体" w:cs="宋体"/>
                <w:kern w:val="0"/>
                <w:sz w:val="24"/>
                <w:szCs w:val="24"/>
              </w:rPr>
              <w:t>（绩效办对应部分考核得分</w:t>
            </w:r>
            <w:r>
              <w:rPr>
                <w:rFonts w:ascii="宋体" w:hAnsi="宋体" w:cs="宋体"/>
                <w:kern w:val="0"/>
                <w:sz w:val="24"/>
                <w:szCs w:val="24"/>
              </w:rPr>
              <w:t>/500</w:t>
            </w:r>
            <w:r>
              <w:rPr>
                <w:rFonts w:hint="eastAsia" w:ascii="宋体" w:hAnsi="宋体" w:cs="宋体"/>
                <w:kern w:val="0"/>
                <w:sz w:val="24"/>
                <w:szCs w:val="24"/>
              </w:rPr>
              <w:t>）</w:t>
            </w:r>
            <w:r>
              <w:rPr>
                <w:rFonts w:ascii="宋体" w:hAnsi="宋体" w:cs="宋体"/>
                <w:kern w:val="0"/>
                <w:sz w:val="24"/>
                <w:szCs w:val="24"/>
              </w:rPr>
              <w:t>*8</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　</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8</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履职效益</w:t>
            </w: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经济效益</w:t>
            </w:r>
          </w:p>
        </w:tc>
        <w:tc>
          <w:tcPr>
            <w:tcW w:w="516" w:type="dxa"/>
            <w:vMerge w:val="restart"/>
            <w:tcBorders>
              <w:top w:val="nil"/>
              <w:left w:val="single" w:color="auto" w:sz="4" w:space="0"/>
              <w:bottom w:val="nil"/>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6190" w:type="dxa"/>
            <w:gridSpan w:val="2"/>
            <w:vMerge w:val="restart"/>
            <w:tcBorders>
              <w:top w:val="single" w:color="auto" w:sz="4" w:space="0"/>
              <w:left w:val="single" w:color="auto" w:sz="4" w:space="0"/>
              <w:bottom w:val="nil"/>
              <w:right w:val="single" w:color="000000"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3</w:t>
            </w:r>
          </w:p>
        </w:tc>
      </w:tr>
      <w:tr>
        <w:tblPrEx>
          <w:tblCellMar>
            <w:top w:w="0" w:type="dxa"/>
            <w:left w:w="108" w:type="dxa"/>
            <w:bottom w:w="0" w:type="dxa"/>
            <w:right w:w="108" w:type="dxa"/>
          </w:tblCellMar>
        </w:tblPrEx>
        <w:trPr>
          <w:trHeight w:val="758" w:hRule="atLeast"/>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hint="eastAsia" w:ascii="宋体" w:hAnsi="宋体" w:cs="宋体"/>
                <w:kern w:val="0"/>
                <w:sz w:val="24"/>
                <w:szCs w:val="24"/>
              </w:rPr>
              <w:t>社会效益</w:t>
            </w:r>
          </w:p>
        </w:tc>
        <w:tc>
          <w:tcPr>
            <w:tcW w:w="516" w:type="dxa"/>
            <w:vMerge w:val="continue"/>
            <w:tcBorders>
              <w:top w:val="nil"/>
              <w:left w:val="single" w:color="auto" w:sz="4" w:space="0"/>
              <w:bottom w:val="nil"/>
              <w:right w:val="single" w:color="auto" w:sz="4" w:space="0"/>
            </w:tcBorders>
            <w:vAlign w:val="center"/>
          </w:tcPr>
          <w:p>
            <w:pPr>
              <w:widowControl/>
              <w:spacing w:line="280" w:lineRule="exact"/>
              <w:jc w:val="left"/>
              <w:rPr>
                <w:rFonts w:ascii="宋体"/>
                <w:kern w:val="0"/>
                <w:sz w:val="24"/>
                <w:szCs w:val="24"/>
              </w:rPr>
            </w:pPr>
          </w:p>
        </w:tc>
        <w:tc>
          <w:tcPr>
            <w:tcW w:w="6190" w:type="dxa"/>
            <w:gridSpan w:val="2"/>
            <w:vMerge w:val="continue"/>
            <w:tcBorders>
              <w:top w:val="single" w:color="auto" w:sz="4" w:space="0"/>
              <w:left w:val="single" w:color="auto" w:sz="4" w:space="0"/>
              <w:bottom w:val="nil"/>
              <w:right w:val="single" w:color="000000" w:sz="4" w:space="0"/>
            </w:tcBorders>
            <w:vAlign w:val="center"/>
          </w:tcPr>
          <w:p>
            <w:pPr>
              <w:widowControl/>
              <w:spacing w:line="280" w:lineRule="exact"/>
              <w:jc w:val="left"/>
              <w:rPr>
                <w:rFonts w:ascii="宋体"/>
                <w:kern w:val="0"/>
                <w:sz w:val="24"/>
                <w:szCs w:val="24"/>
              </w:rPr>
            </w:pPr>
          </w:p>
        </w:tc>
        <w:tc>
          <w:tcPr>
            <w:tcW w:w="622" w:type="dxa"/>
            <w:tcBorders>
              <w:top w:val="nil"/>
              <w:left w:val="nil"/>
              <w:bottom w:val="nil"/>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3</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12</w:t>
            </w: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行政效能</w:t>
            </w: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促进部门改进文风会风，加强经费及资产管理，推动网上办事，提高行政效率，降低行政成本效果较好的计</w:t>
            </w:r>
            <w:r>
              <w:rPr>
                <w:rFonts w:ascii="宋体" w:hAnsi="宋体" w:cs="宋体"/>
                <w:kern w:val="0"/>
                <w:sz w:val="24"/>
                <w:szCs w:val="24"/>
              </w:rPr>
              <w:t>6</w:t>
            </w:r>
            <w:r>
              <w:rPr>
                <w:rFonts w:hint="eastAsia" w:ascii="宋体" w:hAnsi="宋体" w:cs="宋体"/>
                <w:kern w:val="0"/>
                <w:sz w:val="24"/>
                <w:szCs w:val="24"/>
              </w:rPr>
              <w:t>分；一般</w:t>
            </w:r>
            <w:r>
              <w:rPr>
                <w:rFonts w:ascii="宋体" w:hAnsi="宋体" w:cs="宋体"/>
                <w:kern w:val="0"/>
                <w:sz w:val="24"/>
                <w:szCs w:val="24"/>
              </w:rPr>
              <w:t>3</w:t>
            </w:r>
            <w:r>
              <w:rPr>
                <w:rFonts w:hint="eastAsia" w:ascii="宋体" w:hAnsi="宋体" w:cs="宋体"/>
                <w:kern w:val="0"/>
                <w:sz w:val="24"/>
                <w:szCs w:val="24"/>
              </w:rPr>
              <w:t>分；无效果或者效果不明显</w:t>
            </w:r>
            <w:r>
              <w:rPr>
                <w:rFonts w:ascii="宋体" w:cs="宋体"/>
                <w:kern w:val="0"/>
                <w:sz w:val="24"/>
                <w:szCs w:val="24"/>
              </w:rPr>
              <w:t>0</w:t>
            </w:r>
            <w:r>
              <w:rPr>
                <w:rFonts w:hint="eastAsia" w:ascii="宋体" w:hAnsi="宋体" w:cs="宋体"/>
                <w:kern w:val="0"/>
                <w:sz w:val="24"/>
                <w:szCs w:val="24"/>
              </w:rPr>
              <w:t>分。</w:t>
            </w: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根据部门自评材料评定。</w:t>
            </w: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65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51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1074"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社会公众或服务对象满意度</w:t>
            </w:r>
          </w:p>
        </w:tc>
        <w:tc>
          <w:tcPr>
            <w:tcW w:w="516" w:type="dxa"/>
            <w:tcBorders>
              <w:top w:val="nil"/>
              <w:left w:val="nil"/>
              <w:bottom w:val="single" w:color="auto" w:sz="4" w:space="0"/>
              <w:right w:val="single" w:color="auto" w:sz="4" w:space="0"/>
            </w:tcBorders>
            <w:vAlign w:val="center"/>
          </w:tcPr>
          <w:p>
            <w:pPr>
              <w:widowControl/>
              <w:spacing w:line="280" w:lineRule="exact"/>
              <w:jc w:val="center"/>
              <w:rPr>
                <w:rFonts w:ascii="宋体"/>
                <w:kern w:val="0"/>
                <w:sz w:val="24"/>
                <w:szCs w:val="24"/>
              </w:rPr>
            </w:pPr>
            <w:r>
              <w:rPr>
                <w:rFonts w:ascii="宋体" w:hAnsi="宋体" w:cs="宋体"/>
                <w:kern w:val="0"/>
                <w:sz w:val="24"/>
                <w:szCs w:val="24"/>
              </w:rPr>
              <w:t>6</w:t>
            </w:r>
          </w:p>
        </w:tc>
        <w:tc>
          <w:tcPr>
            <w:tcW w:w="2878"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ascii="宋体" w:hAnsi="宋体" w:cs="宋体"/>
                <w:kern w:val="0"/>
                <w:sz w:val="24"/>
                <w:szCs w:val="24"/>
              </w:rPr>
              <w:t>90%</w:t>
            </w:r>
            <w:r>
              <w:rPr>
                <w:rFonts w:hint="eastAsia" w:ascii="宋体" w:hAnsi="宋体" w:cs="宋体"/>
                <w:kern w:val="0"/>
                <w:sz w:val="24"/>
                <w:szCs w:val="24"/>
              </w:rPr>
              <w:t>（含）以上计</w:t>
            </w:r>
            <w:r>
              <w:rPr>
                <w:rFonts w:ascii="宋体" w:hAnsi="宋体" w:cs="宋体"/>
                <w:kern w:val="0"/>
                <w:sz w:val="24"/>
                <w:szCs w:val="24"/>
              </w:rPr>
              <w:t>6</w:t>
            </w:r>
            <w:r>
              <w:rPr>
                <w:rFonts w:hint="eastAsia" w:ascii="宋体" w:hAnsi="宋体" w:cs="宋体"/>
                <w:kern w:val="0"/>
                <w:sz w:val="24"/>
                <w:szCs w:val="24"/>
              </w:rPr>
              <w:t>分；</w:t>
            </w:r>
            <w:r>
              <w:rPr>
                <w:rFonts w:ascii="宋体"/>
                <w:kern w:val="0"/>
                <w:sz w:val="24"/>
                <w:szCs w:val="24"/>
              </w:rPr>
              <w:br w:type="textWrapping"/>
            </w:r>
            <w:r>
              <w:rPr>
                <w:rFonts w:ascii="宋体" w:hAnsi="宋体" w:cs="宋体"/>
                <w:kern w:val="0"/>
                <w:sz w:val="24"/>
                <w:szCs w:val="24"/>
              </w:rPr>
              <w:t>80%</w:t>
            </w:r>
            <w:r>
              <w:rPr>
                <w:rFonts w:hint="eastAsia" w:ascii="宋体" w:hAnsi="宋体" w:cs="宋体"/>
                <w:kern w:val="0"/>
                <w:sz w:val="24"/>
                <w:szCs w:val="24"/>
              </w:rPr>
              <w:t>（含）</w:t>
            </w:r>
            <w:r>
              <w:rPr>
                <w:rFonts w:ascii="宋体" w:hAnsi="宋体" w:cs="宋体"/>
                <w:kern w:val="0"/>
                <w:sz w:val="24"/>
                <w:szCs w:val="24"/>
              </w:rPr>
              <w:t>-90%</w:t>
            </w:r>
            <w:r>
              <w:rPr>
                <w:rFonts w:hint="eastAsia" w:ascii="宋体" w:hAnsi="宋体" w:cs="宋体"/>
                <w:kern w:val="0"/>
                <w:sz w:val="24"/>
                <w:szCs w:val="24"/>
              </w:rPr>
              <w:t>，计</w:t>
            </w:r>
            <w:r>
              <w:rPr>
                <w:rFonts w:ascii="宋体" w:hAnsi="宋体" w:cs="宋体"/>
                <w:kern w:val="0"/>
                <w:sz w:val="24"/>
                <w:szCs w:val="24"/>
              </w:rPr>
              <w:t>4</w:t>
            </w:r>
            <w:r>
              <w:rPr>
                <w:rFonts w:hint="eastAsia" w:ascii="宋体" w:hAnsi="宋体" w:cs="宋体"/>
                <w:kern w:val="0"/>
                <w:sz w:val="24"/>
                <w:szCs w:val="24"/>
              </w:rPr>
              <w:t>分；</w:t>
            </w:r>
            <w:r>
              <w:rPr>
                <w:rFonts w:ascii="宋体"/>
                <w:kern w:val="0"/>
                <w:sz w:val="24"/>
                <w:szCs w:val="24"/>
              </w:rPr>
              <w:br w:type="textWrapping"/>
            </w:r>
            <w:r>
              <w:rPr>
                <w:rFonts w:ascii="宋体" w:hAnsi="宋体" w:cs="宋体"/>
                <w:kern w:val="0"/>
                <w:sz w:val="24"/>
                <w:szCs w:val="24"/>
              </w:rPr>
              <w:t>70%</w:t>
            </w:r>
            <w:r>
              <w:rPr>
                <w:rFonts w:hint="eastAsia" w:ascii="宋体" w:hAnsi="宋体" w:cs="宋体"/>
                <w:kern w:val="0"/>
                <w:sz w:val="24"/>
                <w:szCs w:val="24"/>
              </w:rPr>
              <w:t>（含）</w:t>
            </w:r>
            <w:r>
              <w:rPr>
                <w:rFonts w:ascii="宋体" w:hAnsi="宋体" w:cs="宋体"/>
                <w:kern w:val="0"/>
                <w:sz w:val="24"/>
                <w:szCs w:val="24"/>
              </w:rPr>
              <w:t>-80%</w:t>
            </w:r>
            <w:r>
              <w:rPr>
                <w:rFonts w:hint="eastAsia" w:ascii="宋体" w:hAnsi="宋体" w:cs="宋体"/>
                <w:kern w:val="0"/>
                <w:sz w:val="24"/>
                <w:szCs w:val="24"/>
              </w:rPr>
              <w:t>，计</w:t>
            </w:r>
            <w:r>
              <w:rPr>
                <w:rFonts w:ascii="宋体" w:hAnsi="宋体" w:cs="宋体"/>
                <w:kern w:val="0"/>
                <w:sz w:val="24"/>
                <w:szCs w:val="24"/>
              </w:rPr>
              <w:t>2</w:t>
            </w:r>
            <w:r>
              <w:rPr>
                <w:rFonts w:hint="eastAsia" w:ascii="宋体" w:hAnsi="宋体" w:cs="宋体"/>
                <w:kern w:val="0"/>
                <w:sz w:val="24"/>
                <w:szCs w:val="24"/>
              </w:rPr>
              <w:t>分；</w:t>
            </w:r>
            <w:r>
              <w:rPr>
                <w:rFonts w:ascii="宋体"/>
                <w:kern w:val="0"/>
                <w:sz w:val="24"/>
                <w:szCs w:val="24"/>
              </w:rPr>
              <w:br w:type="textWrapping"/>
            </w:r>
            <w:r>
              <w:rPr>
                <w:rFonts w:hint="eastAsia" w:ascii="宋体" w:hAnsi="宋体" w:cs="宋体"/>
                <w:kern w:val="0"/>
                <w:sz w:val="24"/>
                <w:szCs w:val="24"/>
              </w:rPr>
              <w:t>低于</w:t>
            </w:r>
            <w:r>
              <w:rPr>
                <w:rFonts w:ascii="宋体" w:hAnsi="宋体" w:cs="宋体"/>
                <w:kern w:val="0"/>
                <w:sz w:val="24"/>
                <w:szCs w:val="24"/>
              </w:rPr>
              <w:t>70%</w:t>
            </w:r>
            <w:r>
              <w:rPr>
                <w:rFonts w:hint="eastAsia" w:ascii="宋体" w:hAnsi="宋体" w:cs="宋体"/>
                <w:kern w:val="0"/>
                <w:sz w:val="24"/>
                <w:szCs w:val="24"/>
              </w:rPr>
              <w:t>计</w:t>
            </w:r>
            <w:r>
              <w:rPr>
                <w:rFonts w:ascii="宋体" w:cs="宋体"/>
                <w:kern w:val="0"/>
                <w:sz w:val="24"/>
                <w:szCs w:val="24"/>
              </w:rPr>
              <w:t>0</w:t>
            </w:r>
            <w:r>
              <w:rPr>
                <w:rFonts w:hint="eastAsia" w:ascii="宋体" w:hAnsi="宋体" w:cs="宋体"/>
                <w:kern w:val="0"/>
                <w:sz w:val="24"/>
                <w:szCs w:val="24"/>
              </w:rPr>
              <w:t>分。</w:t>
            </w:r>
          </w:p>
        </w:tc>
        <w:tc>
          <w:tcPr>
            <w:tcW w:w="3312" w:type="dxa"/>
            <w:tcBorders>
              <w:top w:val="nil"/>
              <w:left w:val="nil"/>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社会公众或服务对象是指部门（单位）履行职责而影响到的部门、群体或个人，一般采取社会调查的方式。</w:t>
            </w:r>
          </w:p>
        </w:tc>
        <w:tc>
          <w:tcPr>
            <w:tcW w:w="622" w:type="dxa"/>
            <w:tcBorders>
              <w:top w:val="nil"/>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　</w:t>
            </w:r>
            <w:r>
              <w:rPr>
                <w:rFonts w:ascii="宋体" w:hAnsi="宋体" w:cs="宋体"/>
                <w:kern w:val="0"/>
                <w:sz w:val="24"/>
                <w:szCs w:val="24"/>
              </w:rPr>
              <w:t>6</w:t>
            </w:r>
          </w:p>
        </w:tc>
      </w:tr>
      <w:tr>
        <w:tblPrEx>
          <w:tblCellMar>
            <w:top w:w="0" w:type="dxa"/>
            <w:left w:w="108" w:type="dxa"/>
            <w:bottom w:w="0" w:type="dxa"/>
            <w:right w:w="108" w:type="dxa"/>
          </w:tblCellMar>
        </w:tblPrEx>
        <w:trPr>
          <w:jc w:val="center"/>
        </w:trPr>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24"/>
                <w:szCs w:val="24"/>
              </w:rPr>
            </w:pPr>
            <w:r>
              <w:rPr>
                <w:rFonts w:hint="eastAsia" w:ascii="宋体" w:hAnsi="宋体" w:cs="宋体"/>
                <w:kern w:val="0"/>
                <w:sz w:val="24"/>
                <w:szCs w:val="24"/>
              </w:rPr>
              <w:t>合计</w:t>
            </w: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18"/>
                <w:szCs w:val="18"/>
              </w:rPr>
            </w:pPr>
            <w:r>
              <w:rPr>
                <w:rFonts w:ascii="宋体" w:hAnsi="宋体" w:cs="宋体"/>
                <w:kern w:val="0"/>
                <w:sz w:val="18"/>
                <w:szCs w:val="18"/>
              </w:rPr>
              <w:t>100</w:t>
            </w:r>
          </w:p>
        </w:tc>
        <w:tc>
          <w:tcPr>
            <w:tcW w:w="65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18"/>
                <w:szCs w:val="18"/>
              </w:rPr>
            </w:pPr>
          </w:p>
        </w:tc>
        <w:tc>
          <w:tcPr>
            <w:tcW w:w="51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kern w:val="0"/>
                <w:sz w:val="18"/>
                <w:szCs w:val="18"/>
              </w:rPr>
            </w:pPr>
            <w:r>
              <w:rPr>
                <w:rFonts w:ascii="宋体" w:hAnsi="宋体" w:cs="宋体"/>
                <w:kern w:val="0"/>
                <w:sz w:val="18"/>
                <w:szCs w:val="18"/>
              </w:rPr>
              <w:t>100</w:t>
            </w:r>
          </w:p>
        </w:tc>
        <w:tc>
          <w:tcPr>
            <w:tcW w:w="1074"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18"/>
                <w:szCs w:val="18"/>
              </w:rPr>
            </w:pPr>
          </w:p>
        </w:tc>
        <w:tc>
          <w:tcPr>
            <w:tcW w:w="51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kern w:val="0"/>
                <w:sz w:val="18"/>
                <w:szCs w:val="18"/>
              </w:rPr>
            </w:pPr>
            <w:r>
              <w:rPr>
                <w:rFonts w:ascii="宋体" w:hAnsi="宋体" w:cs="宋体"/>
                <w:kern w:val="0"/>
                <w:sz w:val="18"/>
                <w:szCs w:val="18"/>
              </w:rPr>
              <w:t>100</w:t>
            </w:r>
          </w:p>
        </w:tc>
        <w:tc>
          <w:tcPr>
            <w:tcW w:w="2878"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3312"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宋体"/>
                <w:kern w:val="0"/>
                <w:sz w:val="24"/>
                <w:szCs w:val="24"/>
              </w:rPr>
            </w:pPr>
          </w:p>
        </w:tc>
        <w:tc>
          <w:tcPr>
            <w:tcW w:w="622" w:type="dxa"/>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kern w:val="0"/>
                <w:sz w:val="24"/>
                <w:szCs w:val="24"/>
              </w:rPr>
            </w:pPr>
            <w:r>
              <w:rPr>
                <w:rFonts w:hint="eastAsia" w:ascii="宋体" w:hAnsi="宋体" w:cs="宋体"/>
                <w:kern w:val="0"/>
                <w:sz w:val="24"/>
                <w:szCs w:val="24"/>
              </w:rPr>
              <w:t>95</w:t>
            </w:r>
          </w:p>
        </w:tc>
      </w:tr>
    </w:tbl>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jc w:val="center"/>
        <w:rPr>
          <w:rFonts w:ascii="宋体"/>
          <w:b/>
          <w:bCs/>
          <w:kern w:val="0"/>
          <w:sz w:val="30"/>
          <w:szCs w:val="30"/>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6"/>
          <w:szCs w:val="36"/>
        </w:rPr>
      </w:pPr>
    </w:p>
    <w:p>
      <w:pPr>
        <w:spacing w:line="560" w:lineRule="exact"/>
        <w:rPr>
          <w:rFonts w:asciiTheme="majorEastAsia" w:hAnsiTheme="majorEastAsia" w:eastAsiaTheme="majorEastAsia" w:cstheme="majorEastAsia"/>
          <w:b/>
          <w:bCs/>
          <w:kern w:val="0"/>
          <w:sz w:val="36"/>
          <w:szCs w:val="36"/>
        </w:rPr>
      </w:pPr>
    </w:p>
    <w:p>
      <w:pPr>
        <w:spacing w:line="560" w:lineRule="exact"/>
        <w:ind w:firstLine="1793" w:firstLineChars="496"/>
        <w:rPr>
          <w:rFonts w:hint="eastAsia" w:asciiTheme="majorEastAsia" w:hAnsiTheme="majorEastAsia" w:eastAsiaTheme="majorEastAsia" w:cstheme="majorEastAsia"/>
          <w:b/>
          <w:bCs/>
          <w:kern w:val="0"/>
          <w:sz w:val="36"/>
          <w:szCs w:val="36"/>
        </w:rPr>
      </w:pPr>
    </w:p>
    <w:p>
      <w:pPr>
        <w:spacing w:line="560" w:lineRule="exact"/>
        <w:ind w:firstLine="1793" w:firstLineChars="496"/>
        <w:rPr>
          <w:rFonts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6"/>
          <w:szCs w:val="36"/>
        </w:rPr>
        <w:t>部门整体支出绩效评价基础数据表</w:t>
      </w:r>
    </w:p>
    <w:p>
      <w:pPr>
        <w:widowControl/>
        <w:tabs>
          <w:tab w:val="left" w:pos="3611"/>
          <w:tab w:val="left" w:pos="4791"/>
          <w:tab w:val="left" w:pos="5951"/>
          <w:tab w:val="left" w:pos="7071"/>
          <w:tab w:val="left" w:pos="7710"/>
          <w:tab w:val="left" w:pos="9311"/>
        </w:tabs>
        <w:ind w:left="91"/>
        <w:jc w:val="left"/>
        <w:rPr>
          <w:rFonts w:ascii="Times New Roman" w:hAnsi="Times New Roman" w:eastAsia="仿宋_GB2312"/>
          <w:kern w:val="0"/>
          <w:sz w:val="24"/>
        </w:rPr>
      </w:pPr>
      <w:r>
        <w:rPr>
          <w:rFonts w:ascii="Times New Roman" w:hAnsi="Times New Roman" w:eastAsia="仿宋_GB2312"/>
          <w:kern w:val="0"/>
          <w:sz w:val="24"/>
        </w:rPr>
        <w:t>填报单位：</w:t>
      </w:r>
      <w:r>
        <w:rPr>
          <w:rFonts w:hint="eastAsia" w:ascii="Times New Roman" w:hAnsi="Times New Roman" w:eastAsia="仿宋_GB2312"/>
          <w:kern w:val="0"/>
          <w:sz w:val="24"/>
        </w:rPr>
        <w:t>澧县涔南镇人民政府</w:t>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ascii="Times New Roman" w:hAnsi="Times New Roman" w:eastAsia="仿宋_GB2312"/>
          <w:kern w:val="0"/>
          <w:sz w:val="24"/>
        </w:rPr>
        <w:tab/>
      </w:r>
      <w:r>
        <w:rPr>
          <w:rFonts w:hint="eastAsia" w:ascii="Times New Roman" w:hAnsi="Times New Roman" w:eastAsia="仿宋_GB2312"/>
          <w:kern w:val="0"/>
          <w:sz w:val="24"/>
        </w:rPr>
        <w:t>单位：万元</w:t>
      </w:r>
      <w:r>
        <w:rPr>
          <w:rFonts w:ascii="Times New Roman" w:hAnsi="Times New Roman" w:eastAsia="仿宋_GB2312"/>
          <w:kern w:val="0"/>
          <w:sz w:val="24"/>
        </w:rPr>
        <w:tab/>
      </w:r>
    </w:p>
    <w:tbl>
      <w:tblPr>
        <w:tblStyle w:val="12"/>
        <w:tblW w:w="10339" w:type="dxa"/>
        <w:jc w:val="center"/>
        <w:tblLayout w:type="fixed"/>
        <w:tblCellMar>
          <w:top w:w="0" w:type="dxa"/>
          <w:left w:w="108" w:type="dxa"/>
          <w:bottom w:w="0" w:type="dxa"/>
          <w:right w:w="108" w:type="dxa"/>
        </w:tblCellMar>
      </w:tblPr>
      <w:tblGrid>
        <w:gridCol w:w="3550"/>
        <w:gridCol w:w="1190"/>
        <w:gridCol w:w="1170"/>
        <w:gridCol w:w="1130"/>
        <w:gridCol w:w="1465"/>
        <w:gridCol w:w="970"/>
        <w:gridCol w:w="864"/>
      </w:tblGrid>
      <w:tr>
        <w:tblPrEx>
          <w:tblCellMar>
            <w:top w:w="0" w:type="dxa"/>
            <w:left w:w="108" w:type="dxa"/>
            <w:bottom w:w="0" w:type="dxa"/>
            <w:right w:w="108" w:type="dxa"/>
          </w:tblCellMar>
        </w:tblPrEx>
        <w:trPr>
          <w:trHeight w:val="417" w:hRule="atLeast"/>
          <w:jc w:val="center"/>
        </w:trPr>
        <w:tc>
          <w:tcPr>
            <w:tcW w:w="35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财政供养人员情况</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编制数</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年实际在职人数</w:t>
            </w:r>
          </w:p>
        </w:tc>
        <w:tc>
          <w:tcPr>
            <w:tcW w:w="183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67</w:t>
            </w:r>
          </w:p>
        </w:tc>
        <w:tc>
          <w:tcPr>
            <w:tcW w:w="25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67</w:t>
            </w:r>
          </w:p>
        </w:tc>
        <w:tc>
          <w:tcPr>
            <w:tcW w:w="1834"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Times New Roman" w:hAnsi="Times New Roman" w:eastAsia="仿宋_GB2312"/>
                <w:kern w:val="0"/>
                <w:sz w:val="24"/>
              </w:rPr>
            </w:pPr>
            <w:r>
              <w:rPr>
                <w:rFonts w:hint="eastAsia" w:ascii="Times New Roman" w:hAnsi="Times New Roman" w:eastAsia="仿宋_GB2312"/>
                <w:kern w:val="0"/>
                <w:sz w:val="24"/>
              </w:rPr>
              <w:t>100%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经费控制情况</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201</w:t>
            </w:r>
            <w:r>
              <w:rPr>
                <w:rFonts w:hint="eastAsia" w:ascii="Times New Roman" w:hAnsi="Times New Roman" w:eastAsia="仿宋_GB2312"/>
                <w:b/>
                <w:bCs/>
                <w:kern w:val="0"/>
                <w:sz w:val="24"/>
              </w:rPr>
              <w:t>9</w:t>
            </w:r>
            <w:r>
              <w:rPr>
                <w:rFonts w:ascii="Times New Roman" w:hAnsi="Times New Roman" w:eastAsia="仿宋_GB2312"/>
                <w:b/>
                <w:bCs/>
                <w:kern w:val="0"/>
                <w:sz w:val="24"/>
              </w:rPr>
              <w:t>年决算数</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年预算数</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20</w:t>
            </w:r>
            <w:r>
              <w:rPr>
                <w:rFonts w:hint="eastAsia" w:ascii="Times New Roman" w:hAnsi="Times New Roman" w:eastAsia="仿宋_GB2312"/>
                <w:b/>
                <w:bCs/>
                <w:kern w:val="0"/>
                <w:sz w:val="24"/>
              </w:rPr>
              <w:t>20</w:t>
            </w:r>
            <w:r>
              <w:rPr>
                <w:rFonts w:ascii="Times New Roman" w:hAnsi="Times New Roman" w:eastAsia="仿宋_GB2312"/>
                <w:b/>
                <w:bCs/>
                <w:kern w:val="0"/>
                <w:sz w:val="24"/>
              </w:rPr>
              <w:t>年决算数</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三公经费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7.91</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6</w:t>
            </w:r>
            <w:r>
              <w:rPr>
                <w:rFonts w:ascii="Times New Roman" w:hAnsi="Times New Roman" w:eastAsia="仿宋_GB2312"/>
                <w:kern w:val="0"/>
                <w:sz w:val="24"/>
              </w:rPr>
              <w:t>.1</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6.1</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1、公务用车购置和维护经费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4</w:t>
            </w:r>
            <w:r>
              <w:rPr>
                <w:rFonts w:ascii="Times New Roman" w:hAnsi="Times New Roman" w:eastAsia="仿宋_GB2312"/>
                <w:kern w:val="0"/>
                <w:sz w:val="24"/>
              </w:rPr>
              <w:t>.25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4</w:t>
            </w:r>
            <w:r>
              <w:rPr>
                <w:rFonts w:ascii="Times New Roman" w:hAnsi="Times New Roman" w:eastAsia="仿宋_GB2312"/>
                <w:kern w:val="0"/>
                <w:sz w:val="24"/>
              </w:rPr>
              <w:t>.15</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4.15</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其中：公车购置</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公车运行维护</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4</w:t>
            </w:r>
            <w:r>
              <w:rPr>
                <w:rFonts w:ascii="Times New Roman" w:hAnsi="Times New Roman" w:eastAsia="仿宋_GB2312"/>
                <w:kern w:val="0"/>
                <w:sz w:val="24"/>
              </w:rPr>
              <w:t>.25</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4.15</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4</w:t>
            </w:r>
            <w:r>
              <w:rPr>
                <w:rFonts w:ascii="Times New Roman" w:hAnsi="Times New Roman" w:eastAsia="仿宋_GB2312"/>
                <w:kern w:val="0"/>
                <w:sz w:val="24"/>
              </w:rPr>
              <w:t>.15</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2、出国经费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3、公务接待</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3.</w:t>
            </w:r>
            <w:r>
              <w:rPr>
                <w:rFonts w:ascii="Times New Roman" w:hAnsi="Times New Roman" w:eastAsia="仿宋_GB2312"/>
                <w:kern w:val="0"/>
                <w:sz w:val="24"/>
              </w:rPr>
              <w:t>66</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w:t>
            </w:r>
            <w:r>
              <w:rPr>
                <w:rFonts w:ascii="Times New Roman" w:hAnsi="Times New Roman" w:eastAsia="仿宋_GB2312"/>
                <w:kern w:val="0"/>
                <w:sz w:val="24"/>
              </w:rPr>
              <w:t>.95</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1.95</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项目支出：</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1、业务工作专项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xml:space="preserve">    2、运行维护专项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公用经费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w:t>
            </w:r>
            <w:r>
              <w:rPr>
                <w:rFonts w:ascii="Times New Roman" w:hAnsi="Times New Roman" w:eastAsia="仿宋_GB2312"/>
                <w:kern w:val="0"/>
                <w:sz w:val="24"/>
              </w:rPr>
              <w:t>46.80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94.37</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94.37</w:t>
            </w:r>
          </w:p>
        </w:tc>
      </w:tr>
      <w:tr>
        <w:tblPrEx>
          <w:tblCellMar>
            <w:top w:w="0" w:type="dxa"/>
            <w:left w:w="108" w:type="dxa"/>
            <w:bottom w:w="0" w:type="dxa"/>
            <w:right w:w="108" w:type="dxa"/>
          </w:tblCellMar>
        </w:tblPrEx>
        <w:trPr>
          <w:trHeight w:val="39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其中：办公经费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4</w:t>
            </w:r>
            <w:r>
              <w:rPr>
                <w:rFonts w:ascii="Times New Roman" w:hAnsi="Times New Roman" w:eastAsia="仿宋_GB2312"/>
                <w:kern w:val="0"/>
                <w:sz w:val="24"/>
              </w:rPr>
              <w:t>2.79</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41.52</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41.52</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水费、电费、差旅费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1</w:t>
            </w:r>
            <w:r>
              <w:rPr>
                <w:rFonts w:ascii="Times New Roman" w:hAnsi="Times New Roman" w:eastAsia="仿宋_GB2312"/>
                <w:kern w:val="0"/>
                <w:sz w:val="24"/>
              </w:rPr>
              <w:t>9.24</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23.62</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23.62</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会议费、培训费</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3</w:t>
            </w:r>
            <w:r>
              <w:rPr>
                <w:rFonts w:ascii="Times New Roman" w:hAnsi="Times New Roman" w:eastAsia="仿宋_GB2312"/>
                <w:kern w:val="0"/>
                <w:sz w:val="24"/>
              </w:rPr>
              <w:t>.50</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8</w:t>
            </w:r>
            <w:r>
              <w:rPr>
                <w:rFonts w:ascii="Times New Roman" w:hAnsi="Times New Roman" w:eastAsia="仿宋_GB2312"/>
                <w:kern w:val="0"/>
                <w:sz w:val="24"/>
              </w:rPr>
              <w:t>.5</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4</w:t>
            </w:r>
            <w:r>
              <w:rPr>
                <w:rFonts w:ascii="Times New Roman" w:hAnsi="Times New Roman" w:eastAsia="仿宋_GB2312"/>
                <w:kern w:val="0"/>
                <w:sz w:val="24"/>
              </w:rPr>
              <w:t>.7</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政府采购金额</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5</w:t>
            </w:r>
            <w:r>
              <w:rPr>
                <w:rFonts w:ascii="Times New Roman" w:hAnsi="Times New Roman" w:eastAsia="仿宋_GB2312"/>
                <w:kern w:val="0"/>
                <w:sz w:val="24"/>
              </w:rPr>
              <w:t>.39</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hint="eastAsia" w:ascii="Times New Roman" w:hAnsi="Times New Roman" w:eastAsia="仿宋_GB2312"/>
                <w:kern w:val="0"/>
                <w:sz w:val="24"/>
              </w:rPr>
              <w:t>5</w:t>
            </w:r>
            <w:r>
              <w:rPr>
                <w:rFonts w:ascii="Times New Roman" w:hAnsi="Times New Roman" w:eastAsia="仿宋_GB2312"/>
                <w:kern w:val="0"/>
                <w:sz w:val="24"/>
              </w:rPr>
              <w:t>.39　</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部门整体支出预算调整</w:t>
            </w:r>
          </w:p>
        </w:tc>
        <w:tc>
          <w:tcPr>
            <w:tcW w:w="2360"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w:t>
            </w:r>
          </w:p>
        </w:tc>
        <w:tc>
          <w:tcPr>
            <w:tcW w:w="2595"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c>
          <w:tcPr>
            <w:tcW w:w="183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r>
        <w:tblPrEx>
          <w:tblCellMar>
            <w:top w:w="0" w:type="dxa"/>
            <w:left w:w="108" w:type="dxa"/>
            <w:bottom w:w="0" w:type="dxa"/>
            <w:right w:w="108" w:type="dxa"/>
          </w:tblCellMar>
        </w:tblPrEx>
        <w:trPr>
          <w:trHeight w:val="1154" w:hRule="atLeast"/>
          <w:jc w:val="center"/>
        </w:trPr>
        <w:tc>
          <w:tcPr>
            <w:tcW w:w="355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楼堂馆所控制情况</w:t>
            </w:r>
            <w:r>
              <w:rPr>
                <w:rFonts w:ascii="Times New Roman" w:hAnsi="Times New Roman" w:eastAsia="仿宋_GB2312"/>
                <w:kern w:val="0"/>
                <w:sz w:val="24"/>
              </w:rPr>
              <w:br w:type="textWrapping"/>
            </w:r>
            <w:r>
              <w:rPr>
                <w:rFonts w:ascii="Times New Roman" w:hAnsi="Times New Roman" w:eastAsia="仿宋_GB2312"/>
                <w:kern w:val="0"/>
                <w:sz w:val="24"/>
              </w:rPr>
              <w:t>（2017年完工项目）</w:t>
            </w: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批复规模</w:t>
            </w:r>
            <w:r>
              <w:rPr>
                <w:rFonts w:ascii="Times New Roman" w:hAnsi="Times New Roman" w:eastAsia="仿宋_GB2312"/>
                <w:b/>
                <w:bCs/>
                <w:kern w:val="0"/>
                <w:sz w:val="24"/>
              </w:rPr>
              <w:br w:type="textWrapping"/>
            </w:r>
            <w:r>
              <w:rPr>
                <w:rFonts w:ascii="Times New Roman" w:hAnsi="Times New Roman" w:eastAsia="仿宋_GB2312"/>
                <w:b/>
                <w:bCs/>
                <w:kern w:val="0"/>
                <w:sz w:val="24"/>
              </w:rPr>
              <w:t>（</w:t>
            </w:r>
            <w:r>
              <w:rPr>
                <w:rFonts w:ascii="Times New Roman" w:hAnsi="Times New Roman"/>
                <w:b/>
                <w:bCs/>
                <w:kern w:val="0"/>
                <w:sz w:val="24"/>
              </w:rPr>
              <w:t>㎡</w:t>
            </w:r>
            <w:r>
              <w:rPr>
                <w:rFonts w:ascii="Times New Roman" w:hAnsi="Times New Roman" w:eastAsia="仿宋_GB2312"/>
                <w:b/>
                <w:bCs/>
                <w:kern w:val="0"/>
                <w:sz w:val="24"/>
              </w:rPr>
              <w:t>）</w:t>
            </w:r>
          </w:p>
        </w:tc>
        <w:tc>
          <w:tcPr>
            <w:tcW w:w="11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实际规模（</w:t>
            </w:r>
            <w:r>
              <w:rPr>
                <w:rFonts w:ascii="Times New Roman" w:hAnsi="Times New Roman"/>
                <w:b/>
                <w:bCs/>
                <w:kern w:val="0"/>
                <w:sz w:val="24"/>
              </w:rPr>
              <w:t>㎡</w:t>
            </w:r>
            <w:r>
              <w:rPr>
                <w:rFonts w:ascii="Times New Roman" w:hAnsi="Times New Roman" w:eastAsia="仿宋_GB2312"/>
                <w:b/>
                <w:bCs/>
                <w:kern w:val="0"/>
                <w:sz w:val="24"/>
              </w:rPr>
              <w:t>）</w:t>
            </w:r>
          </w:p>
        </w:tc>
        <w:tc>
          <w:tcPr>
            <w:tcW w:w="11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规模控制率</w:t>
            </w:r>
          </w:p>
        </w:tc>
        <w:tc>
          <w:tcPr>
            <w:tcW w:w="146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预算投资（万元）</w:t>
            </w:r>
          </w:p>
        </w:tc>
        <w:tc>
          <w:tcPr>
            <w:tcW w:w="97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实际投资（万元）</w:t>
            </w:r>
          </w:p>
        </w:tc>
        <w:tc>
          <w:tcPr>
            <w:tcW w:w="86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b/>
                <w:bCs/>
                <w:kern w:val="0"/>
                <w:sz w:val="24"/>
              </w:rPr>
            </w:pPr>
            <w:r>
              <w:rPr>
                <w:rFonts w:ascii="Times New Roman" w:hAnsi="Times New Roman" w:eastAsia="仿宋_GB2312"/>
                <w:b/>
                <w:bCs/>
                <w:kern w:val="0"/>
                <w:sz w:val="24"/>
              </w:rPr>
              <w:t>投资概算控制率</w:t>
            </w:r>
          </w:p>
        </w:tc>
      </w:tr>
      <w:tr>
        <w:tblPrEx>
          <w:tblCellMar>
            <w:top w:w="0" w:type="dxa"/>
            <w:left w:w="108" w:type="dxa"/>
            <w:bottom w:w="0" w:type="dxa"/>
            <w:right w:w="108" w:type="dxa"/>
          </w:tblCellMar>
        </w:tblPrEx>
        <w:trPr>
          <w:trHeight w:val="177" w:hRule="atLeast"/>
          <w:jc w:val="center"/>
        </w:trPr>
        <w:tc>
          <w:tcPr>
            <w:tcW w:w="35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 w:val="24"/>
              </w:rPr>
            </w:pPr>
          </w:p>
        </w:tc>
        <w:tc>
          <w:tcPr>
            <w:tcW w:w="119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11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113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1465"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97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c>
          <w:tcPr>
            <w:tcW w:w="86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kern w:val="0"/>
                <w:sz w:val="24"/>
              </w:rPr>
            </w:pPr>
            <w:r>
              <w:rPr>
                <w:rFonts w:ascii="Times New Roman" w:hAnsi="Times New Roman" w:eastAsia="仿宋_GB2312"/>
                <w:kern w:val="0"/>
                <w:sz w:val="24"/>
              </w:rPr>
              <w:t>　</w:t>
            </w:r>
            <w:r>
              <w:rPr>
                <w:rFonts w:hint="eastAsia" w:ascii="Times New Roman" w:hAnsi="Times New Roman" w:eastAsia="仿宋_GB2312"/>
                <w:kern w:val="0"/>
                <w:sz w:val="24"/>
              </w:rPr>
              <w:t>0</w:t>
            </w:r>
          </w:p>
        </w:tc>
      </w:tr>
      <w:tr>
        <w:tblPrEx>
          <w:tblCellMar>
            <w:top w:w="0" w:type="dxa"/>
            <w:left w:w="108" w:type="dxa"/>
            <w:bottom w:w="0" w:type="dxa"/>
            <w:right w:w="108" w:type="dxa"/>
          </w:tblCellMar>
        </w:tblPrEx>
        <w:trPr>
          <w:trHeight w:val="371" w:hRule="atLeast"/>
          <w:jc w:val="center"/>
        </w:trPr>
        <w:tc>
          <w:tcPr>
            <w:tcW w:w="3550"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厉行节约保障措施</w:t>
            </w:r>
          </w:p>
        </w:tc>
        <w:tc>
          <w:tcPr>
            <w:tcW w:w="6789"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 w:val="24"/>
              </w:rPr>
            </w:pPr>
            <w:r>
              <w:rPr>
                <w:rFonts w:ascii="Times New Roman" w:hAnsi="Times New Roman" w:eastAsia="仿宋_GB2312"/>
                <w:kern w:val="0"/>
                <w:sz w:val="24"/>
              </w:rPr>
              <w:t>　</w:t>
            </w:r>
          </w:p>
        </w:tc>
      </w:tr>
    </w:tbl>
    <w:p>
      <w:pPr>
        <w:widowControl/>
        <w:jc w:val="left"/>
        <w:rPr>
          <w:rFonts w:ascii="Times New Roman" w:hAnsi="Times New Roman"/>
        </w:rPr>
      </w:pPr>
      <w:r>
        <w:rPr>
          <w:rFonts w:ascii="Times New Roman" w:hAnsi="Times New Roman" w:eastAsia="仿宋_GB2312"/>
          <w:kern w:val="0"/>
          <w:sz w:val="22"/>
        </w:rPr>
        <w:t>说明：“项目支出”需要填报除专项资金和基本支出以外的所有项目情况，包括业务工作项目、运行维护项目等；“公用经费”填报基本支出中的一般商品和服务支出。</w:t>
      </w:r>
    </w:p>
    <w:p>
      <w:pPr>
        <w:widowControl/>
        <w:spacing w:line="560" w:lineRule="exact"/>
        <w:rPr>
          <w:rFonts w:ascii="Times New Roman" w:hAnsi="Times New Roman" w:eastAsia="黑体"/>
          <w:color w:val="000000"/>
          <w:sz w:val="32"/>
          <w:szCs w:val="32"/>
        </w:rPr>
      </w:pPr>
    </w:p>
    <w:sectPr>
      <w:headerReference r:id="rId3" w:type="default"/>
      <w:footerReference r:id="rId4" w:type="default"/>
      <w:pgSz w:w="11906" w:h="16838"/>
      <w:pgMar w:top="1361"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13</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810D1"/>
    <w:multiLevelType w:val="multilevel"/>
    <w:tmpl w:val="11A810D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974AB"/>
    <w:rsid w:val="0000298E"/>
    <w:rsid w:val="00002AE4"/>
    <w:rsid w:val="0002235E"/>
    <w:rsid w:val="0003050A"/>
    <w:rsid w:val="00031747"/>
    <w:rsid w:val="0003456A"/>
    <w:rsid w:val="00037035"/>
    <w:rsid w:val="000469BA"/>
    <w:rsid w:val="000516DC"/>
    <w:rsid w:val="00053F71"/>
    <w:rsid w:val="00054317"/>
    <w:rsid w:val="000552F3"/>
    <w:rsid w:val="00067842"/>
    <w:rsid w:val="00070B5F"/>
    <w:rsid w:val="00074239"/>
    <w:rsid w:val="000747B8"/>
    <w:rsid w:val="00075715"/>
    <w:rsid w:val="00083406"/>
    <w:rsid w:val="00085A99"/>
    <w:rsid w:val="00087EA5"/>
    <w:rsid w:val="00091B80"/>
    <w:rsid w:val="00092609"/>
    <w:rsid w:val="000A6E3A"/>
    <w:rsid w:val="000B1FC2"/>
    <w:rsid w:val="000B4DD3"/>
    <w:rsid w:val="000B731B"/>
    <w:rsid w:val="000D6179"/>
    <w:rsid w:val="000E240C"/>
    <w:rsid w:val="000F21D6"/>
    <w:rsid w:val="000F61BE"/>
    <w:rsid w:val="000F73AE"/>
    <w:rsid w:val="001062E8"/>
    <w:rsid w:val="00107BAB"/>
    <w:rsid w:val="00112EB7"/>
    <w:rsid w:val="00114AFB"/>
    <w:rsid w:val="001167EB"/>
    <w:rsid w:val="00121B82"/>
    <w:rsid w:val="00122D73"/>
    <w:rsid w:val="00126F08"/>
    <w:rsid w:val="0013478D"/>
    <w:rsid w:val="001415B7"/>
    <w:rsid w:val="00145A6A"/>
    <w:rsid w:val="0014663A"/>
    <w:rsid w:val="0014687B"/>
    <w:rsid w:val="001536DE"/>
    <w:rsid w:val="001554F6"/>
    <w:rsid w:val="00156827"/>
    <w:rsid w:val="00160267"/>
    <w:rsid w:val="0016425E"/>
    <w:rsid w:val="00167BE7"/>
    <w:rsid w:val="00180DA0"/>
    <w:rsid w:val="00181657"/>
    <w:rsid w:val="00182289"/>
    <w:rsid w:val="00190E24"/>
    <w:rsid w:val="00191FD7"/>
    <w:rsid w:val="0019209D"/>
    <w:rsid w:val="00192C5F"/>
    <w:rsid w:val="00197BA7"/>
    <w:rsid w:val="001A5697"/>
    <w:rsid w:val="001A64A0"/>
    <w:rsid w:val="001A7BCA"/>
    <w:rsid w:val="001B465B"/>
    <w:rsid w:val="001C12AA"/>
    <w:rsid w:val="001C15DF"/>
    <w:rsid w:val="001C7486"/>
    <w:rsid w:val="001D0ECC"/>
    <w:rsid w:val="001D4E15"/>
    <w:rsid w:val="001D65E5"/>
    <w:rsid w:val="001D6602"/>
    <w:rsid w:val="001E4F39"/>
    <w:rsid w:val="001E5B80"/>
    <w:rsid w:val="001E6BFE"/>
    <w:rsid w:val="001F6D73"/>
    <w:rsid w:val="001F766E"/>
    <w:rsid w:val="001F7E71"/>
    <w:rsid w:val="00202F69"/>
    <w:rsid w:val="00205440"/>
    <w:rsid w:val="002102DB"/>
    <w:rsid w:val="002129C1"/>
    <w:rsid w:val="00214D7C"/>
    <w:rsid w:val="00221432"/>
    <w:rsid w:val="00221B76"/>
    <w:rsid w:val="00222B27"/>
    <w:rsid w:val="00222E30"/>
    <w:rsid w:val="00225256"/>
    <w:rsid w:val="002305A2"/>
    <w:rsid w:val="00231C6E"/>
    <w:rsid w:val="00232F9D"/>
    <w:rsid w:val="0023666C"/>
    <w:rsid w:val="002367FF"/>
    <w:rsid w:val="00245BA5"/>
    <w:rsid w:val="00254482"/>
    <w:rsid w:val="00261A82"/>
    <w:rsid w:val="0026227A"/>
    <w:rsid w:val="00273F87"/>
    <w:rsid w:val="00286A75"/>
    <w:rsid w:val="00291511"/>
    <w:rsid w:val="00292E06"/>
    <w:rsid w:val="002955CC"/>
    <w:rsid w:val="002A1611"/>
    <w:rsid w:val="002A336C"/>
    <w:rsid w:val="002A3ED2"/>
    <w:rsid w:val="002A4788"/>
    <w:rsid w:val="002B1E16"/>
    <w:rsid w:val="002B2BEF"/>
    <w:rsid w:val="002B778F"/>
    <w:rsid w:val="002C064D"/>
    <w:rsid w:val="002C6CB0"/>
    <w:rsid w:val="002D6D4A"/>
    <w:rsid w:val="002E1DF4"/>
    <w:rsid w:val="002F612E"/>
    <w:rsid w:val="002F7643"/>
    <w:rsid w:val="00303890"/>
    <w:rsid w:val="003053A5"/>
    <w:rsid w:val="0031038E"/>
    <w:rsid w:val="00312736"/>
    <w:rsid w:val="003134F7"/>
    <w:rsid w:val="00313CA6"/>
    <w:rsid w:val="00317AB2"/>
    <w:rsid w:val="0032199B"/>
    <w:rsid w:val="00324952"/>
    <w:rsid w:val="00332598"/>
    <w:rsid w:val="00341012"/>
    <w:rsid w:val="00342BE8"/>
    <w:rsid w:val="00344BD5"/>
    <w:rsid w:val="00344CA7"/>
    <w:rsid w:val="00345181"/>
    <w:rsid w:val="00345B18"/>
    <w:rsid w:val="00346169"/>
    <w:rsid w:val="003478B2"/>
    <w:rsid w:val="00351E0E"/>
    <w:rsid w:val="00362473"/>
    <w:rsid w:val="00362E31"/>
    <w:rsid w:val="00372621"/>
    <w:rsid w:val="00373DD9"/>
    <w:rsid w:val="00374987"/>
    <w:rsid w:val="00377B71"/>
    <w:rsid w:val="0038212B"/>
    <w:rsid w:val="00383377"/>
    <w:rsid w:val="00383992"/>
    <w:rsid w:val="00383D6A"/>
    <w:rsid w:val="00392B58"/>
    <w:rsid w:val="00394ABB"/>
    <w:rsid w:val="003A4ACA"/>
    <w:rsid w:val="003A7FDD"/>
    <w:rsid w:val="003B23EB"/>
    <w:rsid w:val="003B2F4F"/>
    <w:rsid w:val="003B7FA2"/>
    <w:rsid w:val="003C5232"/>
    <w:rsid w:val="003D4854"/>
    <w:rsid w:val="003E3CB2"/>
    <w:rsid w:val="003E45F8"/>
    <w:rsid w:val="003E52E4"/>
    <w:rsid w:val="003E7F3D"/>
    <w:rsid w:val="00400BCF"/>
    <w:rsid w:val="00402211"/>
    <w:rsid w:val="00403A98"/>
    <w:rsid w:val="00404BE5"/>
    <w:rsid w:val="00410AE1"/>
    <w:rsid w:val="00410FF6"/>
    <w:rsid w:val="00411330"/>
    <w:rsid w:val="00412456"/>
    <w:rsid w:val="004140EF"/>
    <w:rsid w:val="00415D60"/>
    <w:rsid w:val="00417BC1"/>
    <w:rsid w:val="0042330A"/>
    <w:rsid w:val="00427D9D"/>
    <w:rsid w:val="00431F52"/>
    <w:rsid w:val="00434B10"/>
    <w:rsid w:val="00446CFB"/>
    <w:rsid w:val="004503A8"/>
    <w:rsid w:val="004506ED"/>
    <w:rsid w:val="004527DA"/>
    <w:rsid w:val="004561C6"/>
    <w:rsid w:val="00457A5D"/>
    <w:rsid w:val="004621CC"/>
    <w:rsid w:val="00464EC8"/>
    <w:rsid w:val="00473D54"/>
    <w:rsid w:val="00477A24"/>
    <w:rsid w:val="00477B78"/>
    <w:rsid w:val="00481926"/>
    <w:rsid w:val="0048366A"/>
    <w:rsid w:val="00483F92"/>
    <w:rsid w:val="004948B2"/>
    <w:rsid w:val="00496F6D"/>
    <w:rsid w:val="004A0757"/>
    <w:rsid w:val="004A2104"/>
    <w:rsid w:val="004B09F8"/>
    <w:rsid w:val="004B4B8D"/>
    <w:rsid w:val="004C10B1"/>
    <w:rsid w:val="004C2AEE"/>
    <w:rsid w:val="004D5F90"/>
    <w:rsid w:val="004E1AF5"/>
    <w:rsid w:val="004E2593"/>
    <w:rsid w:val="004E394D"/>
    <w:rsid w:val="004E6235"/>
    <w:rsid w:val="004E6E44"/>
    <w:rsid w:val="004F40BB"/>
    <w:rsid w:val="004F4E0C"/>
    <w:rsid w:val="004F53C1"/>
    <w:rsid w:val="00500075"/>
    <w:rsid w:val="00503CDE"/>
    <w:rsid w:val="00505F55"/>
    <w:rsid w:val="00507BC7"/>
    <w:rsid w:val="00510B86"/>
    <w:rsid w:val="0051405C"/>
    <w:rsid w:val="00514E72"/>
    <w:rsid w:val="00536A21"/>
    <w:rsid w:val="005377C3"/>
    <w:rsid w:val="0054315D"/>
    <w:rsid w:val="005438D0"/>
    <w:rsid w:val="0054486C"/>
    <w:rsid w:val="005473E0"/>
    <w:rsid w:val="0055022D"/>
    <w:rsid w:val="00550C9A"/>
    <w:rsid w:val="00553BA4"/>
    <w:rsid w:val="0057789D"/>
    <w:rsid w:val="00585BED"/>
    <w:rsid w:val="005916AB"/>
    <w:rsid w:val="00592496"/>
    <w:rsid w:val="00593595"/>
    <w:rsid w:val="005A1B71"/>
    <w:rsid w:val="005A3424"/>
    <w:rsid w:val="005A4779"/>
    <w:rsid w:val="005A5887"/>
    <w:rsid w:val="005A662C"/>
    <w:rsid w:val="005A6E3C"/>
    <w:rsid w:val="005B537E"/>
    <w:rsid w:val="005B70C2"/>
    <w:rsid w:val="005C1C09"/>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1181B"/>
    <w:rsid w:val="0061768E"/>
    <w:rsid w:val="00620930"/>
    <w:rsid w:val="00636CF9"/>
    <w:rsid w:val="00640E29"/>
    <w:rsid w:val="006412C9"/>
    <w:rsid w:val="00651EB6"/>
    <w:rsid w:val="00654D96"/>
    <w:rsid w:val="00655F15"/>
    <w:rsid w:val="00661AED"/>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3A89"/>
    <w:rsid w:val="006A6FDC"/>
    <w:rsid w:val="006A737B"/>
    <w:rsid w:val="006C3E4B"/>
    <w:rsid w:val="006C5D54"/>
    <w:rsid w:val="006C6956"/>
    <w:rsid w:val="006D0B0B"/>
    <w:rsid w:val="006D0B89"/>
    <w:rsid w:val="006E4E54"/>
    <w:rsid w:val="006F1419"/>
    <w:rsid w:val="006F2A6F"/>
    <w:rsid w:val="006F3485"/>
    <w:rsid w:val="00700CD4"/>
    <w:rsid w:val="00701DF4"/>
    <w:rsid w:val="00704174"/>
    <w:rsid w:val="00704536"/>
    <w:rsid w:val="0071201B"/>
    <w:rsid w:val="00723417"/>
    <w:rsid w:val="00725B1D"/>
    <w:rsid w:val="0073058B"/>
    <w:rsid w:val="007349D4"/>
    <w:rsid w:val="00737891"/>
    <w:rsid w:val="00754120"/>
    <w:rsid w:val="00756B93"/>
    <w:rsid w:val="0076124E"/>
    <w:rsid w:val="00766862"/>
    <w:rsid w:val="00767ED7"/>
    <w:rsid w:val="007707CC"/>
    <w:rsid w:val="00770932"/>
    <w:rsid w:val="0077217D"/>
    <w:rsid w:val="00783F85"/>
    <w:rsid w:val="00784182"/>
    <w:rsid w:val="00786728"/>
    <w:rsid w:val="00793BCC"/>
    <w:rsid w:val="007955C8"/>
    <w:rsid w:val="007974AB"/>
    <w:rsid w:val="007A0A4C"/>
    <w:rsid w:val="007B039C"/>
    <w:rsid w:val="007B13FA"/>
    <w:rsid w:val="007B46F9"/>
    <w:rsid w:val="007B4DD3"/>
    <w:rsid w:val="007B4F12"/>
    <w:rsid w:val="007B57E2"/>
    <w:rsid w:val="007B6F8C"/>
    <w:rsid w:val="007C0768"/>
    <w:rsid w:val="007C536F"/>
    <w:rsid w:val="007D16E0"/>
    <w:rsid w:val="007D5CA1"/>
    <w:rsid w:val="007D637D"/>
    <w:rsid w:val="007E01EC"/>
    <w:rsid w:val="007E3B70"/>
    <w:rsid w:val="007E493C"/>
    <w:rsid w:val="007F05A2"/>
    <w:rsid w:val="007F175B"/>
    <w:rsid w:val="007F1ED1"/>
    <w:rsid w:val="007F7875"/>
    <w:rsid w:val="008008F3"/>
    <w:rsid w:val="00800AE0"/>
    <w:rsid w:val="0082298A"/>
    <w:rsid w:val="00826499"/>
    <w:rsid w:val="00827E67"/>
    <w:rsid w:val="00832102"/>
    <w:rsid w:val="00833FA8"/>
    <w:rsid w:val="0084564C"/>
    <w:rsid w:val="00850144"/>
    <w:rsid w:val="00851F1E"/>
    <w:rsid w:val="00853362"/>
    <w:rsid w:val="008662AB"/>
    <w:rsid w:val="00867DE4"/>
    <w:rsid w:val="00885497"/>
    <w:rsid w:val="008862A7"/>
    <w:rsid w:val="0088633A"/>
    <w:rsid w:val="00892869"/>
    <w:rsid w:val="008A3FCC"/>
    <w:rsid w:val="008B03AA"/>
    <w:rsid w:val="008B1FF5"/>
    <w:rsid w:val="008B33CC"/>
    <w:rsid w:val="008B3530"/>
    <w:rsid w:val="008D36D8"/>
    <w:rsid w:val="008D5806"/>
    <w:rsid w:val="008D614F"/>
    <w:rsid w:val="008D7CE8"/>
    <w:rsid w:val="008E5488"/>
    <w:rsid w:val="008E6AF7"/>
    <w:rsid w:val="008E7DED"/>
    <w:rsid w:val="008E7F9D"/>
    <w:rsid w:val="008F0E86"/>
    <w:rsid w:val="0090366D"/>
    <w:rsid w:val="00905011"/>
    <w:rsid w:val="00911DD8"/>
    <w:rsid w:val="00917770"/>
    <w:rsid w:val="00917BD6"/>
    <w:rsid w:val="00921D22"/>
    <w:rsid w:val="00921EF0"/>
    <w:rsid w:val="00931AA0"/>
    <w:rsid w:val="00934CAB"/>
    <w:rsid w:val="00940031"/>
    <w:rsid w:val="0094137E"/>
    <w:rsid w:val="00943B87"/>
    <w:rsid w:val="009442C5"/>
    <w:rsid w:val="0094685F"/>
    <w:rsid w:val="00954435"/>
    <w:rsid w:val="0095529F"/>
    <w:rsid w:val="00956048"/>
    <w:rsid w:val="00961BF1"/>
    <w:rsid w:val="0096338E"/>
    <w:rsid w:val="009709F2"/>
    <w:rsid w:val="00971562"/>
    <w:rsid w:val="009720AF"/>
    <w:rsid w:val="009731BD"/>
    <w:rsid w:val="0097377E"/>
    <w:rsid w:val="0097487E"/>
    <w:rsid w:val="00977060"/>
    <w:rsid w:val="00980482"/>
    <w:rsid w:val="0098378E"/>
    <w:rsid w:val="00986F29"/>
    <w:rsid w:val="009901AD"/>
    <w:rsid w:val="00991EA4"/>
    <w:rsid w:val="009943A8"/>
    <w:rsid w:val="009947D3"/>
    <w:rsid w:val="009965AB"/>
    <w:rsid w:val="009A55AE"/>
    <w:rsid w:val="009B0D0F"/>
    <w:rsid w:val="009B2AC1"/>
    <w:rsid w:val="009B5011"/>
    <w:rsid w:val="009B5851"/>
    <w:rsid w:val="009C09EB"/>
    <w:rsid w:val="009C406D"/>
    <w:rsid w:val="009C5DDA"/>
    <w:rsid w:val="009D6DA7"/>
    <w:rsid w:val="009E02A8"/>
    <w:rsid w:val="009E265C"/>
    <w:rsid w:val="009E5869"/>
    <w:rsid w:val="009E5A22"/>
    <w:rsid w:val="009F404C"/>
    <w:rsid w:val="00A00330"/>
    <w:rsid w:val="00A031DE"/>
    <w:rsid w:val="00A113D8"/>
    <w:rsid w:val="00A14698"/>
    <w:rsid w:val="00A15119"/>
    <w:rsid w:val="00A219F9"/>
    <w:rsid w:val="00A225D2"/>
    <w:rsid w:val="00A304AE"/>
    <w:rsid w:val="00A31FCC"/>
    <w:rsid w:val="00A36DBC"/>
    <w:rsid w:val="00A413AD"/>
    <w:rsid w:val="00A42F44"/>
    <w:rsid w:val="00A430F4"/>
    <w:rsid w:val="00A43272"/>
    <w:rsid w:val="00A4398B"/>
    <w:rsid w:val="00A43B0D"/>
    <w:rsid w:val="00A44A41"/>
    <w:rsid w:val="00A50EDE"/>
    <w:rsid w:val="00A5307B"/>
    <w:rsid w:val="00A53396"/>
    <w:rsid w:val="00A57284"/>
    <w:rsid w:val="00A6409C"/>
    <w:rsid w:val="00A66B32"/>
    <w:rsid w:val="00A7247F"/>
    <w:rsid w:val="00A73805"/>
    <w:rsid w:val="00A747A4"/>
    <w:rsid w:val="00A76336"/>
    <w:rsid w:val="00A76E82"/>
    <w:rsid w:val="00A949AD"/>
    <w:rsid w:val="00AA1753"/>
    <w:rsid w:val="00AB11DB"/>
    <w:rsid w:val="00AC2C79"/>
    <w:rsid w:val="00AC3596"/>
    <w:rsid w:val="00AC5189"/>
    <w:rsid w:val="00AD0292"/>
    <w:rsid w:val="00AD09F4"/>
    <w:rsid w:val="00AD797A"/>
    <w:rsid w:val="00AE2DA1"/>
    <w:rsid w:val="00AE4204"/>
    <w:rsid w:val="00AE777B"/>
    <w:rsid w:val="00AF02BC"/>
    <w:rsid w:val="00AF1354"/>
    <w:rsid w:val="00B04987"/>
    <w:rsid w:val="00B0551B"/>
    <w:rsid w:val="00B067B2"/>
    <w:rsid w:val="00B07A1C"/>
    <w:rsid w:val="00B12151"/>
    <w:rsid w:val="00B13B33"/>
    <w:rsid w:val="00B13F7B"/>
    <w:rsid w:val="00B1669E"/>
    <w:rsid w:val="00B21F2B"/>
    <w:rsid w:val="00B23A19"/>
    <w:rsid w:val="00B23AE6"/>
    <w:rsid w:val="00B3064B"/>
    <w:rsid w:val="00B30E1F"/>
    <w:rsid w:val="00B32F56"/>
    <w:rsid w:val="00B4272F"/>
    <w:rsid w:val="00B5069E"/>
    <w:rsid w:val="00B54FA2"/>
    <w:rsid w:val="00B559AE"/>
    <w:rsid w:val="00B576D4"/>
    <w:rsid w:val="00B57CA9"/>
    <w:rsid w:val="00B605B4"/>
    <w:rsid w:val="00B65994"/>
    <w:rsid w:val="00B718B5"/>
    <w:rsid w:val="00B7695F"/>
    <w:rsid w:val="00B80C73"/>
    <w:rsid w:val="00B824FB"/>
    <w:rsid w:val="00B83A6B"/>
    <w:rsid w:val="00B8579B"/>
    <w:rsid w:val="00B85D54"/>
    <w:rsid w:val="00B86CDE"/>
    <w:rsid w:val="00B86E61"/>
    <w:rsid w:val="00B90483"/>
    <w:rsid w:val="00B90FCE"/>
    <w:rsid w:val="00B9269A"/>
    <w:rsid w:val="00B93DBC"/>
    <w:rsid w:val="00B97A2C"/>
    <w:rsid w:val="00BA21E0"/>
    <w:rsid w:val="00BA3557"/>
    <w:rsid w:val="00BB02A3"/>
    <w:rsid w:val="00BB0D8B"/>
    <w:rsid w:val="00BB7153"/>
    <w:rsid w:val="00BD1277"/>
    <w:rsid w:val="00BD2EA9"/>
    <w:rsid w:val="00BD600A"/>
    <w:rsid w:val="00BD7C07"/>
    <w:rsid w:val="00BE2E9A"/>
    <w:rsid w:val="00BE6894"/>
    <w:rsid w:val="00BE7B5D"/>
    <w:rsid w:val="00BF20DB"/>
    <w:rsid w:val="00BF73DD"/>
    <w:rsid w:val="00C0088E"/>
    <w:rsid w:val="00C02189"/>
    <w:rsid w:val="00C20029"/>
    <w:rsid w:val="00C21ADA"/>
    <w:rsid w:val="00C30FDC"/>
    <w:rsid w:val="00C319C9"/>
    <w:rsid w:val="00C33895"/>
    <w:rsid w:val="00C3680C"/>
    <w:rsid w:val="00C44C07"/>
    <w:rsid w:val="00C4612E"/>
    <w:rsid w:val="00C54E49"/>
    <w:rsid w:val="00C5586C"/>
    <w:rsid w:val="00C573B5"/>
    <w:rsid w:val="00C60E03"/>
    <w:rsid w:val="00C62F43"/>
    <w:rsid w:val="00C63A3A"/>
    <w:rsid w:val="00C63B42"/>
    <w:rsid w:val="00C72DCE"/>
    <w:rsid w:val="00C935BF"/>
    <w:rsid w:val="00CA0A79"/>
    <w:rsid w:val="00CA163D"/>
    <w:rsid w:val="00CA33BA"/>
    <w:rsid w:val="00CB5102"/>
    <w:rsid w:val="00CB6748"/>
    <w:rsid w:val="00CC0774"/>
    <w:rsid w:val="00CC3862"/>
    <w:rsid w:val="00CC4ADD"/>
    <w:rsid w:val="00CC6085"/>
    <w:rsid w:val="00CD2BBD"/>
    <w:rsid w:val="00CD35A0"/>
    <w:rsid w:val="00CE087F"/>
    <w:rsid w:val="00CE0DAB"/>
    <w:rsid w:val="00CE563D"/>
    <w:rsid w:val="00CF402D"/>
    <w:rsid w:val="00CF75DD"/>
    <w:rsid w:val="00CF7E02"/>
    <w:rsid w:val="00D05ACC"/>
    <w:rsid w:val="00D14DCC"/>
    <w:rsid w:val="00D204FD"/>
    <w:rsid w:val="00D251C2"/>
    <w:rsid w:val="00D258CC"/>
    <w:rsid w:val="00D30AEF"/>
    <w:rsid w:val="00D33649"/>
    <w:rsid w:val="00D4312A"/>
    <w:rsid w:val="00D4564B"/>
    <w:rsid w:val="00D464D3"/>
    <w:rsid w:val="00D52EEC"/>
    <w:rsid w:val="00D55FCF"/>
    <w:rsid w:val="00D60B6C"/>
    <w:rsid w:val="00D62E84"/>
    <w:rsid w:val="00D65095"/>
    <w:rsid w:val="00D67221"/>
    <w:rsid w:val="00D74FF7"/>
    <w:rsid w:val="00D809C7"/>
    <w:rsid w:val="00D903B2"/>
    <w:rsid w:val="00D90B0C"/>
    <w:rsid w:val="00D927CA"/>
    <w:rsid w:val="00DA1E2C"/>
    <w:rsid w:val="00DB79CE"/>
    <w:rsid w:val="00DD1471"/>
    <w:rsid w:val="00DD1B35"/>
    <w:rsid w:val="00DD65C0"/>
    <w:rsid w:val="00DD7E04"/>
    <w:rsid w:val="00DE04EC"/>
    <w:rsid w:val="00DE1D58"/>
    <w:rsid w:val="00DE53FD"/>
    <w:rsid w:val="00DE5A27"/>
    <w:rsid w:val="00DF0050"/>
    <w:rsid w:val="00DF192B"/>
    <w:rsid w:val="00DF3708"/>
    <w:rsid w:val="00DF422E"/>
    <w:rsid w:val="00DF5577"/>
    <w:rsid w:val="00E03F72"/>
    <w:rsid w:val="00E04C58"/>
    <w:rsid w:val="00E07FE4"/>
    <w:rsid w:val="00E1178C"/>
    <w:rsid w:val="00E12865"/>
    <w:rsid w:val="00E1598C"/>
    <w:rsid w:val="00E15E80"/>
    <w:rsid w:val="00E171D4"/>
    <w:rsid w:val="00E20D5A"/>
    <w:rsid w:val="00E2433A"/>
    <w:rsid w:val="00E25F25"/>
    <w:rsid w:val="00E275D0"/>
    <w:rsid w:val="00E35604"/>
    <w:rsid w:val="00E40FD3"/>
    <w:rsid w:val="00E46D74"/>
    <w:rsid w:val="00E510E7"/>
    <w:rsid w:val="00E54080"/>
    <w:rsid w:val="00E55CDD"/>
    <w:rsid w:val="00E5799B"/>
    <w:rsid w:val="00E63F09"/>
    <w:rsid w:val="00E67595"/>
    <w:rsid w:val="00E67C16"/>
    <w:rsid w:val="00E701BD"/>
    <w:rsid w:val="00E72030"/>
    <w:rsid w:val="00E774DF"/>
    <w:rsid w:val="00E7796F"/>
    <w:rsid w:val="00E80074"/>
    <w:rsid w:val="00E848A7"/>
    <w:rsid w:val="00E85548"/>
    <w:rsid w:val="00E94326"/>
    <w:rsid w:val="00E94979"/>
    <w:rsid w:val="00EA01AD"/>
    <w:rsid w:val="00EB0525"/>
    <w:rsid w:val="00EB0AF9"/>
    <w:rsid w:val="00EB20C3"/>
    <w:rsid w:val="00EC133C"/>
    <w:rsid w:val="00EC2A45"/>
    <w:rsid w:val="00EC6DC1"/>
    <w:rsid w:val="00ED459B"/>
    <w:rsid w:val="00ED57CB"/>
    <w:rsid w:val="00F0324A"/>
    <w:rsid w:val="00F033A8"/>
    <w:rsid w:val="00F07174"/>
    <w:rsid w:val="00F07FD8"/>
    <w:rsid w:val="00F15C5B"/>
    <w:rsid w:val="00F204D5"/>
    <w:rsid w:val="00F31077"/>
    <w:rsid w:val="00F3377F"/>
    <w:rsid w:val="00F34647"/>
    <w:rsid w:val="00F37A95"/>
    <w:rsid w:val="00F40D7F"/>
    <w:rsid w:val="00F41262"/>
    <w:rsid w:val="00F438FF"/>
    <w:rsid w:val="00F5082F"/>
    <w:rsid w:val="00F5169F"/>
    <w:rsid w:val="00F53D8C"/>
    <w:rsid w:val="00F5551B"/>
    <w:rsid w:val="00F62E20"/>
    <w:rsid w:val="00F631D3"/>
    <w:rsid w:val="00F64039"/>
    <w:rsid w:val="00F647D2"/>
    <w:rsid w:val="00F64A66"/>
    <w:rsid w:val="00F67480"/>
    <w:rsid w:val="00F67A2E"/>
    <w:rsid w:val="00F7046B"/>
    <w:rsid w:val="00F70AE0"/>
    <w:rsid w:val="00F71779"/>
    <w:rsid w:val="00F81E51"/>
    <w:rsid w:val="00F82738"/>
    <w:rsid w:val="00F921CA"/>
    <w:rsid w:val="00FA27F4"/>
    <w:rsid w:val="00FA5A76"/>
    <w:rsid w:val="00FB0000"/>
    <w:rsid w:val="00FB5CB5"/>
    <w:rsid w:val="00FD0185"/>
    <w:rsid w:val="00FD0186"/>
    <w:rsid w:val="00FD03F6"/>
    <w:rsid w:val="00FD1260"/>
    <w:rsid w:val="00FD4154"/>
    <w:rsid w:val="00FD47E3"/>
    <w:rsid w:val="00FE15F4"/>
    <w:rsid w:val="00FF2E41"/>
    <w:rsid w:val="00FF2FCA"/>
    <w:rsid w:val="00FF5CAC"/>
    <w:rsid w:val="0B5B5A73"/>
    <w:rsid w:val="17203872"/>
    <w:rsid w:val="20C51591"/>
    <w:rsid w:val="3B1C521F"/>
    <w:rsid w:val="57E714CD"/>
    <w:rsid w:val="64CC7F22"/>
    <w:rsid w:val="79A6583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nhideWhenUsed="0"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qFormat="1" w:unhideWhenUsed="0" w:uiPriority="99" w:name="HTML Address"/>
    <w:lsdException w:unhideWhenUsed="0" w:uiPriority="99" w:name="HTML Cite"/>
    <w:lsdException w:unhideWhenUsed="0"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0"/>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1"/>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2"/>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3"/>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4"/>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HTML Address"/>
    <w:basedOn w:val="1"/>
    <w:link w:val="25"/>
    <w:semiHidden/>
    <w:qFormat/>
    <w:uiPriority w:val="99"/>
    <w:pPr>
      <w:widowControl/>
      <w:jc w:val="left"/>
    </w:pPr>
    <w:rPr>
      <w:rFonts w:ascii="宋体" w:hAnsi="宋体" w:cs="宋体"/>
      <w:kern w:val="0"/>
      <w:sz w:val="24"/>
      <w:szCs w:val="24"/>
    </w:rPr>
  </w:style>
  <w:style w:type="paragraph" w:styleId="9">
    <w:name w:val="footer"/>
    <w:basedOn w:val="1"/>
    <w:link w:val="124"/>
    <w:qFormat/>
    <w:uiPriority w:val="99"/>
    <w:pPr>
      <w:tabs>
        <w:tab w:val="center" w:pos="4153"/>
        <w:tab w:val="right" w:pos="8306"/>
      </w:tabs>
      <w:snapToGrid w:val="0"/>
      <w:jc w:val="left"/>
    </w:pPr>
    <w:rPr>
      <w:sz w:val="18"/>
      <w:szCs w:val="18"/>
    </w:rPr>
  </w:style>
  <w:style w:type="paragraph" w:styleId="10">
    <w:name w:val="header"/>
    <w:basedOn w:val="1"/>
    <w:link w:val="123"/>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uiPriority w:val="99"/>
    <w:rPr>
      <w:rFonts w:cs="Times New Roman"/>
      <w:color w:val="252525"/>
      <w:u w:val="none"/>
    </w:rPr>
  </w:style>
  <w:style w:type="character" w:styleId="15">
    <w:name w:val="Emphasis"/>
    <w:basedOn w:val="13"/>
    <w:qFormat/>
    <w:uiPriority w:val="99"/>
    <w:rPr>
      <w:rFonts w:cs="Times New Roman"/>
    </w:rPr>
  </w:style>
  <w:style w:type="character" w:styleId="16">
    <w:name w:val="Hyperlink"/>
    <w:basedOn w:val="13"/>
    <w:semiHidden/>
    <w:uiPriority w:val="99"/>
    <w:rPr>
      <w:rFonts w:cs="Times New Roman"/>
      <w:color w:val="252525"/>
      <w:u w:val="none"/>
    </w:rPr>
  </w:style>
  <w:style w:type="character" w:styleId="17">
    <w:name w:val="HTML Code"/>
    <w:basedOn w:val="13"/>
    <w:semiHidden/>
    <w:uiPriority w:val="99"/>
    <w:rPr>
      <w:rFonts w:ascii="宋体" w:hAnsi="宋体" w:eastAsia="宋体" w:cs="宋体"/>
      <w:sz w:val="24"/>
      <w:szCs w:val="24"/>
    </w:rPr>
  </w:style>
  <w:style w:type="character" w:styleId="18">
    <w:name w:val="HTML Cite"/>
    <w:basedOn w:val="13"/>
    <w:semiHidden/>
    <w:uiPriority w:val="99"/>
    <w:rPr>
      <w:rFonts w:cs="Times New Roman"/>
    </w:rPr>
  </w:style>
  <w:style w:type="character" w:customStyle="1" w:styleId="19">
    <w:name w:val="标题 1 Char"/>
    <w:basedOn w:val="13"/>
    <w:link w:val="2"/>
    <w:qFormat/>
    <w:locked/>
    <w:uiPriority w:val="99"/>
    <w:rPr>
      <w:rFonts w:ascii="宋体" w:hAnsi="宋体" w:eastAsia="宋体" w:cs="宋体"/>
      <w:kern w:val="36"/>
      <w:sz w:val="48"/>
      <w:szCs w:val="48"/>
    </w:rPr>
  </w:style>
  <w:style w:type="character" w:customStyle="1" w:styleId="20">
    <w:name w:val="标题 2 Char"/>
    <w:basedOn w:val="13"/>
    <w:link w:val="3"/>
    <w:locked/>
    <w:uiPriority w:val="99"/>
    <w:rPr>
      <w:rFonts w:ascii="宋体" w:hAnsi="宋体" w:eastAsia="宋体" w:cs="宋体"/>
      <w:kern w:val="0"/>
      <w:sz w:val="36"/>
      <w:szCs w:val="36"/>
    </w:rPr>
  </w:style>
  <w:style w:type="character" w:customStyle="1" w:styleId="21">
    <w:name w:val="标题 3 Char"/>
    <w:basedOn w:val="13"/>
    <w:link w:val="4"/>
    <w:locked/>
    <w:uiPriority w:val="99"/>
    <w:rPr>
      <w:rFonts w:ascii="宋体" w:hAnsi="宋体" w:eastAsia="宋体" w:cs="宋体"/>
      <w:kern w:val="0"/>
      <w:sz w:val="27"/>
      <w:szCs w:val="27"/>
    </w:rPr>
  </w:style>
  <w:style w:type="character" w:customStyle="1" w:styleId="22">
    <w:name w:val="标题 4 Char"/>
    <w:basedOn w:val="13"/>
    <w:link w:val="5"/>
    <w:qFormat/>
    <w:locked/>
    <w:uiPriority w:val="99"/>
    <w:rPr>
      <w:rFonts w:ascii="宋体" w:hAnsi="宋体" w:eastAsia="宋体" w:cs="宋体"/>
      <w:kern w:val="0"/>
      <w:sz w:val="24"/>
      <w:szCs w:val="24"/>
    </w:rPr>
  </w:style>
  <w:style w:type="character" w:customStyle="1" w:styleId="23">
    <w:name w:val="标题 5 Char"/>
    <w:basedOn w:val="13"/>
    <w:link w:val="6"/>
    <w:locked/>
    <w:uiPriority w:val="99"/>
    <w:rPr>
      <w:rFonts w:ascii="宋体" w:hAnsi="宋体" w:eastAsia="宋体" w:cs="宋体"/>
      <w:kern w:val="0"/>
      <w:sz w:val="20"/>
      <w:szCs w:val="20"/>
    </w:rPr>
  </w:style>
  <w:style w:type="character" w:customStyle="1" w:styleId="24">
    <w:name w:val="标题 6 Char"/>
    <w:basedOn w:val="13"/>
    <w:link w:val="7"/>
    <w:locked/>
    <w:uiPriority w:val="99"/>
    <w:rPr>
      <w:rFonts w:ascii="宋体" w:hAnsi="宋体" w:eastAsia="宋体" w:cs="宋体"/>
      <w:kern w:val="0"/>
      <w:sz w:val="15"/>
      <w:szCs w:val="15"/>
    </w:rPr>
  </w:style>
  <w:style w:type="character" w:customStyle="1" w:styleId="25">
    <w:name w:val="HTML 地址 Char"/>
    <w:basedOn w:val="13"/>
    <w:link w:val="8"/>
    <w:semiHidden/>
    <w:qFormat/>
    <w:locked/>
    <w:uiPriority w:val="99"/>
    <w:rPr>
      <w:rFonts w:ascii="宋体" w:hAnsi="宋体" w:eastAsia="宋体" w:cs="宋体"/>
      <w:kern w:val="0"/>
      <w:sz w:val="24"/>
      <w:szCs w:val="24"/>
    </w:rPr>
  </w:style>
  <w:style w:type="paragraph" w:customStyle="1" w:styleId="26">
    <w:name w:val="fb"/>
    <w:basedOn w:val="1"/>
    <w:uiPriority w:val="99"/>
    <w:pPr>
      <w:widowControl/>
      <w:spacing w:before="100" w:beforeAutospacing="1" w:after="100" w:afterAutospacing="1"/>
      <w:jc w:val="left"/>
    </w:pPr>
    <w:rPr>
      <w:rFonts w:ascii="宋体" w:hAnsi="宋体" w:cs="宋体"/>
      <w:b/>
      <w:bCs/>
      <w:kern w:val="0"/>
      <w:sz w:val="24"/>
      <w:szCs w:val="24"/>
    </w:rPr>
  </w:style>
  <w:style w:type="paragraph" w:customStyle="1" w:styleId="27">
    <w:name w:val="cwhite"/>
    <w:basedOn w:val="1"/>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28">
    <w:name w:val="cgray"/>
    <w:basedOn w:val="1"/>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29">
    <w:name w:val="cf14"/>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30">
    <w:name w:val="line"/>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1">
    <w:name w:val="line2"/>
    <w:basedOn w:val="1"/>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2">
    <w:name w:val="top_ta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3">
    <w:name w:val="bann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top_nav"/>
    <w:basedOn w:val="1"/>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5">
    <w:name w:val="top_clear1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nav"/>
    <w:basedOn w:val="1"/>
    <w:uiPriority w:val="99"/>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37">
    <w:name w:val="topinpu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8">
    <w:name w:val="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btn02"/>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vm"/>
    <w:basedOn w:val="1"/>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1">
    <w:name w:val="navbox"/>
    <w:basedOn w:val="1"/>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2">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页脚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4">
    <w:name w:val="main"/>
    <w:basedOn w:val="1"/>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5">
    <w:name w:val="newsbox"/>
    <w:basedOn w:val="1"/>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6">
    <w:name w:val="newsconcent"/>
    <w:basedOn w:val="1"/>
    <w:uiPriority w:val="99"/>
    <w:pPr>
      <w:widowControl/>
      <w:spacing w:before="150" w:after="100" w:afterAutospacing="1"/>
      <w:jc w:val="left"/>
    </w:pPr>
    <w:rPr>
      <w:rFonts w:ascii="宋体" w:hAnsi="宋体" w:cs="宋体"/>
      <w:kern w:val="0"/>
      <w:sz w:val="24"/>
      <w:szCs w:val="24"/>
    </w:rPr>
  </w:style>
  <w:style w:type="paragraph" w:customStyle="1" w:styleId="47">
    <w:name w:val="newstitl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8">
    <w:name w:val="line_bottom_dotted"/>
    <w:basedOn w:val="1"/>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49">
    <w:name w:val="line_3_solid"/>
    <w:basedOn w:val="1"/>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0">
    <w:name w:val="line_top_red"/>
    <w:basedOn w:val="1"/>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1">
    <w:name w:val="line_bottom_red"/>
    <w:basedOn w:val="1"/>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2">
    <w:name w:val="newslist_red"/>
    <w:basedOn w:val="1"/>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szCs w:val="21"/>
    </w:rPr>
  </w:style>
  <w:style w:type="paragraph" w:customStyle="1" w:styleId="53">
    <w:name w:val="newslist_black"/>
    <w:basedOn w:val="1"/>
    <w:uiPriority w:val="99"/>
    <w:pPr>
      <w:widowControl/>
      <w:spacing w:before="100" w:beforeAutospacing="1" w:after="100" w:afterAutospacing="1" w:line="525" w:lineRule="atLeast"/>
      <w:jc w:val="center"/>
    </w:pPr>
    <w:rPr>
      <w:rFonts w:ascii="宋体" w:hAnsi="宋体" w:cs="宋体"/>
      <w:kern w:val="0"/>
      <w:szCs w:val="21"/>
    </w:rPr>
  </w:style>
  <w:style w:type="paragraph" w:customStyle="1" w:styleId="54">
    <w:name w:val="zwgk"/>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5">
    <w:name w:val="zwgk_top"/>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6">
    <w:name w:val="zwgk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fwym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bsfw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hdfw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ymzc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martop9"/>
    <w:basedOn w:val="1"/>
    <w:uiPriority w:val="99"/>
    <w:pPr>
      <w:widowControl/>
      <w:spacing w:before="135" w:after="100" w:afterAutospacing="1"/>
      <w:jc w:val="left"/>
    </w:pPr>
    <w:rPr>
      <w:rFonts w:ascii="宋体" w:hAnsi="宋体" w:cs="宋体"/>
      <w:kern w:val="0"/>
      <w:sz w:val="24"/>
      <w:szCs w:val="24"/>
    </w:rPr>
  </w:style>
  <w:style w:type="paragraph" w:customStyle="1" w:styleId="62">
    <w:name w:val="marleft20"/>
    <w:basedOn w:val="1"/>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3">
    <w:name w:val="zwgk_left_top"/>
    <w:basedOn w:val="1"/>
    <w:uiPriority w:val="99"/>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64">
    <w:name w:val="zwgk_nav_span"/>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65">
    <w:name w:val="zwgk_nav1"/>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6">
    <w:name w:val="zwgk_nav2"/>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7">
    <w:name w:val="zwgk_nav3"/>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8">
    <w:name w:val="zwgk_nav4"/>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right_nav"/>
    <w:basedOn w:val="1"/>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1">
    <w:name w:val="zwgk_right_nav1"/>
    <w:basedOn w:val="1"/>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2">
    <w:name w:val="bs_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73">
    <w:name w:val="bs_tab_bar"/>
    <w:basedOn w:val="1"/>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74">
    <w:name w:val="link_line"/>
    <w:basedOn w:val="1"/>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5">
    <w:name w:val="xl_titel"/>
    <w:basedOn w:val="1"/>
    <w:uiPriority w:val="99"/>
    <w:pPr>
      <w:widowControl/>
      <w:spacing w:before="100" w:beforeAutospacing="1" w:after="100" w:afterAutospacing="1"/>
      <w:jc w:val="left"/>
    </w:pPr>
    <w:rPr>
      <w:rFonts w:ascii="宋体" w:hAnsi="宋体" w:cs="宋体"/>
      <w:kern w:val="0"/>
      <w:sz w:val="36"/>
      <w:szCs w:val="36"/>
    </w:rPr>
  </w:style>
  <w:style w:type="paragraph" w:customStyle="1" w:styleId="76">
    <w:name w:val="xl_con"/>
    <w:basedOn w:val="1"/>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77">
    <w:name w:val="tabmore"/>
    <w:basedOn w:val="1"/>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78">
    <w:name w:val="grid1"/>
    <w:basedOn w:val="1"/>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79">
    <w:name w:val="ta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0">
    <w:name w:val="tr_color_1"/>
    <w:basedOn w:val="1"/>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1">
    <w:name w:val="hj-easyread-smoothtips"/>
    <w:basedOn w:val="1"/>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2">
    <w:name w:val="hj-easyread-contain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navmenu"/>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4">
    <w:name w:val="searc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lef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righ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newspic"/>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rightnew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titlefo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smooth-lf"/>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smoot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w98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box"/>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tipscontrol-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returnto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hj-easyread-icons"/>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日期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current"/>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xwsd"/>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gsgg"/>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hj-easyread-sider-btns-item"/>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02">
    <w:name w:val="hj-easyread-speakerprocesser-position-action-icon"/>
    <w:basedOn w:val="13"/>
    <w:uiPriority w:val="99"/>
    <w:rPr>
      <w:rFonts w:cs="Times New Roman"/>
    </w:rPr>
  </w:style>
  <w:style w:type="paragraph" w:customStyle="1" w:styleId="103">
    <w:name w:val="navmenu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current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5">
    <w:name w:val="search1"/>
    <w:basedOn w:val="1"/>
    <w:uiPriority w:val="99"/>
    <w:pPr>
      <w:widowControl/>
      <w:spacing w:line="660" w:lineRule="atLeast"/>
      <w:jc w:val="left"/>
    </w:pPr>
    <w:rPr>
      <w:rFonts w:ascii="宋体" w:hAnsi="宋体" w:cs="宋体"/>
      <w:kern w:val="0"/>
      <w:sz w:val="24"/>
      <w:szCs w:val="24"/>
    </w:rPr>
  </w:style>
  <w:style w:type="paragraph" w:customStyle="1" w:styleId="106">
    <w:name w:val="lef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righ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newspic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9">
    <w:name w:val="rightnews1"/>
    <w:basedOn w:val="1"/>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0">
    <w:name w:val="xwsd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gsgg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date1"/>
    <w:basedOn w:val="1"/>
    <w:uiPriority w:val="99"/>
    <w:pPr>
      <w:widowControl/>
      <w:spacing w:before="100" w:beforeAutospacing="1" w:after="100" w:afterAutospacing="1"/>
      <w:jc w:val="center"/>
    </w:pPr>
    <w:rPr>
      <w:rFonts w:ascii="宋体" w:hAnsi="宋体" w:cs="宋体"/>
      <w:kern w:val="0"/>
      <w:sz w:val="18"/>
      <w:szCs w:val="18"/>
    </w:rPr>
  </w:style>
  <w:style w:type="paragraph" w:customStyle="1" w:styleId="113">
    <w:name w:val="titlefont1"/>
    <w:basedOn w:val="1"/>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4">
    <w:name w:val="smooth-lf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smooth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6">
    <w:name w:val="w9801"/>
    <w:basedOn w:val="1"/>
    <w:uiPriority w:val="99"/>
    <w:pPr>
      <w:widowControl/>
      <w:jc w:val="left"/>
    </w:pPr>
    <w:rPr>
      <w:rFonts w:ascii="宋体" w:hAnsi="宋体" w:cs="宋体"/>
      <w:kern w:val="0"/>
      <w:sz w:val="24"/>
      <w:szCs w:val="24"/>
    </w:rPr>
  </w:style>
  <w:style w:type="paragraph" w:customStyle="1" w:styleId="117">
    <w:name w:val="smooth-box1"/>
    <w:basedOn w:val="1"/>
    <w:uiPriority w:val="99"/>
    <w:pPr>
      <w:widowControl/>
      <w:spacing w:before="100" w:beforeAutospacing="1" w:after="100" w:afterAutospacing="1"/>
      <w:jc w:val="right"/>
    </w:pPr>
    <w:rPr>
      <w:rFonts w:ascii="宋体" w:hAnsi="宋体" w:cs="宋体"/>
      <w:kern w:val="0"/>
      <w:sz w:val="24"/>
      <w:szCs w:val="24"/>
    </w:rPr>
  </w:style>
  <w:style w:type="paragraph" w:customStyle="1" w:styleId="118">
    <w:name w:val="hj-easyread-sider-btns-item1"/>
    <w:basedOn w:val="1"/>
    <w:uiPriority w:val="99"/>
    <w:pPr>
      <w:widowControl/>
      <w:spacing w:before="100" w:beforeAutospacing="1" w:after="100" w:afterAutospacing="1"/>
      <w:jc w:val="left"/>
    </w:pPr>
    <w:rPr>
      <w:rFonts w:ascii="宋体" w:hAnsi="宋体" w:cs="宋体"/>
      <w:vanish/>
      <w:kern w:val="0"/>
      <w:sz w:val="24"/>
      <w:szCs w:val="24"/>
    </w:rPr>
  </w:style>
  <w:style w:type="character" w:customStyle="1" w:styleId="119">
    <w:name w:val="hj-easyread-speakerprocesser-position-action-icon1"/>
    <w:basedOn w:val="13"/>
    <w:uiPriority w:val="99"/>
    <w:rPr>
      <w:rFonts w:cs="Times New Roman"/>
      <w:shd w:val="clear" w:color="auto" w:fill="auto"/>
    </w:rPr>
  </w:style>
  <w:style w:type="paragraph" w:customStyle="1" w:styleId="120">
    <w:name w:val="tipscontrol-btn1"/>
    <w:basedOn w:val="1"/>
    <w:uiPriority w:val="99"/>
    <w:pPr>
      <w:widowControl/>
      <w:spacing w:before="100" w:beforeAutospacing="1" w:after="135" w:line="536853376" w:lineRule="auto"/>
      <w:jc w:val="left"/>
    </w:pPr>
    <w:rPr>
      <w:rFonts w:ascii="宋体" w:hAnsi="宋体" w:cs="宋体"/>
      <w:kern w:val="0"/>
      <w:sz w:val="2"/>
      <w:szCs w:val="2"/>
    </w:rPr>
  </w:style>
  <w:style w:type="paragraph" w:customStyle="1" w:styleId="121">
    <w:name w:val="returntotop-btn1"/>
    <w:basedOn w:val="1"/>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2">
    <w:name w:val="hj-easyread-icons1"/>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23">
    <w:name w:val="页眉 Char"/>
    <w:basedOn w:val="13"/>
    <w:link w:val="10"/>
    <w:semiHidden/>
    <w:locked/>
    <w:uiPriority w:val="99"/>
    <w:rPr>
      <w:rFonts w:cs="Times New Roman"/>
      <w:sz w:val="18"/>
      <w:szCs w:val="18"/>
    </w:rPr>
  </w:style>
  <w:style w:type="character" w:customStyle="1" w:styleId="124">
    <w:name w:val="页脚 Char"/>
    <w:basedOn w:val="13"/>
    <w:link w:val="9"/>
    <w:locked/>
    <w:uiPriority w:val="99"/>
    <w:rPr>
      <w:rFonts w:cs="Times New Roman"/>
      <w:sz w:val="18"/>
      <w:szCs w:val="18"/>
    </w:rPr>
  </w:style>
  <w:style w:type="paragraph" w:styleId="125">
    <w:name w:val="List Paragraph"/>
    <w:basedOn w:val="1"/>
    <w:qFormat/>
    <w:uiPriority w:val="99"/>
    <w:pPr>
      <w:ind w:firstLine="420" w:firstLineChars="200"/>
    </w:pPr>
  </w:style>
  <w:style w:type="paragraph" w:customStyle="1" w:styleId="126">
    <w:name w:val="reader-word-lay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14</Pages>
  <Words>1174</Words>
  <Characters>6694</Characters>
  <Lines>55</Lines>
  <Paragraphs>15</Paragraphs>
  <TotalTime>89</TotalTime>
  <ScaleCrop>false</ScaleCrop>
  <LinksUpToDate>false</LinksUpToDate>
  <CharactersWithSpaces>7853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2022-06-20T00:25:00Z</dcterms:created>
  <dc:creator>ASUS</dc:creator>
  <cp:lastModifiedBy>Administrator</cp:lastModifiedBy>
  <cp:lastPrinted>2020-10-15T05:26:00Z</cp:lastPrinted>
  <dcterms:modified xsi:type="dcterms:W3CDTF">2024-04-24T08:50:18Z</dcterms:modified>
  <dc:title>2014年度常德市社会劳动保险处</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