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lang w:val="en-US" w:eastAsia="zh-CN"/>
        </w:rPr>
        <w:t>1</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widowControl/>
        <w:spacing w:line="560" w:lineRule="exact"/>
        <w:ind w:firstLine="640"/>
        <w:rPr>
          <w:rFonts w:ascii="Times New Roman" w:hAnsi="Times New Roman" w:eastAsia="仿宋_GB2312"/>
          <w:color w:val="222222"/>
          <w:kern w:val="0"/>
          <w:sz w:val="32"/>
          <w:szCs w:val="32"/>
        </w:rPr>
      </w:pPr>
      <w:r>
        <w:rPr>
          <w:rFonts w:hint="eastAsia" w:ascii="Times New Roman" w:hAnsi="Times New Roman" w:eastAsiaTheme="majorEastAsia"/>
          <w:b/>
          <w:kern w:val="0"/>
          <w:sz w:val="44"/>
          <w:szCs w:val="44"/>
        </w:rPr>
        <w:t>2021年度澧县人民政府澧</w:t>
      </w:r>
      <w:r>
        <w:rPr>
          <w:rFonts w:hint="eastAsia" w:ascii="Times New Roman" w:hAnsi="Times New Roman" w:eastAsiaTheme="majorEastAsia"/>
          <w:b/>
          <w:kern w:val="0"/>
          <w:sz w:val="44"/>
          <w:szCs w:val="44"/>
          <w:lang w:val="en-US" w:eastAsia="zh-CN"/>
        </w:rPr>
        <w:t>西</w:t>
      </w:r>
      <w:r>
        <w:rPr>
          <w:rFonts w:hint="eastAsia" w:ascii="Times New Roman" w:hAnsi="Times New Roman" w:eastAsiaTheme="majorEastAsia"/>
          <w:b/>
          <w:kern w:val="0"/>
          <w:sz w:val="44"/>
          <w:szCs w:val="44"/>
        </w:rPr>
        <w:t>街道办事处整体支出绩效和重点项目绩效评价报告</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澧县人民政府澧西街道办事处为独立核算的行政单位，属一级预算单位，经费来源是全额拨款，执行政府会计制度，当年无变动情况。202</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年，我街道办行政编制人数为</w:t>
      </w:r>
      <w:r>
        <w:rPr>
          <w:rFonts w:hint="eastAsia" w:ascii="仿宋" w:hAnsi="仿宋" w:eastAsia="仿宋" w:cs="仿宋"/>
          <w:color w:val="000000" w:themeColor="text1"/>
          <w:sz w:val="32"/>
          <w:szCs w:val="32"/>
          <w:lang w:val="en-US" w:eastAsia="zh-CN"/>
        </w:rPr>
        <w:t>35</w:t>
      </w:r>
      <w:r>
        <w:rPr>
          <w:rFonts w:hint="eastAsia" w:ascii="仿宋" w:hAnsi="仿宋" w:eastAsia="仿宋" w:cs="仿宋"/>
          <w:color w:val="000000" w:themeColor="text1"/>
          <w:sz w:val="32"/>
          <w:szCs w:val="32"/>
        </w:rPr>
        <w:t>个，与上年相同；实有人数</w:t>
      </w:r>
      <w:r>
        <w:rPr>
          <w:rFonts w:hint="eastAsia" w:ascii="仿宋" w:hAnsi="仿宋" w:eastAsia="仿宋" w:cs="仿宋"/>
          <w:color w:val="000000" w:themeColor="text1"/>
          <w:sz w:val="32"/>
          <w:szCs w:val="32"/>
          <w:lang w:val="en-US" w:eastAsia="zh-CN"/>
        </w:rPr>
        <w:t>32</w:t>
      </w:r>
      <w:r>
        <w:rPr>
          <w:rFonts w:hint="eastAsia" w:ascii="仿宋" w:hAnsi="仿宋" w:eastAsia="仿宋" w:cs="仿宋"/>
          <w:color w:val="000000" w:themeColor="text1"/>
          <w:sz w:val="32"/>
          <w:szCs w:val="32"/>
        </w:rPr>
        <w:t>个，比上年</w:t>
      </w:r>
      <w:r>
        <w:rPr>
          <w:rFonts w:hint="eastAsia" w:ascii="仿宋" w:hAnsi="仿宋" w:eastAsia="仿宋" w:cs="仿宋"/>
          <w:color w:val="000000" w:themeColor="text1"/>
          <w:sz w:val="32"/>
          <w:szCs w:val="32"/>
          <w:lang w:val="en-US" w:eastAsia="zh-CN"/>
        </w:rPr>
        <w:t>增加4</w:t>
      </w:r>
      <w:r>
        <w:rPr>
          <w:rFonts w:hint="eastAsia" w:ascii="仿宋" w:hAnsi="仿宋" w:eastAsia="仿宋" w:cs="仿宋"/>
          <w:color w:val="000000" w:themeColor="text1"/>
          <w:sz w:val="32"/>
          <w:szCs w:val="32"/>
        </w:rPr>
        <w:t>个，</w:t>
      </w:r>
      <w:r>
        <w:rPr>
          <w:rFonts w:hint="eastAsia" w:ascii="仿宋" w:hAnsi="仿宋" w:eastAsia="仿宋" w:cs="仿宋"/>
          <w:color w:val="000000" w:themeColor="text1"/>
          <w:sz w:val="32"/>
          <w:szCs w:val="32"/>
          <w:lang w:val="en-US" w:eastAsia="zh-CN"/>
        </w:rPr>
        <w:t>增加</w:t>
      </w:r>
      <w:r>
        <w:rPr>
          <w:rFonts w:hint="eastAsia" w:ascii="仿宋" w:hAnsi="仿宋" w:eastAsia="仿宋" w:cs="仿宋"/>
          <w:color w:val="000000" w:themeColor="text1"/>
          <w:sz w:val="32"/>
          <w:szCs w:val="32"/>
        </w:rPr>
        <w:t>原因为机关工作人员</w:t>
      </w:r>
      <w:r>
        <w:rPr>
          <w:rFonts w:hint="eastAsia" w:ascii="仿宋" w:hAnsi="仿宋" w:eastAsia="仿宋" w:cs="仿宋"/>
          <w:color w:val="000000" w:themeColor="text1"/>
          <w:sz w:val="32"/>
          <w:szCs w:val="32"/>
          <w:lang w:val="en-US" w:eastAsia="zh-CN"/>
        </w:rPr>
        <w:t>调入</w:t>
      </w:r>
      <w:r>
        <w:rPr>
          <w:rFonts w:hint="eastAsia" w:ascii="仿宋" w:hAnsi="仿宋" w:eastAsia="仿宋" w:cs="仿宋"/>
          <w:color w:val="000000" w:themeColor="text1"/>
          <w:sz w:val="32"/>
          <w:szCs w:val="32"/>
        </w:rPr>
        <w:t>。事业编制人数3</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个，与上年相同；实有人数3</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个，比上年增加</w:t>
      </w: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个,增加原因是事业单位人员调入。</w:t>
      </w:r>
    </w:p>
    <w:p>
      <w:pPr>
        <w:spacing w:line="600" w:lineRule="exact"/>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加强党的建设。落实基层党建工作责任制，统筹社区（村）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cs="仿宋"/>
          <w:color w:val="000000" w:themeColor="text1"/>
          <w:sz w:val="32"/>
          <w:szCs w:val="32"/>
          <w:lang w:val="en-US" w:eastAsia="zh-CN"/>
        </w:rPr>
        <w:t>从严</w:t>
      </w:r>
      <w:r>
        <w:rPr>
          <w:rFonts w:hint="eastAsia" w:ascii="仿宋" w:hAnsi="仿宋" w:eastAsia="仿宋" w:cs="仿宋"/>
          <w:color w:val="000000" w:themeColor="text1"/>
          <w:sz w:val="32"/>
          <w:szCs w:val="32"/>
        </w:rPr>
        <w:t>治党向基层</w:t>
      </w:r>
      <w:bookmarkStart w:id="0" w:name="_GoBack"/>
      <w:bookmarkEnd w:id="0"/>
      <w:r>
        <w:rPr>
          <w:rFonts w:hint="eastAsia" w:ascii="仿宋" w:hAnsi="仿宋" w:eastAsia="仿宋" w:cs="仿宋"/>
          <w:color w:val="000000" w:themeColor="text1"/>
          <w:sz w:val="32"/>
          <w:szCs w:val="32"/>
        </w:rPr>
        <w:t>延伸。</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（2）统筹区域发展。参与拟订县级关于辖区发展的重大决策和建设规划并统筹落实，负责促进辖区经济建设，承担优化发展环境、采集企业信息、服务辖区企业、促进项目发展等工作。</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组织公共服务。组织实施与社区（村）民生活密切相关的各项公共服务事项，落实人力资源社会保障、民政、教育、科技、文化、体育、卫生健康、退役军人事务、社区（村）民小区物业管理等领域相关法规政策。动员辖区内各类单位、社会组织、社区（村）民等社会力量参与社会治理，为全镇发展服务。</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（4）实施公共管理。负责辖区内生态环境保护、城镇管理、控违拆违、征地拆迁等综合性管理工作。</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（5）维护公共安全。承担辖区内社会治安综合治理、平安建设、应急管理等有关工作，接待群众来信来访，反映社情民意，化解矛盾纠纷等。</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（6）监督执法管理。对辖区内各类行政执法工作进行统筹协调，组织开展群众监督和社会监督。</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（7）保障居民自治。指导社区（村）委员会建设，健全社区（村）民自治平台，组织社区（村）民参与社区（村）建设、管理。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8"/>
        <w:ind w:firstLine="480" w:firstLineChars="150"/>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8"/>
        <w:ind w:firstLine="640" w:firstLineChars="200"/>
        <w:rPr>
          <w:rFonts w:hint="eastAsia" w:ascii="仿宋_GB2312" w:hAnsi="宋体" w:eastAsia="仿宋_GB2312" w:cs="Times New Roman"/>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年度财政拨款支出</w:t>
      </w:r>
      <w:r>
        <w:rPr>
          <w:rFonts w:hint="eastAsia" w:ascii="仿宋_GB2312" w:hAnsi="宋体" w:eastAsia="仿宋_GB2312" w:cs="宋体"/>
          <w:sz w:val="32"/>
          <w:szCs w:val="32"/>
          <w:lang w:val="en-US" w:eastAsia="zh-CN"/>
        </w:rPr>
        <w:t>2444.61</w:t>
      </w:r>
      <w:r>
        <w:rPr>
          <w:rFonts w:hint="eastAsia" w:ascii="仿宋_GB2312" w:hAnsi="宋体" w:eastAsia="仿宋_GB2312" w:cs="宋体"/>
          <w:sz w:val="32"/>
          <w:szCs w:val="32"/>
        </w:rPr>
        <w:t>万元，主要用于以下方面：一般公共服务（类）支出</w:t>
      </w:r>
      <w:r>
        <w:rPr>
          <w:rFonts w:hint="eastAsia" w:ascii="仿宋_GB2312" w:hAnsi="宋体" w:eastAsia="仿宋_GB2312" w:cs="宋体"/>
          <w:sz w:val="32"/>
          <w:szCs w:val="32"/>
          <w:lang w:val="en-US" w:eastAsia="zh-CN"/>
        </w:rPr>
        <w:t>687.25</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28.11</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公共安全</w:t>
      </w:r>
      <w:r>
        <w:rPr>
          <w:rFonts w:hint="eastAsia" w:ascii="仿宋_GB2312" w:hAnsi="宋体" w:eastAsia="仿宋_GB2312" w:cs="宋体"/>
          <w:sz w:val="32"/>
          <w:szCs w:val="32"/>
        </w:rPr>
        <w:t>支出</w:t>
      </w:r>
      <w:r>
        <w:rPr>
          <w:rFonts w:hint="eastAsia" w:ascii="仿宋_GB2312" w:hAnsi="宋体" w:eastAsia="仿宋_GB2312" w:cs="宋体"/>
          <w:sz w:val="32"/>
          <w:szCs w:val="32"/>
          <w:lang w:val="en-US" w:eastAsia="zh-CN"/>
        </w:rPr>
        <w:t>1.92</w:t>
      </w:r>
      <w:r>
        <w:rPr>
          <w:rFonts w:hint="eastAsia" w:ascii="仿宋_GB2312" w:hAnsi="宋体" w:eastAsia="仿宋_GB2312" w:cs="宋体"/>
          <w:sz w:val="32"/>
          <w:szCs w:val="32"/>
        </w:rPr>
        <w:t>万元，</w:t>
      </w:r>
      <w:r>
        <w:rPr>
          <w:rFonts w:hint="eastAsia" w:ascii="仿宋_GB2312" w:hAnsi="宋体" w:eastAsia="仿宋_GB2312" w:cs="宋体"/>
          <w:sz w:val="32"/>
          <w:szCs w:val="32"/>
          <w:lang w:val="en-US" w:eastAsia="zh-CN"/>
        </w:rPr>
        <w:t>0.08</w:t>
      </w:r>
      <w:r>
        <w:rPr>
          <w:rFonts w:hint="eastAsia" w:ascii="仿宋_GB2312" w:hAnsi="宋体" w:eastAsia="仿宋_GB2312" w:cs="宋体"/>
          <w:sz w:val="32"/>
          <w:szCs w:val="32"/>
        </w:rPr>
        <w:t>%;文化旅游体育与传媒支出</w:t>
      </w:r>
      <w:r>
        <w:rPr>
          <w:rFonts w:hint="eastAsia" w:ascii="仿宋_GB2312" w:hAnsi="宋体" w:eastAsia="仿宋_GB2312" w:cs="宋体"/>
          <w:sz w:val="32"/>
          <w:szCs w:val="32"/>
          <w:lang w:val="en-US" w:eastAsia="zh-CN"/>
        </w:rPr>
        <w:t>76.82</w:t>
      </w:r>
      <w:r>
        <w:rPr>
          <w:rFonts w:hint="eastAsia" w:ascii="仿宋_GB2312" w:hAnsi="宋体" w:eastAsia="仿宋_GB2312" w:cs="宋体"/>
          <w:sz w:val="32"/>
          <w:szCs w:val="32"/>
        </w:rPr>
        <w:t>万元，</w:t>
      </w:r>
      <w:r>
        <w:rPr>
          <w:rFonts w:hint="eastAsia" w:ascii="仿宋_GB2312" w:hAnsi="宋体" w:eastAsia="仿宋_GB2312" w:cs="宋体"/>
          <w:sz w:val="32"/>
          <w:szCs w:val="32"/>
          <w:lang w:val="en-US" w:eastAsia="zh-CN"/>
        </w:rPr>
        <w:t>3.14</w:t>
      </w:r>
      <w:r>
        <w:rPr>
          <w:rFonts w:hint="eastAsia" w:ascii="仿宋_GB2312" w:hAnsi="宋体" w:eastAsia="仿宋_GB2312" w:cs="宋体"/>
          <w:sz w:val="32"/>
          <w:szCs w:val="32"/>
        </w:rPr>
        <w:t>%;社会保障和就业支出</w:t>
      </w:r>
      <w:r>
        <w:rPr>
          <w:rFonts w:hint="eastAsia" w:ascii="仿宋_GB2312" w:hAnsi="宋体" w:eastAsia="仿宋_GB2312" w:cs="宋体"/>
          <w:sz w:val="32"/>
          <w:szCs w:val="32"/>
          <w:lang w:val="en-US" w:eastAsia="zh-CN"/>
        </w:rPr>
        <w:t>246.71</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10.1</w:t>
      </w:r>
      <w:r>
        <w:rPr>
          <w:rFonts w:hint="eastAsia" w:ascii="仿宋_GB2312" w:hAnsi="宋体" w:eastAsia="仿宋_GB2312" w:cs="宋体"/>
          <w:sz w:val="32"/>
          <w:szCs w:val="32"/>
        </w:rPr>
        <w:t>%；卫生健康支出</w:t>
      </w:r>
      <w:r>
        <w:rPr>
          <w:rFonts w:hint="eastAsia" w:ascii="仿宋_GB2312" w:hAnsi="宋体" w:eastAsia="仿宋_GB2312" w:cs="宋体"/>
          <w:sz w:val="32"/>
          <w:szCs w:val="32"/>
          <w:lang w:val="en-US" w:eastAsia="zh-CN"/>
        </w:rPr>
        <w:t>32.22</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1.32</w:t>
      </w:r>
      <w:r>
        <w:rPr>
          <w:rFonts w:hint="eastAsia" w:ascii="仿宋_GB2312" w:hAnsi="宋体" w:eastAsia="仿宋_GB2312" w:cs="宋体"/>
          <w:sz w:val="32"/>
          <w:szCs w:val="32"/>
        </w:rPr>
        <w:t>%；节能环保支出</w:t>
      </w:r>
      <w:r>
        <w:rPr>
          <w:rFonts w:hint="eastAsia" w:ascii="仿宋_GB2312" w:hAnsi="宋体" w:eastAsia="仿宋_GB2312" w:cs="宋体"/>
          <w:sz w:val="32"/>
          <w:szCs w:val="32"/>
          <w:lang w:val="en-US" w:eastAsia="zh-CN"/>
        </w:rPr>
        <w:t>25.02</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1.02</w:t>
      </w:r>
      <w:r>
        <w:rPr>
          <w:rFonts w:hint="eastAsia" w:ascii="仿宋_GB2312" w:hAnsi="宋体" w:eastAsia="仿宋_GB2312" w:cs="宋体"/>
          <w:sz w:val="32"/>
          <w:szCs w:val="32"/>
        </w:rPr>
        <w:t>%；城乡社区支出</w:t>
      </w:r>
      <w:r>
        <w:rPr>
          <w:rFonts w:hint="eastAsia" w:ascii="仿宋_GB2312" w:hAnsi="宋体" w:eastAsia="仿宋_GB2312" w:cs="宋体"/>
          <w:sz w:val="32"/>
          <w:szCs w:val="32"/>
          <w:lang w:val="en-US" w:eastAsia="zh-CN"/>
        </w:rPr>
        <w:t>111.3</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4.55</w:t>
      </w:r>
      <w:r>
        <w:rPr>
          <w:rFonts w:hint="eastAsia" w:ascii="仿宋_GB2312" w:hAnsi="宋体" w:eastAsia="仿宋_GB2312" w:cs="宋体"/>
          <w:sz w:val="32"/>
          <w:szCs w:val="32"/>
        </w:rPr>
        <w:t>%；农林水支出</w:t>
      </w:r>
      <w:r>
        <w:rPr>
          <w:rFonts w:hint="eastAsia" w:ascii="仿宋_GB2312" w:hAnsi="宋体" w:eastAsia="仿宋_GB2312" w:cs="宋体"/>
          <w:sz w:val="32"/>
          <w:szCs w:val="32"/>
          <w:lang w:val="en-US" w:eastAsia="zh-CN"/>
        </w:rPr>
        <w:t>1114.69</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45.6</w:t>
      </w:r>
      <w:r>
        <w:rPr>
          <w:rFonts w:hint="eastAsia" w:ascii="仿宋_GB2312" w:hAnsi="宋体" w:eastAsia="仿宋_GB2312" w:cs="宋体"/>
          <w:sz w:val="32"/>
          <w:szCs w:val="32"/>
        </w:rPr>
        <w:t>%；交通运输支出</w:t>
      </w:r>
      <w:r>
        <w:rPr>
          <w:rFonts w:hint="eastAsia" w:ascii="仿宋_GB2312" w:hAnsi="宋体" w:eastAsia="仿宋_GB2312" w:cs="宋体"/>
          <w:sz w:val="32"/>
          <w:szCs w:val="32"/>
          <w:lang w:val="en-US" w:eastAsia="zh-CN"/>
        </w:rPr>
        <w:t>10.54</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0.43</w:t>
      </w:r>
      <w:r>
        <w:rPr>
          <w:rFonts w:hint="eastAsia" w:ascii="仿宋_GB2312" w:hAnsi="宋体" w:eastAsia="仿宋_GB2312" w:cs="宋体"/>
          <w:sz w:val="32"/>
          <w:szCs w:val="32"/>
        </w:rPr>
        <w:t>%；商业服务业等支出</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万元，占0.</w:t>
      </w:r>
      <w:r>
        <w:rPr>
          <w:rFonts w:hint="eastAsia" w:ascii="仿宋_GB2312" w:hAnsi="宋体" w:eastAsia="仿宋_GB2312" w:cs="宋体"/>
          <w:sz w:val="32"/>
          <w:szCs w:val="32"/>
          <w:lang w:val="en-US" w:eastAsia="zh-CN"/>
        </w:rPr>
        <w:t>08</w:t>
      </w:r>
      <w:r>
        <w:rPr>
          <w:rFonts w:hint="eastAsia" w:ascii="仿宋_GB2312" w:hAnsi="宋体" w:eastAsia="仿宋_GB2312" w:cs="宋体"/>
          <w:sz w:val="32"/>
          <w:szCs w:val="32"/>
        </w:rPr>
        <w:t>%；住房保障支出</w:t>
      </w:r>
      <w:r>
        <w:rPr>
          <w:rFonts w:hint="eastAsia" w:ascii="仿宋_GB2312" w:hAnsi="宋体" w:eastAsia="仿宋_GB2312" w:cs="宋体"/>
          <w:sz w:val="32"/>
          <w:szCs w:val="32"/>
          <w:lang w:val="en-US" w:eastAsia="zh-CN"/>
        </w:rPr>
        <w:t>45.15</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1.85</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粮油储备</w:t>
      </w:r>
      <w:r>
        <w:rPr>
          <w:rFonts w:hint="eastAsia" w:ascii="仿宋_GB2312" w:hAnsi="宋体" w:eastAsia="仿宋_GB2312" w:cs="宋体"/>
          <w:sz w:val="32"/>
          <w:szCs w:val="32"/>
        </w:rPr>
        <w:t>支出</w:t>
      </w:r>
      <w:r>
        <w:rPr>
          <w:rFonts w:hint="eastAsia" w:ascii="仿宋_GB2312" w:hAnsi="宋体" w:eastAsia="仿宋_GB2312" w:cs="宋体"/>
          <w:sz w:val="32"/>
          <w:szCs w:val="32"/>
          <w:lang w:val="en-US" w:eastAsia="zh-CN"/>
        </w:rPr>
        <w:t>13.56</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0.55</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国有资本预算</w:t>
      </w:r>
      <w:r>
        <w:rPr>
          <w:rFonts w:hint="eastAsia" w:ascii="仿宋_GB2312" w:hAnsi="宋体" w:eastAsia="仿宋_GB2312" w:cs="宋体"/>
          <w:sz w:val="32"/>
          <w:szCs w:val="32"/>
        </w:rPr>
        <w:t>支出</w:t>
      </w:r>
      <w:r>
        <w:rPr>
          <w:rFonts w:hint="eastAsia" w:ascii="仿宋_GB2312" w:hAnsi="宋体" w:eastAsia="仿宋_GB2312" w:cs="宋体"/>
          <w:sz w:val="32"/>
          <w:szCs w:val="32"/>
          <w:lang w:val="en-US" w:eastAsia="zh-CN"/>
        </w:rPr>
        <w:t>0.43</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0.02</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灾害防治及应急管理支出</w:t>
      </w:r>
      <w:r>
        <w:rPr>
          <w:rFonts w:hint="eastAsia" w:ascii="仿宋_GB2312" w:hAnsi="宋体" w:eastAsia="仿宋_GB2312" w:cs="宋体"/>
          <w:sz w:val="32"/>
          <w:szCs w:val="32"/>
          <w:lang w:val="en-US" w:eastAsia="zh-CN"/>
        </w:rPr>
        <w:t>70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2.86</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其他</w:t>
      </w:r>
      <w:r>
        <w:rPr>
          <w:rFonts w:hint="eastAsia" w:ascii="仿宋_GB2312" w:hAnsi="宋体" w:eastAsia="仿宋_GB2312" w:cs="宋体"/>
          <w:sz w:val="32"/>
          <w:szCs w:val="32"/>
        </w:rPr>
        <w:t>支出</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0.29</w:t>
      </w:r>
      <w:r>
        <w:rPr>
          <w:rFonts w:hint="eastAsia" w:ascii="仿宋_GB2312" w:hAnsi="宋体" w:eastAsia="仿宋_GB2312" w:cs="宋体"/>
          <w:sz w:val="32"/>
          <w:szCs w:val="32"/>
        </w:rPr>
        <w:t>%。</w:t>
      </w:r>
    </w:p>
    <w:p>
      <w:pPr>
        <w:pStyle w:val="128"/>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（二）部门预算收支决算情况</w:t>
      </w:r>
    </w:p>
    <w:p>
      <w:pPr>
        <w:pStyle w:val="128"/>
        <w:ind w:firstLine="640" w:firstLineChars="200"/>
        <w:rPr>
          <w:rFonts w:hint="eastAsia" w:ascii="仿宋_GB2312" w:hAnsi="宋体" w:eastAsia="仿宋_GB2312" w:cs="Times New Roman"/>
          <w:sz w:val="32"/>
          <w:szCs w:val="32"/>
        </w:rPr>
      </w:pPr>
      <w:r>
        <w:rPr>
          <w:rFonts w:hint="eastAsia" w:ascii="仿宋_GB2312" w:hAnsi="宋体" w:eastAsia="仿宋_GB2312" w:cs="宋体"/>
          <w:sz w:val="32"/>
          <w:szCs w:val="32"/>
        </w:rPr>
        <w:t>本年支出合计</w:t>
      </w:r>
      <w:r>
        <w:rPr>
          <w:rFonts w:hint="eastAsia" w:ascii="仿宋_GB2312" w:hAnsi="宋体" w:eastAsia="仿宋_GB2312" w:cs="宋体"/>
          <w:sz w:val="32"/>
          <w:szCs w:val="32"/>
          <w:lang w:val="en-US" w:eastAsia="zh-CN"/>
        </w:rPr>
        <w:t>2444.61</w:t>
      </w:r>
      <w:r>
        <w:rPr>
          <w:rFonts w:hint="eastAsia" w:ascii="仿宋_GB2312" w:hAnsi="宋体" w:eastAsia="仿宋_GB2312" w:cs="宋体"/>
          <w:sz w:val="32"/>
          <w:szCs w:val="32"/>
        </w:rPr>
        <w:t>万元，其中：基本支出</w:t>
      </w:r>
      <w:r>
        <w:rPr>
          <w:rFonts w:hint="eastAsia" w:ascii="仿宋_GB2312" w:hAnsi="宋体" w:eastAsia="仿宋_GB2312" w:cs="宋体"/>
          <w:sz w:val="32"/>
          <w:szCs w:val="32"/>
          <w:lang w:val="en-US" w:eastAsia="zh-CN"/>
        </w:rPr>
        <w:t>732.78</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29.98</w:t>
      </w:r>
      <w:r>
        <w:rPr>
          <w:rFonts w:hint="eastAsia" w:ascii="仿宋_GB2312" w:hAnsi="宋体" w:eastAsia="仿宋_GB2312" w:cs="宋体"/>
          <w:sz w:val="32"/>
          <w:szCs w:val="32"/>
        </w:rPr>
        <w:t>%；项目支出</w:t>
      </w:r>
      <w:r>
        <w:rPr>
          <w:rFonts w:hint="eastAsia" w:ascii="仿宋_GB2312" w:hAnsi="宋体" w:eastAsia="仿宋_GB2312" w:cs="宋体"/>
          <w:sz w:val="32"/>
          <w:szCs w:val="32"/>
          <w:lang w:val="en-US" w:eastAsia="zh-CN"/>
        </w:rPr>
        <w:t>1711.83</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70.02</w:t>
      </w:r>
      <w:r>
        <w:rPr>
          <w:rFonts w:hint="eastAsia" w:ascii="仿宋_GB2312" w:hAnsi="宋体" w:eastAsia="仿宋_GB2312" w:cs="宋体"/>
          <w:sz w:val="32"/>
          <w:szCs w:val="32"/>
        </w:rPr>
        <w:t>%；上缴上级支出0万元，占0%；经营支出0万元，占0%；对附属单位补助支出0万元，占0%。</w:t>
      </w:r>
    </w:p>
    <w:p>
      <w:pPr>
        <w:pStyle w:val="128"/>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28"/>
        <w:ind w:firstLine="640" w:firstLineChars="200"/>
        <w:rPr>
          <w:rFonts w:hint="eastAsia" w:ascii="楷体_GB2312" w:hAnsi="宋体" w:eastAsia="楷体_GB2312" w:cs="Times New Roman"/>
          <w:sz w:val="32"/>
          <w:szCs w:val="32"/>
        </w:rPr>
      </w:pPr>
      <w:r>
        <w:rPr>
          <w:rFonts w:hint="eastAsia" w:ascii="楷体_GB2312" w:hAnsi="宋体" w:eastAsia="楷体_GB2312" w:cs="宋体"/>
          <w:sz w:val="32"/>
          <w:szCs w:val="32"/>
        </w:rPr>
        <w:t>202</w:t>
      </w:r>
      <w:r>
        <w:rPr>
          <w:rFonts w:hint="eastAsia" w:ascii="楷体_GB2312" w:hAnsi="宋体" w:eastAsia="楷体_GB2312" w:cs="宋体"/>
          <w:sz w:val="32"/>
          <w:szCs w:val="32"/>
          <w:lang w:val="en-US" w:eastAsia="zh-CN"/>
        </w:rPr>
        <w:t>1</w:t>
      </w:r>
      <w:r>
        <w:rPr>
          <w:rFonts w:hint="eastAsia" w:ascii="楷体_GB2312" w:hAnsi="宋体" w:eastAsia="楷体_GB2312" w:cs="宋体"/>
          <w:sz w:val="32"/>
          <w:szCs w:val="32"/>
        </w:rPr>
        <w:t>年度“三公”经费财政拨款支出决算中，公务接待费支出决算</w:t>
      </w:r>
      <w:r>
        <w:rPr>
          <w:rFonts w:hint="eastAsia" w:ascii="楷体_GB2312" w:hAnsi="宋体" w:eastAsia="楷体_GB2312" w:cs="宋体"/>
          <w:sz w:val="32"/>
          <w:szCs w:val="32"/>
          <w:lang w:val="en-US" w:eastAsia="zh-CN"/>
        </w:rPr>
        <w:t>4.9</w:t>
      </w:r>
      <w:r>
        <w:rPr>
          <w:rFonts w:hint="eastAsia" w:ascii="楷体_GB2312" w:hAnsi="宋体" w:eastAsia="楷体_GB2312" w:cs="宋体"/>
          <w:sz w:val="32"/>
          <w:szCs w:val="32"/>
        </w:rPr>
        <w:t>万元，占62.</w:t>
      </w:r>
      <w:r>
        <w:rPr>
          <w:rFonts w:hint="eastAsia" w:ascii="楷体_GB2312" w:hAnsi="宋体" w:eastAsia="楷体_GB2312" w:cs="宋体"/>
          <w:sz w:val="32"/>
          <w:szCs w:val="32"/>
          <w:lang w:val="en-US" w:eastAsia="zh-CN"/>
        </w:rPr>
        <w:t>82</w:t>
      </w:r>
      <w:r>
        <w:rPr>
          <w:rFonts w:hint="eastAsia" w:ascii="楷体_GB2312" w:hAnsi="宋体" w:eastAsia="楷体_GB2312" w:cs="宋体"/>
          <w:sz w:val="32"/>
          <w:szCs w:val="32"/>
        </w:rPr>
        <w:t>%,因公出国（境）费支出决算0万元，占0%,公务用车购置费及运行维护费支出决算</w:t>
      </w:r>
      <w:r>
        <w:rPr>
          <w:rFonts w:hint="eastAsia" w:ascii="楷体_GB2312" w:hAnsi="宋体" w:eastAsia="楷体_GB2312" w:cs="宋体"/>
          <w:sz w:val="32"/>
          <w:szCs w:val="32"/>
          <w:lang w:val="en-US" w:eastAsia="zh-CN"/>
        </w:rPr>
        <w:t>2.9</w:t>
      </w:r>
      <w:r>
        <w:rPr>
          <w:rFonts w:hint="eastAsia" w:ascii="楷体_GB2312" w:hAnsi="宋体" w:eastAsia="楷体_GB2312" w:cs="宋体"/>
          <w:sz w:val="32"/>
          <w:szCs w:val="32"/>
        </w:rPr>
        <w:t>万元，占37.</w:t>
      </w:r>
      <w:r>
        <w:rPr>
          <w:rFonts w:hint="eastAsia" w:ascii="楷体_GB2312" w:hAnsi="宋体" w:eastAsia="楷体_GB2312" w:cs="宋体"/>
          <w:sz w:val="32"/>
          <w:szCs w:val="32"/>
          <w:lang w:val="en-US" w:eastAsia="zh-CN"/>
        </w:rPr>
        <w:t>18</w:t>
      </w:r>
      <w:r>
        <w:rPr>
          <w:rFonts w:hint="eastAsia" w:ascii="楷体_GB2312" w:hAnsi="宋体" w:eastAsia="楷体_GB2312" w:cs="宋体"/>
          <w:sz w:val="32"/>
          <w:szCs w:val="32"/>
        </w:rPr>
        <w:t>%。其中：</w:t>
      </w:r>
    </w:p>
    <w:p>
      <w:pPr>
        <w:pStyle w:val="128"/>
        <w:ind w:firstLine="640" w:firstLineChars="200"/>
        <w:rPr>
          <w:rFonts w:hint="eastAsia" w:ascii="楷体_GB2312" w:hAnsi="宋体" w:eastAsia="楷体_GB2312" w:cs="Times New Roman"/>
          <w:sz w:val="32"/>
          <w:szCs w:val="32"/>
        </w:rPr>
      </w:pPr>
      <w:r>
        <w:rPr>
          <w:rFonts w:hint="eastAsia" w:ascii="楷体_GB2312" w:hAnsi="宋体" w:eastAsia="楷体_GB2312" w:cs="宋体"/>
          <w:sz w:val="32"/>
          <w:szCs w:val="32"/>
        </w:rPr>
        <w:t>1、因公出国（境）费支出决算为0万元，全年安排因公出国（境）团组0个，累计0人次。</w:t>
      </w:r>
    </w:p>
    <w:p>
      <w:pPr>
        <w:pStyle w:val="128"/>
        <w:ind w:firstLine="640" w:firstLineChars="200"/>
        <w:rPr>
          <w:rFonts w:hint="eastAsia" w:ascii="楷体_GB2312" w:hAnsi="宋体" w:eastAsia="楷体_GB2312" w:cs="Times New Roman"/>
          <w:sz w:val="32"/>
          <w:szCs w:val="32"/>
        </w:rPr>
      </w:pPr>
      <w:r>
        <w:rPr>
          <w:rFonts w:hint="eastAsia" w:ascii="楷体_GB2312" w:hAnsi="宋体" w:eastAsia="楷体_GB2312" w:cs="宋体"/>
          <w:sz w:val="32"/>
          <w:szCs w:val="32"/>
        </w:rPr>
        <w:t>2、公务接待费支出决算为</w:t>
      </w:r>
      <w:r>
        <w:rPr>
          <w:rFonts w:hint="eastAsia" w:ascii="楷体_GB2312" w:hAnsi="宋体" w:eastAsia="楷体_GB2312" w:cs="宋体"/>
          <w:sz w:val="32"/>
          <w:szCs w:val="32"/>
          <w:lang w:val="en-US" w:eastAsia="zh-CN"/>
        </w:rPr>
        <w:t>4.9</w:t>
      </w:r>
      <w:r>
        <w:rPr>
          <w:rFonts w:hint="eastAsia" w:ascii="楷体_GB2312" w:hAnsi="宋体" w:eastAsia="楷体_GB2312" w:cs="宋体"/>
          <w:sz w:val="32"/>
          <w:szCs w:val="32"/>
        </w:rPr>
        <w:t>万元，全年共接待来访团组120个、来宾900人次，主要是脱贫攻坚、人居环境整治等工作的督导检查及其他发生的接待支出。</w:t>
      </w:r>
    </w:p>
    <w:p>
      <w:pPr>
        <w:ind w:firstLine="640" w:firstLineChars="200"/>
        <w:rPr>
          <w:rFonts w:hint="eastAsia" w:ascii="楷体_GB2312" w:eastAsia="楷体_GB2312"/>
          <w:color w:val="000000"/>
          <w:kern w:val="0"/>
          <w:sz w:val="32"/>
          <w:szCs w:val="32"/>
        </w:rPr>
      </w:pPr>
      <w:r>
        <w:rPr>
          <w:rFonts w:hint="eastAsia" w:ascii="楷体_GB2312" w:hAnsi="宋体" w:eastAsia="楷体_GB2312" w:cs="宋体"/>
          <w:sz w:val="32"/>
          <w:szCs w:val="32"/>
        </w:rPr>
        <w:t>3、公务用车购置费及运行维护费支出决算为</w:t>
      </w:r>
      <w:r>
        <w:rPr>
          <w:rFonts w:hint="eastAsia" w:ascii="楷体_GB2312" w:hAnsi="宋体" w:eastAsia="楷体_GB2312" w:cs="宋体"/>
          <w:sz w:val="32"/>
          <w:szCs w:val="32"/>
          <w:lang w:val="en-US" w:eastAsia="zh-CN"/>
        </w:rPr>
        <w:t>2.9</w:t>
      </w:r>
      <w:r>
        <w:rPr>
          <w:rFonts w:hint="eastAsia" w:ascii="楷体_GB2312" w:hAnsi="宋体" w:eastAsia="楷体_GB2312" w:cs="宋体"/>
          <w:sz w:val="32"/>
          <w:szCs w:val="32"/>
        </w:rPr>
        <w:t>万元，其中：公务用车购置费</w:t>
      </w:r>
      <w:r>
        <w:rPr>
          <w:rFonts w:hint="eastAsia" w:ascii="楷体_GB2312" w:eastAsia="楷体_GB2312" w:cs="宋体"/>
          <w:sz w:val="32"/>
          <w:szCs w:val="32"/>
        </w:rPr>
        <w:t>0</w:t>
      </w:r>
      <w:r>
        <w:rPr>
          <w:rFonts w:hint="eastAsia" w:ascii="楷体_GB2312" w:hAnsi="宋体" w:eastAsia="楷体_GB2312" w:cs="宋体"/>
          <w:sz w:val="32"/>
          <w:szCs w:val="32"/>
        </w:rPr>
        <w:t>万元，更新公务用车</w:t>
      </w:r>
      <w:r>
        <w:rPr>
          <w:rFonts w:hint="eastAsia" w:ascii="楷体_GB2312" w:eastAsia="楷体_GB2312" w:cs="宋体"/>
          <w:sz w:val="32"/>
          <w:szCs w:val="32"/>
        </w:rPr>
        <w:t>0</w:t>
      </w:r>
      <w:r>
        <w:rPr>
          <w:rFonts w:hint="eastAsia" w:ascii="楷体_GB2312" w:hAnsi="宋体" w:eastAsia="楷体_GB2312" w:cs="宋体"/>
          <w:sz w:val="32"/>
          <w:szCs w:val="32"/>
        </w:rPr>
        <w:t>辆</w:t>
      </w:r>
      <w:r>
        <w:rPr>
          <w:rFonts w:hint="eastAsia" w:ascii="楷体_GB2312" w:hAnsi="宋体" w:eastAsia="楷体_GB2312" w:cs="宋体"/>
          <w:color w:val="000000"/>
          <w:sz w:val="32"/>
          <w:szCs w:val="32"/>
        </w:rPr>
        <w:t>。</w:t>
      </w:r>
      <w:r>
        <w:rPr>
          <w:rFonts w:hint="eastAsia" w:ascii="楷体_GB2312" w:hAnsi="宋体" w:eastAsia="楷体_GB2312" w:cs="宋体"/>
          <w:sz w:val="32"/>
          <w:szCs w:val="32"/>
        </w:rPr>
        <w:t>公务用车运行维护费</w:t>
      </w:r>
      <w:r>
        <w:rPr>
          <w:rFonts w:hint="eastAsia" w:ascii="楷体_GB2312" w:hAnsi="宋体" w:eastAsia="楷体_GB2312" w:cs="宋体"/>
          <w:sz w:val="32"/>
          <w:szCs w:val="32"/>
          <w:lang w:val="en-US" w:eastAsia="zh-CN"/>
        </w:rPr>
        <w:t>2.9</w:t>
      </w:r>
      <w:r>
        <w:rPr>
          <w:rFonts w:hint="eastAsia" w:ascii="楷体_GB2312" w:hAnsi="宋体" w:eastAsia="楷体_GB2312" w:cs="宋体"/>
          <w:sz w:val="32"/>
          <w:szCs w:val="32"/>
        </w:rPr>
        <w:t>万元，主要是</w:t>
      </w:r>
      <w:r>
        <w:rPr>
          <w:rFonts w:hint="eastAsia" w:ascii="楷体_GB2312" w:eastAsia="楷体_GB2312" w:cs="宋体"/>
          <w:sz w:val="32"/>
          <w:szCs w:val="32"/>
        </w:rPr>
        <w:t>公务车油费、保险、维修维护</w:t>
      </w:r>
      <w:r>
        <w:rPr>
          <w:rFonts w:hint="eastAsia" w:ascii="楷体_GB2312" w:hAnsi="宋体" w:eastAsia="楷体_GB2312" w:cs="宋体"/>
          <w:sz w:val="32"/>
          <w:szCs w:val="32"/>
        </w:rPr>
        <w:t>支出，截止202</w:t>
      </w:r>
      <w:r>
        <w:rPr>
          <w:rFonts w:hint="eastAsia" w:ascii="楷体_GB2312" w:hAnsi="宋体" w:eastAsia="楷体_GB2312" w:cs="宋体"/>
          <w:sz w:val="32"/>
          <w:szCs w:val="32"/>
          <w:lang w:val="en-US" w:eastAsia="zh-CN"/>
        </w:rPr>
        <w:t>1</w:t>
      </w:r>
      <w:r>
        <w:rPr>
          <w:rFonts w:hint="eastAsia" w:ascii="楷体_GB2312" w:hAnsi="宋体" w:eastAsia="楷体_GB2312" w:cs="宋体"/>
          <w:sz w:val="32"/>
          <w:szCs w:val="32"/>
        </w:rPr>
        <w:t>年12月31日，我单位开支财政拨款的公务用车保有量为1辆。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落实主体责任，形成工作合力。按照“谁主管、谁使用、谁负责”的原则，强化预算部门绩效管理的主体责任，将绩效目标、绩效监控、部门自评等绩效工具，作为提高资金使用效益的重要抓手;财政部门通过检查、督促、重点评价等方式进行监督管理。为了提高财政重点绩效评价的质量，我们将继续邀请部分专业领域的人大代表和政协委员共同参与,合谋共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推动绩效管理提质扩面，将财政重点延伸到事前，推进全过程绩效管理。为了更紧密衔接预算，将财政绩效工作重点从事后延伸至预算编制前端。通过审核绩效目标来确定项目预算资金额度，并建立起不同年度间的可量化绩效目标数据对比，提高预算编审的科学性，结合项目库建设，进一步加大财政事前评审工作力度。围绕预算编制中的改革需求，以重要性为原则精选项目，组织专门力量进行集中评审，并将评审结果作为项目入库、预算安排的重要依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加强评价结果应用，提高部门绩效监控和自评工作质量。对监控中预算无绩效、低绩效、达不到主要预期目标的项目，预算部门要及时将资金调剂用于其他有条件项目，加快支出进度;对自评开展较好的预算部门，将在今后预算安排时予以优先支持，对开展较差的项目将按规定停止拨款、调减预算。对未按规定开展绩效监控和单位自评的，由镇财政在一定范围内予以通报，并作为街道办对各部门绩效考核的重要依据。</w:t>
      </w:r>
    </w:p>
    <w:p>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逐步公开，营造良好的社会氛围。绩效管理工作最终目标是打造一个透明高效的政府。逐步推动各预算单位将绩效目标、自评结果等在一定范围内公开。对一些社会关注度高、影响力大的民生项目和重点项目的绩效情况，将逐步依法向社会公开。通过在“阳光下”运行，提升绩效管理工作的质量和效果。</w:t>
      </w:r>
    </w:p>
    <w:p>
      <w:pPr>
        <w:rPr>
          <w:rFonts w:ascii="仿宋" w:hAnsi="仿宋" w:eastAsia="仿宋" w:cs="仿宋"/>
          <w:color w:val="000000" w:themeColor="text1"/>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分管财务负责人任组长，相关站所负责人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（一）基层党建有作为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一是稳妥推进社区（村）两委换届</w:t>
      </w:r>
      <w:r>
        <w:rPr>
          <w:rFonts w:hint="eastAsia" w:ascii="仿宋_GB2312" w:hAnsi="仿宋_GB2312" w:eastAsia="仿宋_GB2312" w:cs="仿宋_GB2312"/>
          <w:sz w:val="32"/>
          <w:szCs w:val="32"/>
          <w:lang w:val="en-US" w:eastAsia="zh-CN"/>
        </w:rPr>
        <w:t>。按照上级部门要求，认真组织基层党组织换届选举工作，1月份，全街道22个社区（村）全部顺利完成两委换届工作，35岁以下的村社书记7名，21个社区（村）完成了书记主任“一肩挑”。每个村居都有一名30岁左右大专以上文化的人员进入“两委”班子。</w:t>
      </w:r>
      <w:r>
        <w:rPr>
          <w:rFonts w:hint="eastAsia" w:ascii="仿宋_GB2312" w:hAnsi="仿宋_GB2312" w:eastAsia="仿宋_GB2312" w:cs="仿宋_GB2312"/>
          <w:b/>
          <w:bCs/>
          <w:sz w:val="32"/>
          <w:szCs w:val="32"/>
          <w:lang w:val="en-US" w:eastAsia="zh-CN"/>
        </w:rPr>
        <w:t>二是切实加强基层干部队伍建设。</w:t>
      </w:r>
      <w:r>
        <w:rPr>
          <w:rFonts w:hint="eastAsia" w:ascii="仿宋_GB2312" w:hAnsi="仿宋_GB2312" w:eastAsia="仿宋_GB2312" w:cs="仿宋_GB2312"/>
          <w:sz w:val="32"/>
          <w:szCs w:val="32"/>
          <w:lang w:val="en-US" w:eastAsia="zh-CN"/>
        </w:rPr>
        <w:t>落实完善村(社区)干部、党建联络员健康体检、带薪休假制度；稳步提升村(社区)干部报酬待遇，严格落实养老保险政策。2021年共发展预备党员37名，转正党员19名，均严格按照程序发展转正到位。</w:t>
      </w:r>
      <w:r>
        <w:rPr>
          <w:rFonts w:hint="eastAsia" w:ascii="仿宋_GB2312" w:hAnsi="仿宋_GB2312" w:eastAsia="仿宋_GB2312" w:cs="仿宋_GB2312"/>
          <w:b/>
          <w:bCs/>
          <w:sz w:val="32"/>
          <w:szCs w:val="32"/>
          <w:lang w:val="en-US" w:eastAsia="zh-CN"/>
        </w:rPr>
        <w:t>三是持续健全基层组织体系。</w:t>
      </w:r>
      <w:r>
        <w:rPr>
          <w:rFonts w:hint="eastAsia" w:ascii="仿宋_GB2312" w:hAnsi="仿宋_GB2312" w:eastAsia="仿宋_GB2312" w:cs="仿宋_GB2312"/>
          <w:sz w:val="32"/>
          <w:szCs w:val="32"/>
          <w:lang w:val="en-US" w:eastAsia="zh-CN"/>
        </w:rPr>
        <w:t>突出抓好两新组织、城乡结合部、流动人口聚集地等党的组织和党的工作全覆盖。认真贯彻落实党支部工作条例，深入推进党支部“五化”建设，实行党员领导干部联片包支部制度，每个支部至少有1名党员领导干部联点包建，强化日常监督、定期督导、考核验收，街道辖区内69个党支部已全部达标。</w:t>
      </w:r>
      <w:r>
        <w:rPr>
          <w:rFonts w:hint="eastAsia" w:ascii="仿宋_GB2312" w:hAnsi="仿宋_GB2312" w:eastAsia="仿宋_GB2312" w:cs="仿宋_GB2312"/>
          <w:b/>
          <w:bCs/>
          <w:sz w:val="32"/>
          <w:szCs w:val="32"/>
          <w:lang w:val="en-US" w:eastAsia="zh-CN"/>
        </w:rPr>
        <w:t>四是突出抓好党史学习教育。</w:t>
      </w:r>
      <w:r>
        <w:rPr>
          <w:rFonts w:hint="eastAsia" w:ascii="仿宋_GB2312" w:hAnsi="仿宋_GB2312" w:eastAsia="仿宋_GB2312" w:cs="仿宋_GB2312"/>
          <w:sz w:val="32"/>
          <w:szCs w:val="32"/>
          <w:lang w:val="en-US" w:eastAsia="zh-CN"/>
        </w:rPr>
        <w:t>突出学党史、悟思想、办实事、开新局，街道党工委分别将专题纳入党工委中心组学习内容，分专题开展学习研讨，推动党员领导干部、基层党组织书记和先进典型带头讲专题党课。开展“我为群众办实事”实践活动，组织召开专题组织生活会，引导党员干部为群众办实事、做好事、解难事。</w:t>
      </w:r>
      <w:r>
        <w:rPr>
          <w:rFonts w:hint="eastAsia" w:ascii="仿宋_GB2312" w:hAnsi="仿宋_GB2312" w:eastAsia="仿宋_GB2312" w:cs="仿宋_GB2312"/>
          <w:b/>
          <w:bCs/>
          <w:sz w:val="32"/>
          <w:szCs w:val="32"/>
          <w:lang w:val="en-US" w:eastAsia="zh-CN"/>
        </w:rPr>
        <w:t>五是扎实做好庆祝建党100周年有关工作。</w:t>
      </w:r>
      <w:r>
        <w:rPr>
          <w:rFonts w:hint="eastAsia" w:ascii="仿宋_GB2312" w:hAnsi="仿宋_GB2312" w:eastAsia="仿宋_GB2312" w:cs="仿宋_GB2312"/>
          <w:sz w:val="32"/>
          <w:szCs w:val="32"/>
          <w:lang w:val="en-US" w:eastAsia="zh-CN"/>
        </w:rPr>
        <w:t>认真做好优秀共产党员、党务工作者、先进基层党组织推荐以及“两优一先”评选表彰工作，举行庆祝建党100周年大型文艺汇演，隆重颁发“光荣在党50年”纪念章。</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（二）廉政建设有落实</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一是严格落实主体责任。</w:t>
      </w:r>
      <w:r>
        <w:rPr>
          <w:rFonts w:hint="eastAsia" w:ascii="仿宋_GB2312" w:hAnsi="仿宋_GB2312" w:eastAsia="仿宋_GB2312" w:cs="仿宋_GB2312"/>
          <w:b w:val="0"/>
          <w:bCs w:val="0"/>
          <w:sz w:val="32"/>
          <w:szCs w:val="32"/>
          <w:lang w:val="en-US" w:eastAsia="zh-CN"/>
        </w:rPr>
        <w:t>严格落实党风廉政建设责任制，签订党风廉政建设责任书，党工委书记负总责，街道班子成员按分工各负其责，对下常态化开展谈心谈话；各村居、各站所负责人为第一责任人，街道纪工委协调，村居、站所协办，构建了“一级抓一级、层层抓落实”的良好工作格局。</w:t>
      </w:r>
      <w:r>
        <w:rPr>
          <w:rFonts w:hint="eastAsia" w:ascii="仿宋_GB2312" w:hAnsi="仿宋_GB2312" w:eastAsia="仿宋_GB2312" w:cs="仿宋_GB2312"/>
          <w:b/>
          <w:bCs/>
          <w:sz w:val="32"/>
          <w:szCs w:val="32"/>
          <w:lang w:val="en-US" w:eastAsia="zh-CN"/>
        </w:rPr>
        <w:t>二是严格执纪审查和监察调查。</w:t>
      </w:r>
      <w:r>
        <w:rPr>
          <w:rFonts w:hint="eastAsia" w:ascii="仿宋_GB2312" w:hAnsi="仿宋_GB2312" w:eastAsia="仿宋_GB2312" w:cs="仿宋_GB2312"/>
          <w:sz w:val="32"/>
          <w:szCs w:val="32"/>
          <w:lang w:val="en-US" w:eastAsia="zh-CN"/>
        </w:rPr>
        <w:t>始终把执纪审查和监察调查作为最有效的监督体现在全面从严治党的各方面和全过程，强化对几个重点领域的监督执纪问责，开展专项行动推动重点工作全面落实。强化线索收集、强化问题查处、强化追究问责，持续保持惩治腐败高压态势。2021年共初核问题线索8件，立案8件，结案9件，党纪政务8人，组织处理5人，上半年办理信访件5件。</w:t>
      </w:r>
      <w:r>
        <w:rPr>
          <w:rFonts w:hint="eastAsia" w:ascii="仿宋_GB2312" w:hAnsi="仿宋_GB2312" w:eastAsia="仿宋_GB2312" w:cs="仿宋_GB2312"/>
          <w:b/>
          <w:bCs/>
          <w:sz w:val="32"/>
          <w:szCs w:val="32"/>
          <w:lang w:val="en-US" w:eastAsia="zh-CN"/>
        </w:rPr>
        <w:t>二是扎实推进常态化监督。</w:t>
      </w:r>
      <w:r>
        <w:rPr>
          <w:rFonts w:hint="eastAsia" w:ascii="仿宋_GB2312" w:hAnsi="仿宋_GB2312" w:eastAsia="仿宋_GB2312" w:cs="仿宋_GB2312"/>
          <w:sz w:val="32"/>
          <w:szCs w:val="32"/>
          <w:lang w:val="en-US" w:eastAsia="zh-CN"/>
        </w:rPr>
        <w:t>强化纠正“四风”，重点开展了“五个一”专项治理和元旦、春节、五一等节日期间明察暗访、工作纪律检查5次，压缩“四风”隐匿空间，发现并整改了关于公务用车违规问题1件，婚丧喜庆事宜报告违规问题2件。聚焦群众身边腐败问题，开展群众身边腐败问题走访8次，督促整改问题5个。</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（三）乡村振兴有推进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一是巩固脱贫攻坚成果。</w:t>
      </w:r>
      <w:r>
        <w:rPr>
          <w:rFonts w:hint="eastAsia" w:ascii="仿宋_GB2312" w:hAnsi="仿宋_GB2312" w:eastAsia="仿宋_GB2312" w:cs="仿宋_GB2312"/>
          <w:sz w:val="32"/>
          <w:szCs w:val="32"/>
          <w:lang w:val="en-US" w:eastAsia="zh-CN"/>
        </w:rPr>
        <w:t>巩固脱贫成果是重要的政治任务，街道345户952人贫困户已经全部脱贫，两不愁、三保障水平持续完善和提高，脱贫户收入稳定，无新增返贫现象发生。重点关注防止返贫动态监测和帮扶机制。按照“十纳十不纳”的标准排查6524户22207人，确定监测户10户31人。街道共开发公益性岗位50个，今年实施项目11个，共投入项目资金76万元，硬化道路8条，农田水利3处。</w:t>
      </w:r>
      <w:r>
        <w:rPr>
          <w:rFonts w:hint="eastAsia" w:ascii="仿宋_GB2312" w:hAnsi="仿宋_GB2312" w:eastAsia="仿宋_GB2312" w:cs="仿宋_GB2312"/>
          <w:b/>
          <w:bCs/>
          <w:sz w:val="32"/>
          <w:szCs w:val="32"/>
          <w:lang w:val="en-US" w:eastAsia="zh-CN"/>
        </w:rPr>
        <w:t>二是大力优化城乡环境。</w:t>
      </w:r>
      <w:r>
        <w:rPr>
          <w:rFonts w:hint="eastAsia" w:ascii="仿宋_GB2312" w:hAnsi="仿宋_GB2312" w:eastAsia="仿宋_GB2312" w:cs="仿宋_GB2312"/>
          <w:sz w:val="32"/>
          <w:szCs w:val="32"/>
          <w:lang w:val="en-US" w:eastAsia="zh-CN"/>
        </w:rPr>
        <w:t>城市环境整治以国卫复审为抓手，开展各项整治活动，打造绿化美化。强力打击占道经营、出店经营行为，确保城市市容得到提升。农村环境整治通过环境卫生大整治，道路六乱大清除、河湖四乱大清理、绿化美化亮化洁化大配套等专项行动，补齐农村人居环境突出短板，实现沿线都是景、处处都是点，美丽庭院-幸福屋场-绿色村庄-产业走廊梯次推进，点、线、面一体成型的美丽乡村环境。人居环境连续被县指挥部评为季度一类单位。</w:t>
      </w:r>
      <w:r>
        <w:rPr>
          <w:rFonts w:hint="eastAsia" w:ascii="仿宋_GB2312" w:hAnsi="仿宋_GB2312" w:eastAsia="仿宋_GB2312" w:cs="仿宋_GB2312"/>
          <w:b/>
          <w:bCs/>
          <w:sz w:val="32"/>
          <w:szCs w:val="32"/>
          <w:lang w:val="en-US" w:eastAsia="zh-CN"/>
        </w:rPr>
        <w:t>三是强化农村产业发展。</w:t>
      </w:r>
      <w:r>
        <w:rPr>
          <w:rFonts w:hint="eastAsia" w:ascii="仿宋_GB2312" w:hAnsi="仿宋_GB2312" w:eastAsia="仿宋_GB2312" w:cs="仿宋_GB2312"/>
          <w:sz w:val="32"/>
          <w:szCs w:val="32"/>
          <w:lang w:val="en-US" w:eastAsia="zh-CN"/>
        </w:rPr>
        <w:t>全街道水稻种植20000亩，其中早稻14000亩，推广优质稻5000亩，油菜播种16000亩，绿肥播种4000亩，圆满完成生产任务。强化葡萄、蓝莓、草莓、食用菌等经济作物种植，每年能为农民创收300多万元。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（四）社会民生有保障</w:t>
      </w:r>
    </w:p>
    <w:p>
      <w:pPr>
        <w:spacing w:line="6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一是居民低保应保尽保。</w:t>
      </w:r>
      <w:r>
        <w:rPr>
          <w:rFonts w:hint="eastAsia" w:ascii="仿宋_GB2312" w:hAnsi="仿宋_GB2312" w:eastAsia="仿宋_GB2312" w:cs="仿宋_GB2312"/>
          <w:sz w:val="32"/>
          <w:szCs w:val="32"/>
          <w:lang w:val="en-US" w:eastAsia="zh-CN"/>
        </w:rPr>
        <w:t>今年来，我街道城乡居民低保发放共623户949人，共计发放4016400元。清理不符合政策47人，新</w:t>
      </w:r>
      <w:r>
        <w:rPr>
          <w:rFonts w:hint="eastAsia" w:ascii="仿宋_GB2312" w:hAnsi="仿宋_GB2312" w:eastAsia="仿宋_GB2312" w:cs="仿宋_GB2312"/>
          <w:sz w:val="32"/>
          <w:szCs w:val="32"/>
          <w:highlight w:val="none"/>
          <w:lang w:val="en-US" w:eastAsia="zh-CN"/>
        </w:rPr>
        <w:t>增22户24人。</w:t>
      </w:r>
      <w:r>
        <w:rPr>
          <w:rFonts w:hint="eastAsia" w:ascii="仿宋_GB2312" w:hAnsi="仿宋_GB2312" w:eastAsia="仿宋_GB2312" w:cs="仿宋_GB2312"/>
          <w:b/>
          <w:bCs/>
          <w:sz w:val="32"/>
          <w:szCs w:val="32"/>
          <w:highlight w:val="none"/>
          <w:lang w:val="en-US" w:eastAsia="zh-CN"/>
        </w:rPr>
        <w:t>二是关心关爱弱势群体。</w:t>
      </w:r>
      <w:r>
        <w:rPr>
          <w:rFonts w:hint="eastAsia" w:ascii="仿宋_GB2312" w:hAnsi="仿宋_GB2312" w:eastAsia="仿宋_GB2312" w:cs="仿宋_GB2312"/>
          <w:sz w:val="32"/>
          <w:szCs w:val="32"/>
          <w:highlight w:val="none"/>
          <w:lang w:val="en-US" w:eastAsia="zh-CN"/>
        </w:rPr>
        <w:t>今年发放残疾人补贴共计约891900元；</w:t>
      </w:r>
      <w:r>
        <w:rPr>
          <w:rFonts w:hint="eastAsia" w:ascii="仿宋_GB2312" w:hAnsi="仿宋_GB2312" w:eastAsia="仿宋_GB2312" w:cs="仿宋_GB2312"/>
          <w:sz w:val="32"/>
          <w:szCs w:val="32"/>
          <w:lang w:eastAsia="zh-CN"/>
        </w:rPr>
        <w:t>协助共计</w:t>
      </w:r>
      <w:r>
        <w:rPr>
          <w:rFonts w:hint="eastAsia" w:ascii="仿宋_GB2312" w:hAnsi="仿宋_GB2312" w:eastAsia="仿宋_GB2312" w:cs="仿宋_GB2312"/>
          <w:sz w:val="32"/>
          <w:szCs w:val="32"/>
          <w:highlight w:val="none"/>
          <w:lang w:val="en-US" w:eastAsia="zh-CN"/>
        </w:rPr>
        <w:t>61</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eastAsia="zh-CN"/>
        </w:rPr>
        <w:t>残疾人申请了机动三轮车燃油补贴；新申报审核通过了</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特困</w:t>
      </w:r>
      <w:r>
        <w:rPr>
          <w:rFonts w:hint="eastAsia" w:ascii="仿宋_GB2312" w:hAnsi="仿宋_GB2312" w:eastAsia="仿宋_GB2312" w:cs="仿宋_GB2312"/>
          <w:sz w:val="32"/>
          <w:szCs w:val="32"/>
        </w:rPr>
        <w:t>享受对象</w:t>
      </w:r>
      <w:r>
        <w:rPr>
          <w:rFonts w:hint="eastAsia" w:ascii="仿宋_GB2312" w:hAnsi="仿宋_GB2312" w:eastAsia="仿宋_GB2312" w:cs="仿宋_GB2312"/>
          <w:sz w:val="32"/>
          <w:szCs w:val="32"/>
          <w:lang w:eastAsia="zh-CN"/>
        </w:rPr>
        <w:t>；街道共有高龄老人</w:t>
      </w:r>
      <w:r>
        <w:rPr>
          <w:rFonts w:hint="eastAsia" w:ascii="仿宋_GB2312" w:hAnsi="仿宋_GB2312" w:eastAsia="仿宋_GB2312" w:cs="仿宋_GB2312"/>
          <w:sz w:val="32"/>
          <w:szCs w:val="32"/>
          <w:lang w:val="en-US" w:eastAsia="zh-CN"/>
        </w:rPr>
        <w:t>138人，今年共计发放</w:t>
      </w:r>
      <w:r>
        <w:rPr>
          <w:rFonts w:hint="eastAsia" w:ascii="仿宋_GB2312" w:hAnsi="仿宋_GB2312" w:eastAsia="仿宋_GB2312" w:cs="仿宋_GB2312"/>
          <w:sz w:val="32"/>
          <w:szCs w:val="32"/>
          <w:lang w:eastAsia="zh-CN"/>
        </w:rPr>
        <w:t>高龄老人</w:t>
      </w:r>
      <w:r>
        <w:rPr>
          <w:rFonts w:hint="eastAsia" w:ascii="仿宋_GB2312" w:hAnsi="仿宋_GB2312" w:eastAsia="仿宋_GB2312" w:cs="仿宋_GB2312"/>
          <w:sz w:val="32"/>
          <w:szCs w:val="32"/>
          <w:lang w:val="en-US" w:eastAsia="zh-CN"/>
        </w:rPr>
        <w:t>补贴约</w:t>
      </w:r>
      <w:r>
        <w:rPr>
          <w:rFonts w:hint="eastAsia" w:ascii="仿宋_GB2312" w:hAnsi="仿宋_GB2312" w:eastAsia="仿宋_GB2312" w:cs="仿宋_GB2312"/>
          <w:color w:val="auto"/>
          <w:sz w:val="32"/>
          <w:szCs w:val="32"/>
          <w:highlight w:val="none"/>
          <w:lang w:val="en-US" w:eastAsia="zh-CN"/>
        </w:rPr>
        <w:t>154800</w:t>
      </w:r>
      <w:r>
        <w:rPr>
          <w:rFonts w:hint="eastAsia" w:ascii="仿宋_GB2312" w:hAnsi="仿宋_GB2312" w:eastAsia="仿宋_GB2312" w:cs="仿宋_GB2312"/>
          <w:sz w:val="32"/>
          <w:szCs w:val="32"/>
          <w:lang w:val="en-US" w:eastAsia="zh-CN"/>
        </w:rPr>
        <w:t>元；今年走访共计52名农村留守儿童，送去物资和学习用品。</w:t>
      </w:r>
      <w:r>
        <w:rPr>
          <w:rFonts w:hint="eastAsia" w:ascii="仿宋_GB2312" w:hAnsi="仿宋_GB2312" w:eastAsia="仿宋_GB2312" w:cs="仿宋_GB2312"/>
          <w:b/>
          <w:bCs/>
          <w:sz w:val="32"/>
          <w:szCs w:val="32"/>
          <w:lang w:val="en-US" w:eastAsia="zh-CN"/>
        </w:rPr>
        <w:t>三是严格落实各项政策。</w:t>
      </w:r>
      <w:r>
        <w:rPr>
          <w:rFonts w:hint="eastAsia" w:ascii="仿宋_GB2312" w:hAnsi="仿宋_GB2312" w:eastAsia="仿宋_GB2312" w:cs="仿宋_GB2312"/>
          <w:sz w:val="32"/>
          <w:szCs w:val="32"/>
          <w:lang w:val="en-US" w:eastAsia="zh-CN"/>
        </w:rPr>
        <w:t>今年来共开展三次城乡特困家庭医疗救助，为75名病患申请了医疗救助；开展三次临时救助工作，救助了289名困难对象，共计发放资金270000元；还为96名符合要求的对象申请了住房租赁补贴。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（五）综治维稳有成效</w:t>
      </w:r>
    </w:p>
    <w:p>
      <w:pPr>
        <w:spacing w:line="560" w:lineRule="exact"/>
        <w:ind w:firstLine="2249"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一是加大保平安促稳定工作力度。</w:t>
      </w:r>
      <w:r>
        <w:rPr>
          <w:rFonts w:hint="eastAsia" w:ascii="仿宋_GB2312" w:hAnsi="仿宋_GB2312" w:eastAsia="仿宋_GB2312" w:cs="仿宋_GB2312"/>
          <w:b w:val="0"/>
          <w:bCs w:val="0"/>
          <w:sz w:val="32"/>
          <w:szCs w:val="32"/>
          <w:lang w:val="en-US" w:eastAsia="zh-CN"/>
        </w:rPr>
        <w:t>不断完善社会治理网格，22个单位全面完成“雪亮工程”建设，共安装视频探头184个。网上平台录入矛盾纠纷调处238余起；录入群众接待日373次、干部工作日志3103次。</w:t>
      </w:r>
      <w:r>
        <w:rPr>
          <w:rFonts w:hint="eastAsia" w:ascii="仿宋_GB2312" w:hAnsi="仿宋_GB2312" w:eastAsia="仿宋_GB2312" w:cs="仿宋_GB2312"/>
          <w:sz w:val="32"/>
          <w:szCs w:val="32"/>
          <w:lang w:val="en-US" w:eastAsia="zh-CN"/>
        </w:rPr>
        <w:t>全年共排查解决矛盾纠纷238起，解答法律咨询近百人。接待群众来信来访共计726起，其中上级交办件134起（国家级4件、市级117件、县级13件），本地信访件23起，已办结信访件157起。</w:t>
      </w:r>
      <w:r>
        <w:rPr>
          <w:rFonts w:hint="eastAsia" w:ascii="仿宋_GB2312" w:hAnsi="仿宋_GB2312" w:eastAsia="仿宋_GB2312" w:cs="仿宋_GB2312"/>
          <w:b/>
          <w:bCs/>
          <w:sz w:val="32"/>
          <w:szCs w:val="32"/>
          <w:lang w:val="en-US" w:eastAsia="zh-CN"/>
        </w:rPr>
        <w:t>二是大力开展扫黑除恶工作。</w:t>
      </w:r>
      <w:r>
        <w:rPr>
          <w:rFonts w:hint="eastAsia" w:ascii="仿宋_GB2312" w:hAnsi="仿宋_GB2312" w:eastAsia="仿宋_GB2312" w:cs="仿宋_GB2312"/>
          <w:sz w:val="32"/>
          <w:szCs w:val="32"/>
          <w:lang w:val="en-US" w:eastAsia="zh-CN"/>
        </w:rPr>
        <w:t>结合“19”众创平安活动，大力宣传扫黑除恶知识，使老百姓群众扫黑除恶斗争的知晓率达到100%，参与热情空前高涨。加大线索摸排力度，严格按照每月摸排四次、统计上报一次的职责任务落实线索摸排工作。</w:t>
      </w:r>
      <w:r>
        <w:rPr>
          <w:rFonts w:hint="eastAsia" w:ascii="仿宋_GB2312" w:hAnsi="仿宋_GB2312" w:eastAsia="仿宋_GB2312" w:cs="仿宋_GB2312"/>
          <w:b/>
          <w:bCs/>
          <w:sz w:val="32"/>
          <w:szCs w:val="32"/>
          <w:lang w:val="en-US" w:eastAsia="zh-CN"/>
        </w:rPr>
        <w:t>三是有序开展禁毒工作。</w:t>
      </w:r>
      <w:r>
        <w:rPr>
          <w:rFonts w:hint="eastAsia" w:ascii="仿宋_GB2312" w:hAnsi="仿宋_GB2312" w:eastAsia="仿宋_GB2312" w:cs="仿宋_GB2312"/>
          <w:sz w:val="32"/>
          <w:szCs w:val="32"/>
          <w:lang w:val="en-US" w:eastAsia="zh-CN"/>
        </w:rPr>
        <w:t>进一步规范了社区戒毒（康复）工作，完善社区戒毒（康复）人员档案21套、社会面吸毒人员档案162套。定期对社区戒毒（康复）人员及亲属进行吸毒检测、谈心谈话，对1名超期未报到的社戒人员移送给了派出所进行强制处理。结合“19”众创平安等活动，大力加强了毒品原植物的踏勘及禁种铲毒知识宣传工作。</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
      <w:pPr>
        <w:spacing w:line="560" w:lineRule="exact"/>
        <w:ind w:firstLine="2249" w:firstLineChars="700"/>
        <w:rPr>
          <w:rFonts w:ascii="仿宋" w:hAnsi="仿宋" w:eastAsia="仿宋" w:cs="宋体"/>
          <w:b/>
          <w:bCs/>
          <w:kern w:val="0"/>
          <w:sz w:val="32"/>
          <w:szCs w:val="32"/>
        </w:rPr>
      </w:pPr>
    </w:p>
    <w:p>
      <w:pPr>
        <w:spacing w:line="560" w:lineRule="exact"/>
        <w:ind w:firstLine="2249" w:firstLineChars="700"/>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3"/>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p>
          <w:p>
            <w:pPr>
              <w:widowControl/>
              <w:spacing w:line="300" w:lineRule="exact"/>
              <w:jc w:val="left"/>
              <w:rPr>
                <w:rFonts w:ascii="宋体" w:hAnsi="宋体"/>
                <w:kern w:val="0"/>
                <w:sz w:val="24"/>
                <w:szCs w:val="24"/>
              </w:rPr>
            </w:pP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p>
          <w:p>
            <w:pPr>
              <w:widowControl/>
              <w:spacing w:line="300" w:lineRule="exact"/>
              <w:jc w:val="left"/>
              <w:rPr>
                <w:rFonts w:ascii="宋体" w:hAnsi="宋体"/>
                <w:kern w:val="0"/>
                <w:sz w:val="24"/>
                <w:szCs w:val="24"/>
              </w:rPr>
            </w:pP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88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ind w:left="359" w:leftChars="171"/>
              <w:rPr>
                <w:rFonts w:ascii="宋体" w:hAnsi="宋体" w:cs="宋体"/>
                <w:kern w:val="0"/>
                <w:sz w:val="24"/>
                <w:szCs w:val="24"/>
              </w:rPr>
            </w:pPr>
          </w:p>
          <w:p>
            <w:pPr>
              <w:widowControl/>
              <w:spacing w:line="280" w:lineRule="exac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left"/>
              <w:rPr>
                <w:rFonts w:ascii="宋体" w:hAnsi="宋体" w:cs="宋体"/>
                <w:kern w:val="0"/>
                <w:sz w:val="24"/>
                <w:szCs w:val="24"/>
              </w:rPr>
            </w:pP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left"/>
              <w:rPr>
                <w:rFonts w:ascii="宋体" w:hAnsi="宋体"/>
                <w:kern w:val="0"/>
                <w:sz w:val="24"/>
                <w:szCs w:val="24"/>
              </w:rPr>
            </w:pP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280" w:lineRule="exact"/>
              <w:jc w:val="left"/>
              <w:rPr>
                <w:rFonts w:ascii="宋体" w:hAnsi="宋体"/>
                <w:kern w:val="0"/>
                <w:sz w:val="24"/>
                <w:szCs w:val="24"/>
              </w:rPr>
            </w:pP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p>
          <w:p>
            <w:pPr>
              <w:widowControl/>
              <w:spacing w:line="280" w:lineRule="exact"/>
              <w:jc w:val="left"/>
              <w:rPr>
                <w:rFonts w:ascii="宋体"/>
                <w:kern w:val="0"/>
                <w:sz w:val="24"/>
                <w:szCs w:val="24"/>
              </w:rPr>
            </w:pP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85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218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trHeight w:val="140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p>
          <w:p>
            <w:pPr>
              <w:widowControl/>
              <w:spacing w:line="280" w:lineRule="exact"/>
              <w:jc w:val="left"/>
              <w:rPr>
                <w:rFonts w:ascii="宋体" w:hAnsi="宋体" w:cs="宋体"/>
                <w:kern w:val="0"/>
                <w:sz w:val="24"/>
                <w:szCs w:val="24"/>
              </w:rPr>
            </w:pP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p>
          <w:p>
            <w:pPr>
              <w:widowControl/>
              <w:spacing w:line="280" w:lineRule="exact"/>
              <w:jc w:val="left"/>
              <w:rPr>
                <w:rFonts w:ascii="宋体" w:hAnsi="宋体" w:cs="宋体"/>
                <w:kern w:val="0"/>
                <w:sz w:val="24"/>
                <w:szCs w:val="24"/>
              </w:rPr>
            </w:pP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left"/>
              <w:rPr>
                <w:rFonts w:ascii="宋体"/>
                <w:kern w:val="0"/>
                <w:sz w:val="24"/>
                <w:szCs w:val="24"/>
              </w:rPr>
            </w:pP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93</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495"/>
          <w:tab w:val="left" w:pos="4791"/>
          <w:tab w:val="left" w:pos="5951"/>
          <w:tab w:val="left" w:pos="7071"/>
          <w:tab w:val="left" w:pos="7710"/>
          <w:tab w:val="left" w:pos="8955"/>
        </w:tabs>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澧县人民政府澧西街道办事处</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3"/>
        <w:tblW w:w="10339" w:type="dxa"/>
        <w:jc w:val="center"/>
        <w:tblLayout w:type="fixed"/>
        <w:tblCellMar>
          <w:top w:w="0" w:type="dxa"/>
          <w:left w:w="108" w:type="dxa"/>
          <w:bottom w:w="0" w:type="dxa"/>
          <w:right w:w="108" w:type="dxa"/>
        </w:tblCellMar>
      </w:tblPr>
      <w:tblGrid>
        <w:gridCol w:w="3550"/>
        <w:gridCol w:w="2360"/>
        <w:gridCol w:w="2595"/>
        <w:gridCol w:w="183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年实际在职人数</w:t>
            </w:r>
          </w:p>
        </w:tc>
        <w:tc>
          <w:tcPr>
            <w:tcW w:w="1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417" w:hRule="atLeast"/>
          <w:jc w:val="center"/>
        </w:trPr>
        <w:tc>
          <w:tcPr>
            <w:tcW w:w="3550" w:type="dxa"/>
            <w:vMerge w:val="continue"/>
            <w:tcBorders>
              <w:left w:val="single" w:color="auto" w:sz="4" w:space="0"/>
              <w:right w:val="single" w:color="auto" w:sz="4" w:space="0"/>
            </w:tcBorders>
            <w:vAlign w:val="center"/>
          </w:tcPr>
          <w:p>
            <w:pPr>
              <w:widowControl/>
              <w:jc w:val="center"/>
            </w:pPr>
          </w:p>
          <w:p>
            <w:pPr>
              <w:pStyle w:val="2"/>
            </w:pP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p>
        </w:tc>
        <w:tc>
          <w:tcPr>
            <w:tcW w:w="1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70</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67</w:t>
            </w:r>
          </w:p>
        </w:tc>
        <w:tc>
          <w:tcPr>
            <w:tcW w:w="18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9</w:t>
            </w:r>
            <w:r>
              <w:rPr>
                <w:rFonts w:hint="eastAsia" w:ascii="Times New Roman" w:hAnsi="Times New Roman" w:eastAsia="仿宋_GB2312"/>
                <w:kern w:val="0"/>
                <w:sz w:val="24"/>
                <w:lang w:val="en-US" w:eastAsia="zh-CN"/>
              </w:rPr>
              <w:t>5.71</w:t>
            </w:r>
            <w:r>
              <w:rPr>
                <w:rFonts w:hint="eastAsia" w:ascii="Times New Roman" w:hAnsi="Times New Roman" w:eastAsia="仿宋_GB2312"/>
                <w:kern w:val="0"/>
                <w:sz w:val="24"/>
              </w:rPr>
              <w:t>%</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年决算数</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年预算数</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7.8</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7.8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2.9</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2.9</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4.9</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4.9</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226.2</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200.27</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200.27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126</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80.72</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80.72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18.5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5.8</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spacing w:line="560" w:lineRule="exact"/>
        <w:ind w:firstLine="1793" w:firstLineChars="496"/>
        <w:rPr>
          <w:rFonts w:asciiTheme="majorEastAsia" w:hAnsiTheme="majorEastAsia" w:eastAsiaTheme="majorEastAsia" w:cstheme="majorEastAsia"/>
          <w:b/>
          <w:bCs/>
          <w:kern w:val="0"/>
          <w:sz w:val="36"/>
          <w:szCs w:val="36"/>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w Cen MT">
    <w:altName w:val="宋体"/>
    <w:panose1 w:val="020B0602020104020603"/>
    <w:charset w:val="86"/>
    <w:family w:val="auto"/>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12</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mMjM3NDE1MzVjM2FlYjcxMzNkNjYxOTRmYjFjODIifQ=="/>
  </w:docVars>
  <w:rsids>
    <w:rsidRoot w:val="007974AB"/>
    <w:rsid w:val="0000298E"/>
    <w:rsid w:val="00002AE4"/>
    <w:rsid w:val="0002235E"/>
    <w:rsid w:val="0003050A"/>
    <w:rsid w:val="00031747"/>
    <w:rsid w:val="0003456A"/>
    <w:rsid w:val="00037035"/>
    <w:rsid w:val="000416FB"/>
    <w:rsid w:val="000469BA"/>
    <w:rsid w:val="000516DC"/>
    <w:rsid w:val="00051DA6"/>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41D4"/>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096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4AB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67C"/>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A483D"/>
    <w:rsid w:val="004B09F8"/>
    <w:rsid w:val="004B154B"/>
    <w:rsid w:val="004B4B8D"/>
    <w:rsid w:val="004C10B1"/>
    <w:rsid w:val="004C2AEE"/>
    <w:rsid w:val="004D5F90"/>
    <w:rsid w:val="004E0E7F"/>
    <w:rsid w:val="004E1AF5"/>
    <w:rsid w:val="004E2593"/>
    <w:rsid w:val="004E394D"/>
    <w:rsid w:val="004E6235"/>
    <w:rsid w:val="004E6E44"/>
    <w:rsid w:val="004F40BB"/>
    <w:rsid w:val="004F4E0C"/>
    <w:rsid w:val="004F53C1"/>
    <w:rsid w:val="00500075"/>
    <w:rsid w:val="00503CDE"/>
    <w:rsid w:val="00505F55"/>
    <w:rsid w:val="00507BC7"/>
    <w:rsid w:val="00510B86"/>
    <w:rsid w:val="0051464E"/>
    <w:rsid w:val="00514E72"/>
    <w:rsid w:val="00536A21"/>
    <w:rsid w:val="005377C3"/>
    <w:rsid w:val="005421E4"/>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662C"/>
    <w:rsid w:val="005A6E3C"/>
    <w:rsid w:val="005B537E"/>
    <w:rsid w:val="005B70C2"/>
    <w:rsid w:val="005C1C09"/>
    <w:rsid w:val="005C488D"/>
    <w:rsid w:val="005C60E3"/>
    <w:rsid w:val="005C6117"/>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01D0"/>
    <w:rsid w:val="006F1419"/>
    <w:rsid w:val="006F3485"/>
    <w:rsid w:val="00700CD4"/>
    <w:rsid w:val="00701DF4"/>
    <w:rsid w:val="00702069"/>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1F3"/>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92869"/>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37CB6"/>
    <w:rsid w:val="00940031"/>
    <w:rsid w:val="0094137E"/>
    <w:rsid w:val="00943B87"/>
    <w:rsid w:val="009442C5"/>
    <w:rsid w:val="0094685F"/>
    <w:rsid w:val="00954435"/>
    <w:rsid w:val="0095529F"/>
    <w:rsid w:val="00956048"/>
    <w:rsid w:val="00961BF1"/>
    <w:rsid w:val="0096338E"/>
    <w:rsid w:val="009709F2"/>
    <w:rsid w:val="00971562"/>
    <w:rsid w:val="0097377E"/>
    <w:rsid w:val="0097487E"/>
    <w:rsid w:val="00977060"/>
    <w:rsid w:val="00980482"/>
    <w:rsid w:val="0098378E"/>
    <w:rsid w:val="00986F29"/>
    <w:rsid w:val="009901AD"/>
    <w:rsid w:val="00991324"/>
    <w:rsid w:val="00991EA4"/>
    <w:rsid w:val="009943A8"/>
    <w:rsid w:val="009947D3"/>
    <w:rsid w:val="009965AB"/>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25CE"/>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E82"/>
    <w:rsid w:val="00A949AD"/>
    <w:rsid w:val="00AA1753"/>
    <w:rsid w:val="00AA3397"/>
    <w:rsid w:val="00AB11DB"/>
    <w:rsid w:val="00AC2C79"/>
    <w:rsid w:val="00AC3596"/>
    <w:rsid w:val="00AC5189"/>
    <w:rsid w:val="00AD0292"/>
    <w:rsid w:val="00AD09F4"/>
    <w:rsid w:val="00AD797A"/>
    <w:rsid w:val="00AE0BC2"/>
    <w:rsid w:val="00AE2DA1"/>
    <w:rsid w:val="00AE4204"/>
    <w:rsid w:val="00AE777B"/>
    <w:rsid w:val="00AF02BC"/>
    <w:rsid w:val="00AF1354"/>
    <w:rsid w:val="00B04987"/>
    <w:rsid w:val="00B0551B"/>
    <w:rsid w:val="00B067B2"/>
    <w:rsid w:val="00B07A1C"/>
    <w:rsid w:val="00B12151"/>
    <w:rsid w:val="00B13B33"/>
    <w:rsid w:val="00B13F7B"/>
    <w:rsid w:val="00B15F5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1EA3"/>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59D4"/>
    <w:rsid w:val="00BB7153"/>
    <w:rsid w:val="00BD1277"/>
    <w:rsid w:val="00BD600A"/>
    <w:rsid w:val="00BD7C07"/>
    <w:rsid w:val="00BE2E9A"/>
    <w:rsid w:val="00BE6894"/>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58E2"/>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921CA"/>
    <w:rsid w:val="00FA27F4"/>
    <w:rsid w:val="00FA5A76"/>
    <w:rsid w:val="00FB0000"/>
    <w:rsid w:val="00FB5CB5"/>
    <w:rsid w:val="00FD0185"/>
    <w:rsid w:val="00FD0186"/>
    <w:rsid w:val="00FD03F6"/>
    <w:rsid w:val="00FD1260"/>
    <w:rsid w:val="00FD4154"/>
    <w:rsid w:val="00FD47E3"/>
    <w:rsid w:val="00FE15F4"/>
    <w:rsid w:val="00FF2FCA"/>
    <w:rsid w:val="00FF5CAC"/>
    <w:rsid w:val="04E84DE3"/>
    <w:rsid w:val="077023ED"/>
    <w:rsid w:val="07A60F58"/>
    <w:rsid w:val="0B5B5A73"/>
    <w:rsid w:val="12100893"/>
    <w:rsid w:val="17203872"/>
    <w:rsid w:val="20C51591"/>
    <w:rsid w:val="234468C6"/>
    <w:rsid w:val="2CDB448C"/>
    <w:rsid w:val="325B4596"/>
    <w:rsid w:val="3B1C521F"/>
    <w:rsid w:val="43710791"/>
    <w:rsid w:val="57E714CD"/>
    <w:rsid w:val="5B666AC9"/>
    <w:rsid w:val="5C562ED8"/>
    <w:rsid w:val="5E264E51"/>
    <w:rsid w:val="64CC7F22"/>
    <w:rsid w:val="64F32EB0"/>
    <w:rsid w:val="66A161CC"/>
    <w:rsid w:val="6C5062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4">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7">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8">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jc w:val="left"/>
      <w:outlineLvl w:val="2"/>
    </w:pPr>
    <w:rPr>
      <w:rFonts w:ascii="Tw Cen MT" w:hAnsi="Tw Cen MT" w:eastAsia="华文仿宋" w:cs="黑体"/>
      <w:b/>
      <w:bCs/>
      <w:szCs w:val="32"/>
    </w:rPr>
  </w:style>
  <w:style w:type="paragraph" w:styleId="9">
    <w:name w:val="HTML Address"/>
    <w:basedOn w:val="1"/>
    <w:link w:val="26"/>
    <w:semiHidden/>
    <w:qFormat/>
    <w:uiPriority w:val="99"/>
    <w:pPr>
      <w:widowControl/>
      <w:jc w:val="left"/>
    </w:pPr>
    <w:rPr>
      <w:rFonts w:ascii="宋体" w:hAnsi="宋体" w:cs="宋体"/>
      <w:kern w:val="0"/>
      <w:sz w:val="24"/>
      <w:szCs w:val="24"/>
    </w:rPr>
  </w:style>
  <w:style w:type="paragraph" w:styleId="10">
    <w:name w:val="footer"/>
    <w:basedOn w:val="1"/>
    <w:link w:val="125"/>
    <w:qFormat/>
    <w:uiPriority w:val="99"/>
    <w:pPr>
      <w:tabs>
        <w:tab w:val="center" w:pos="4153"/>
        <w:tab w:val="right" w:pos="8306"/>
      </w:tabs>
      <w:snapToGrid w:val="0"/>
      <w:jc w:val="left"/>
    </w:pPr>
    <w:rPr>
      <w:sz w:val="18"/>
      <w:szCs w:val="18"/>
    </w:rPr>
  </w:style>
  <w:style w:type="paragraph" w:styleId="11">
    <w:name w:val="header"/>
    <w:basedOn w:val="1"/>
    <w:link w:val="124"/>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rFonts w:cs="Times New Roman"/>
      <w:color w:val="252525"/>
      <w:u w:val="none"/>
    </w:rPr>
  </w:style>
  <w:style w:type="character" w:styleId="16">
    <w:name w:val="Emphasis"/>
    <w:basedOn w:val="14"/>
    <w:qFormat/>
    <w:uiPriority w:val="99"/>
    <w:rPr>
      <w:rFonts w:cs="Times New Roman"/>
    </w:rPr>
  </w:style>
  <w:style w:type="character" w:styleId="17">
    <w:name w:val="Hyperlink"/>
    <w:basedOn w:val="14"/>
    <w:semiHidden/>
    <w:qFormat/>
    <w:uiPriority w:val="99"/>
    <w:rPr>
      <w:rFonts w:cs="Times New Roman"/>
      <w:color w:val="252525"/>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rPr>
      <w:rFonts w:cs="Times New Roman"/>
    </w:rPr>
  </w:style>
  <w:style w:type="character" w:customStyle="1" w:styleId="20">
    <w:name w:val="标题 1 Char"/>
    <w:basedOn w:val="14"/>
    <w:link w:val="3"/>
    <w:qFormat/>
    <w:locked/>
    <w:uiPriority w:val="99"/>
    <w:rPr>
      <w:rFonts w:ascii="宋体" w:hAnsi="宋体" w:eastAsia="宋体" w:cs="宋体"/>
      <w:kern w:val="36"/>
      <w:sz w:val="48"/>
      <w:szCs w:val="48"/>
    </w:rPr>
  </w:style>
  <w:style w:type="character" w:customStyle="1" w:styleId="21">
    <w:name w:val="标题 2 Char"/>
    <w:basedOn w:val="14"/>
    <w:link w:val="4"/>
    <w:qFormat/>
    <w:locked/>
    <w:uiPriority w:val="99"/>
    <w:rPr>
      <w:rFonts w:ascii="宋体" w:hAnsi="宋体" w:eastAsia="宋体" w:cs="宋体"/>
      <w:kern w:val="0"/>
      <w:sz w:val="36"/>
      <w:szCs w:val="36"/>
    </w:rPr>
  </w:style>
  <w:style w:type="character" w:customStyle="1" w:styleId="22">
    <w:name w:val="标题 3 Char"/>
    <w:basedOn w:val="14"/>
    <w:link w:val="5"/>
    <w:qFormat/>
    <w:locked/>
    <w:uiPriority w:val="99"/>
    <w:rPr>
      <w:rFonts w:ascii="宋体" w:hAnsi="宋体" w:eastAsia="宋体" w:cs="宋体"/>
      <w:kern w:val="0"/>
      <w:sz w:val="27"/>
      <w:szCs w:val="27"/>
    </w:rPr>
  </w:style>
  <w:style w:type="character" w:customStyle="1" w:styleId="23">
    <w:name w:val="标题 4 Char"/>
    <w:basedOn w:val="14"/>
    <w:link w:val="6"/>
    <w:qFormat/>
    <w:locked/>
    <w:uiPriority w:val="99"/>
    <w:rPr>
      <w:rFonts w:ascii="宋体" w:hAnsi="宋体" w:eastAsia="宋体" w:cs="宋体"/>
      <w:kern w:val="0"/>
      <w:sz w:val="24"/>
      <w:szCs w:val="24"/>
    </w:rPr>
  </w:style>
  <w:style w:type="character" w:customStyle="1" w:styleId="24">
    <w:name w:val="标题 5 Char"/>
    <w:basedOn w:val="14"/>
    <w:link w:val="7"/>
    <w:qFormat/>
    <w:locked/>
    <w:uiPriority w:val="99"/>
    <w:rPr>
      <w:rFonts w:ascii="宋体" w:hAnsi="宋体" w:eastAsia="宋体" w:cs="宋体"/>
      <w:kern w:val="0"/>
      <w:sz w:val="20"/>
      <w:szCs w:val="20"/>
    </w:rPr>
  </w:style>
  <w:style w:type="character" w:customStyle="1" w:styleId="25">
    <w:name w:val="标题 6 Char"/>
    <w:basedOn w:val="14"/>
    <w:link w:val="8"/>
    <w:qFormat/>
    <w:locked/>
    <w:uiPriority w:val="99"/>
    <w:rPr>
      <w:rFonts w:ascii="宋体" w:hAnsi="宋体" w:eastAsia="宋体" w:cs="宋体"/>
      <w:kern w:val="0"/>
      <w:sz w:val="15"/>
      <w:szCs w:val="15"/>
    </w:rPr>
  </w:style>
  <w:style w:type="character" w:customStyle="1" w:styleId="26">
    <w:name w:val="HTML 地址 Char"/>
    <w:basedOn w:val="14"/>
    <w:link w:val="9"/>
    <w:semiHidden/>
    <w:qFormat/>
    <w:locked/>
    <w:uiPriority w:val="99"/>
    <w:rPr>
      <w:rFonts w:ascii="宋体" w:hAnsi="宋体" w:eastAsia="宋体" w:cs="宋体"/>
      <w:kern w:val="0"/>
      <w:sz w:val="24"/>
      <w:szCs w:val="24"/>
    </w:rPr>
  </w:style>
  <w:style w:type="paragraph" w:customStyle="1" w:styleId="27">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4"/>
    <w:uiPriority w:val="99"/>
    <w:rPr>
      <w:rFonts w:cs="Times New Roman"/>
    </w:rPr>
  </w:style>
  <w:style w:type="paragraph" w:customStyle="1" w:styleId="104">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qFormat/>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4"/>
    <w:qFormat/>
    <w:uiPriority w:val="99"/>
    <w:rPr>
      <w:rFonts w:cs="Times New Roman"/>
      <w:shd w:val="clear" w:color="auto" w:fill="auto"/>
    </w:rPr>
  </w:style>
  <w:style w:type="paragraph" w:customStyle="1" w:styleId="121">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4"/>
    <w:link w:val="11"/>
    <w:semiHidden/>
    <w:qFormat/>
    <w:locked/>
    <w:uiPriority w:val="99"/>
    <w:rPr>
      <w:rFonts w:cs="Times New Roman"/>
      <w:sz w:val="18"/>
      <w:szCs w:val="18"/>
    </w:rPr>
  </w:style>
  <w:style w:type="character" w:customStyle="1" w:styleId="125">
    <w:name w:val="页脚 Char"/>
    <w:basedOn w:val="14"/>
    <w:link w:val="10"/>
    <w:qFormat/>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7105</Words>
  <Characters>7635</Characters>
  <Lines>7</Lines>
  <Paragraphs>15</Paragraphs>
  <TotalTime>18</TotalTime>
  <ScaleCrop>false</ScaleCrop>
  <LinksUpToDate>false</LinksUpToDate>
  <CharactersWithSpaces>7702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2020-10-15T03:47:00Z</dcterms:created>
  <dc:creator>ASUS</dc:creator>
  <cp:lastModifiedBy>Administrator</cp:lastModifiedBy>
  <cp:lastPrinted>2020-10-15T05:26:00Z</cp:lastPrinted>
  <dcterms:modified xsi:type="dcterms:W3CDTF">2024-04-24T08:40:53Z</dcterms:modified>
  <dc:title>2014年度常德市社会劳动保险处</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C1583833807849328057329F49E91D50</vt:lpwstr>
  </property>
</Properties>
</file>