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宋体"/>
          <w:b/>
          <w:kern w:val="0"/>
          <w:sz w:val="44"/>
          <w:szCs w:val="44"/>
        </w:rPr>
      </w:pPr>
      <w:r>
        <w:rPr>
          <w:rFonts w:ascii="Times New Roman" w:hAnsi="Times New Roman" w:eastAsia="宋体"/>
          <w:b/>
          <w:kern w:val="0"/>
          <w:sz w:val="44"/>
          <w:szCs w:val="44"/>
        </w:rPr>
        <w:t>20</w:t>
      </w:r>
      <w:r>
        <w:rPr>
          <w:rFonts w:hint="eastAsia" w:ascii="Times New Roman" w:hAnsi="Times New Roman" w:eastAsia="宋体"/>
          <w:b/>
          <w:kern w:val="0"/>
          <w:sz w:val="44"/>
          <w:szCs w:val="44"/>
        </w:rPr>
        <w:t>20</w:t>
      </w:r>
      <w:r>
        <w:rPr>
          <w:rFonts w:ascii="Times New Roman" w:hAnsi="Times New Roman" w:eastAsia="宋体"/>
          <w:b/>
          <w:kern w:val="0"/>
          <w:sz w:val="44"/>
          <w:szCs w:val="44"/>
        </w:rPr>
        <w:t>年度</w:t>
      </w:r>
      <w:r>
        <w:rPr>
          <w:rFonts w:hint="eastAsia" w:ascii="Times New Roman" w:hAnsi="Times New Roman" w:eastAsia="宋体"/>
          <w:b/>
          <w:kern w:val="0"/>
          <w:sz w:val="44"/>
          <w:szCs w:val="44"/>
        </w:rPr>
        <w:t>澧县人民政府</w:t>
      </w:r>
    </w:p>
    <w:p>
      <w:pPr>
        <w:spacing w:line="560" w:lineRule="exact"/>
        <w:jc w:val="center"/>
        <w:rPr>
          <w:rFonts w:ascii="Times New Roman" w:hAnsi="Times New Roman" w:eastAsia="宋体"/>
          <w:b/>
          <w:kern w:val="0"/>
          <w:sz w:val="44"/>
          <w:szCs w:val="44"/>
        </w:rPr>
      </w:pPr>
      <w:r>
        <w:rPr>
          <w:rFonts w:hint="eastAsia" w:ascii="Times New Roman" w:hAnsi="Times New Roman" w:eastAsia="宋体"/>
          <w:b/>
          <w:kern w:val="0"/>
          <w:sz w:val="44"/>
          <w:szCs w:val="44"/>
          <w:lang w:eastAsia="zh-CN"/>
        </w:rPr>
        <w:t>小渡口镇人民政府</w:t>
      </w:r>
      <w:r>
        <w:rPr>
          <w:rFonts w:ascii="Times New Roman" w:hAnsi="Times New Roman" w:eastAsia="宋体"/>
          <w:b/>
          <w:kern w:val="0"/>
          <w:sz w:val="44"/>
          <w:szCs w:val="44"/>
        </w:rPr>
        <w:t>绩效报告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widowControl/>
        <w:spacing w:line="315" w:lineRule="atLeast"/>
        <w:ind w:firstLine="480"/>
        <w:rPr>
          <w:rFonts w:ascii="仿宋" w:hAnsi="仿宋" w:eastAsia="仿宋" w:cs="仿宋"/>
          <w:color w:val="000000"/>
          <w:sz w:val="32"/>
          <w:szCs w:val="32"/>
        </w:rPr>
      </w:pPr>
      <w:r>
        <w:rPr>
          <w:rFonts w:hint="eastAsia" w:ascii="仿宋" w:hAnsi="仿宋" w:eastAsia="仿宋" w:cs="仿宋"/>
          <w:color w:val="000000"/>
          <w:sz w:val="32"/>
          <w:szCs w:val="32"/>
        </w:rPr>
        <w:t>澧县</w:t>
      </w:r>
      <w:r>
        <w:rPr>
          <w:rFonts w:hint="eastAsia" w:ascii="仿宋" w:hAnsi="仿宋" w:eastAsia="仿宋" w:cs="仿宋"/>
          <w:color w:val="000000"/>
          <w:sz w:val="32"/>
          <w:szCs w:val="32"/>
          <w:lang w:eastAsia="zh-CN"/>
        </w:rPr>
        <w:t>小渡口镇人民政府</w:t>
      </w:r>
      <w:r>
        <w:rPr>
          <w:rFonts w:hint="eastAsia" w:ascii="仿宋" w:hAnsi="仿宋" w:eastAsia="仿宋" w:cs="仿宋"/>
          <w:color w:val="000000"/>
          <w:sz w:val="32"/>
          <w:szCs w:val="32"/>
        </w:rPr>
        <w:t>为独立核算的行政单位，属一级预算单位，经费来源是全额拨款，执行政府会计制度，当年无变动情况。2020年，我</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行政编制人数为</w:t>
      </w:r>
      <w:r>
        <w:rPr>
          <w:rFonts w:hint="eastAsia" w:ascii="仿宋" w:hAnsi="仿宋" w:eastAsia="仿宋" w:cs="仿宋"/>
          <w:color w:val="000000"/>
          <w:sz w:val="32"/>
          <w:szCs w:val="32"/>
          <w:lang w:val="en-US" w:eastAsia="zh-CN"/>
        </w:rPr>
        <w:t>45</w:t>
      </w:r>
      <w:r>
        <w:rPr>
          <w:rFonts w:hint="eastAsia" w:ascii="仿宋" w:hAnsi="仿宋" w:eastAsia="仿宋" w:cs="仿宋"/>
          <w:color w:val="000000"/>
          <w:sz w:val="32"/>
          <w:szCs w:val="32"/>
        </w:rPr>
        <w:t>个，与上年相同；实有人数</w:t>
      </w:r>
      <w:r>
        <w:rPr>
          <w:rFonts w:hint="eastAsia" w:ascii="仿宋" w:hAnsi="仿宋" w:eastAsia="仿宋" w:cs="仿宋"/>
          <w:color w:val="000000"/>
          <w:sz w:val="32"/>
          <w:szCs w:val="32"/>
          <w:lang w:val="en-US" w:eastAsia="zh-CN"/>
        </w:rPr>
        <w:t>45</w:t>
      </w:r>
      <w:r>
        <w:rPr>
          <w:rFonts w:hint="eastAsia" w:ascii="仿宋" w:hAnsi="仿宋" w:eastAsia="仿宋" w:cs="仿宋"/>
          <w:color w:val="000000"/>
          <w:sz w:val="32"/>
          <w:szCs w:val="32"/>
        </w:rPr>
        <w:t>个，比上年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个，增加原因是</w:t>
      </w:r>
      <w:r>
        <w:rPr>
          <w:rFonts w:hint="eastAsia" w:ascii="仿宋" w:hAnsi="仿宋" w:eastAsia="仿宋" w:cs="仿宋"/>
          <w:color w:val="000000"/>
          <w:sz w:val="32"/>
          <w:szCs w:val="32"/>
          <w:lang w:eastAsia="zh-CN"/>
        </w:rPr>
        <w:t>机关工作</w:t>
      </w:r>
      <w:r>
        <w:rPr>
          <w:rFonts w:hint="eastAsia" w:ascii="仿宋" w:hAnsi="仿宋" w:eastAsia="仿宋" w:cs="仿宋"/>
          <w:color w:val="000000"/>
          <w:sz w:val="32"/>
          <w:szCs w:val="32"/>
        </w:rPr>
        <w:t>人员调入。事业编制人数</w:t>
      </w:r>
      <w:r>
        <w:rPr>
          <w:rFonts w:hint="eastAsia" w:ascii="仿宋" w:hAnsi="仿宋" w:eastAsia="仿宋" w:cs="仿宋"/>
          <w:color w:val="000000"/>
          <w:sz w:val="32"/>
          <w:szCs w:val="32"/>
          <w:lang w:val="en-US" w:eastAsia="zh-CN"/>
        </w:rPr>
        <w:t>35</w:t>
      </w:r>
      <w:r>
        <w:rPr>
          <w:rFonts w:hint="eastAsia" w:ascii="仿宋" w:hAnsi="仿宋" w:eastAsia="仿宋" w:cs="仿宋"/>
          <w:color w:val="000000"/>
          <w:sz w:val="32"/>
          <w:szCs w:val="32"/>
        </w:rPr>
        <w:t>个，与上年相同；实有人数</w:t>
      </w:r>
      <w:r>
        <w:rPr>
          <w:rFonts w:hint="eastAsia" w:ascii="仿宋" w:hAnsi="仿宋" w:eastAsia="仿宋" w:cs="仿宋"/>
          <w:color w:val="000000"/>
          <w:sz w:val="32"/>
          <w:szCs w:val="32"/>
          <w:lang w:val="en-US" w:eastAsia="zh-CN"/>
        </w:rPr>
        <w:t>34</w:t>
      </w:r>
      <w:r>
        <w:rPr>
          <w:rFonts w:hint="eastAsia" w:ascii="仿宋" w:hAnsi="仿宋" w:eastAsia="仿宋" w:cs="仿宋"/>
          <w:color w:val="000000"/>
          <w:sz w:val="32"/>
          <w:szCs w:val="32"/>
        </w:rPr>
        <w:t>个，比上年增加</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个,增加原因是事业单位人员调入。</w:t>
      </w:r>
    </w:p>
    <w:p>
      <w:pPr>
        <w:spacing w:line="600" w:lineRule="exact"/>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widowControl/>
        <w:spacing w:line="315" w:lineRule="atLeast"/>
        <w:ind w:firstLine="480"/>
        <w:rPr>
          <w:rFonts w:ascii="仿宋" w:hAnsi="仿宋" w:eastAsia="仿宋" w:cs="仿宋"/>
          <w:color w:val="000000"/>
          <w:sz w:val="32"/>
          <w:szCs w:val="32"/>
        </w:rPr>
      </w:pPr>
      <w:r>
        <w:rPr>
          <w:rFonts w:hint="eastAsia" w:ascii="仿宋" w:hAnsi="仿宋" w:eastAsia="仿宋" w:cs="仿宋"/>
          <w:color w:val="000000"/>
          <w:sz w:val="32"/>
          <w:szCs w:val="32"/>
        </w:rPr>
        <w:t>（1）加强党的建设。落实基层党建工作责任制，统筹社区（村）区域化党建，加强非公有制经济组织和社会组织党建工作，实现党的组织和工作全覆盖。加强意识形态阵地及队伍建设。不断提高党的建设质量，落实管党治党责任，推动全面</w:t>
      </w:r>
      <w:r>
        <w:rPr>
          <w:rFonts w:hint="eastAsia" w:ascii="仿宋" w:hAnsi="仿宋" w:eastAsia="仿宋" w:cs="仿宋"/>
          <w:color w:val="000000"/>
          <w:sz w:val="32"/>
          <w:szCs w:val="32"/>
          <w:lang w:val="en-US" w:eastAsia="zh-CN"/>
        </w:rPr>
        <w:t>从严</w:t>
      </w:r>
      <w:bookmarkStart w:id="0" w:name="_GoBack"/>
      <w:bookmarkEnd w:id="0"/>
      <w:r>
        <w:rPr>
          <w:rFonts w:hint="eastAsia" w:ascii="仿宋" w:hAnsi="仿宋" w:eastAsia="仿宋" w:cs="仿宋"/>
          <w:color w:val="000000"/>
          <w:sz w:val="32"/>
          <w:szCs w:val="32"/>
        </w:rPr>
        <w:t>治党向基层延伸。</w:t>
      </w:r>
    </w:p>
    <w:p>
      <w:pPr>
        <w:widowControl/>
        <w:spacing w:line="315" w:lineRule="atLeast"/>
        <w:ind w:firstLine="480"/>
        <w:rPr>
          <w:rFonts w:ascii="仿宋" w:hAnsi="仿宋" w:eastAsia="仿宋" w:cs="仿宋"/>
          <w:color w:val="000000"/>
          <w:sz w:val="32"/>
          <w:szCs w:val="32"/>
        </w:rPr>
      </w:pPr>
      <w:r>
        <w:rPr>
          <w:rFonts w:hint="eastAsia" w:ascii="仿宋" w:hAnsi="仿宋" w:eastAsia="仿宋" w:cs="仿宋"/>
          <w:color w:val="000000"/>
          <w:sz w:val="32"/>
          <w:szCs w:val="32"/>
        </w:rPr>
        <w:t>（2）统筹区域发展。参与拟订县级关于辖区发展的重大决策和建设规划并统筹落实，负责促进辖区经济建设，承担优化发展环境、采集企业信息、服务辖区企业、促进项目发展等工作。</w:t>
      </w:r>
    </w:p>
    <w:p>
      <w:pPr>
        <w:widowControl/>
        <w:spacing w:line="315" w:lineRule="atLeast"/>
        <w:ind w:firstLine="480"/>
        <w:rPr>
          <w:rFonts w:ascii="仿宋" w:hAnsi="仿宋" w:eastAsia="仿宋" w:cs="仿宋"/>
          <w:color w:val="000000"/>
          <w:sz w:val="32"/>
          <w:szCs w:val="32"/>
        </w:rPr>
      </w:pPr>
      <w:r>
        <w:rPr>
          <w:rFonts w:hint="eastAsia" w:ascii="仿宋" w:hAnsi="仿宋" w:eastAsia="仿宋" w:cs="仿宋"/>
          <w:color w:val="000000"/>
          <w:sz w:val="32"/>
          <w:szCs w:val="32"/>
        </w:rPr>
        <w:t>（3）组织公共服务。组织实施与社区（村）民生活密切相关的各项公共服务事项，落实人力资源社会保障、民政、教育、科技、文化、体育、卫生健康、退役军人事务、社区（村）民小区物业管理等领域相关法规政策。动员辖区内各类单位、社会组织、社区（村）民等社会力量参与社会治理，为全镇发展服务。</w:t>
      </w:r>
    </w:p>
    <w:p>
      <w:pPr>
        <w:widowControl/>
        <w:spacing w:line="315" w:lineRule="atLeast"/>
        <w:ind w:firstLine="480"/>
        <w:rPr>
          <w:rFonts w:ascii="仿宋" w:hAnsi="仿宋" w:eastAsia="仿宋" w:cs="仿宋"/>
          <w:color w:val="000000"/>
          <w:sz w:val="32"/>
          <w:szCs w:val="32"/>
        </w:rPr>
      </w:pPr>
      <w:r>
        <w:rPr>
          <w:rFonts w:hint="eastAsia" w:ascii="仿宋" w:hAnsi="仿宋" w:eastAsia="仿宋" w:cs="仿宋"/>
          <w:color w:val="000000"/>
          <w:sz w:val="32"/>
          <w:szCs w:val="32"/>
        </w:rPr>
        <w:t>（4）实施公共管理。负责辖区内生态环境保护、城镇管理、控违拆违、征地拆迁等综合性管理工作。</w:t>
      </w:r>
    </w:p>
    <w:p>
      <w:pPr>
        <w:widowControl/>
        <w:spacing w:line="315" w:lineRule="atLeast"/>
        <w:ind w:firstLine="480"/>
        <w:rPr>
          <w:rFonts w:ascii="仿宋" w:hAnsi="仿宋" w:eastAsia="仿宋" w:cs="仿宋"/>
          <w:color w:val="000000"/>
          <w:sz w:val="32"/>
          <w:szCs w:val="32"/>
        </w:rPr>
      </w:pPr>
      <w:r>
        <w:rPr>
          <w:rFonts w:hint="eastAsia" w:ascii="仿宋" w:hAnsi="仿宋" w:eastAsia="仿宋" w:cs="仿宋"/>
          <w:color w:val="000000"/>
          <w:sz w:val="32"/>
          <w:szCs w:val="32"/>
        </w:rPr>
        <w:t>（5）维护公共安全。承担辖区内社会治安综合治理、平安建设、应急管理等有关工作，接待群众来信来访，反映社情民意，化解矛盾纠纷等。</w:t>
      </w:r>
    </w:p>
    <w:p>
      <w:pPr>
        <w:widowControl/>
        <w:spacing w:line="315" w:lineRule="atLeast"/>
        <w:ind w:firstLine="480"/>
        <w:rPr>
          <w:rFonts w:ascii="仿宋" w:hAnsi="仿宋" w:eastAsia="仿宋" w:cs="仿宋"/>
          <w:color w:val="000000"/>
          <w:sz w:val="32"/>
          <w:szCs w:val="32"/>
        </w:rPr>
      </w:pPr>
      <w:r>
        <w:rPr>
          <w:rFonts w:hint="eastAsia" w:ascii="仿宋" w:hAnsi="仿宋" w:eastAsia="仿宋" w:cs="仿宋"/>
          <w:color w:val="000000"/>
          <w:sz w:val="32"/>
          <w:szCs w:val="32"/>
        </w:rPr>
        <w:t>（6）监督执法管理。对辖区内各类行政执法工作进行统筹协调，组织开展群众监督和社会监督。</w:t>
      </w:r>
    </w:p>
    <w:p>
      <w:pPr>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（7）保障居民自治。指导社区（村）委员会建设，健全社区（村）民自治平台，组织社区（村）民参与社区（村）建设、管理。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83"/>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83"/>
        <w:rPr>
          <w:rFonts w:ascii="Times New Roman" w:hAnsi="Times New Roman" w:eastAsia="仿宋_GB2312"/>
          <w:color w:val="222222"/>
          <w:sz w:val="32"/>
          <w:szCs w:val="32"/>
        </w:rPr>
      </w:pPr>
      <w:r>
        <w:rPr>
          <w:rFonts w:hint="eastAsia" w:ascii="仿宋" w:hAnsi="仿宋" w:eastAsia="仿宋" w:cs="仿宋"/>
          <w:color w:val="000000"/>
          <w:sz w:val="32"/>
          <w:szCs w:val="32"/>
        </w:rPr>
        <w:t>2020年度财政拨款支出2741.94万元，主要用于以下方面：一般公共服务（类）支出768.27万元，占28.02%；文化旅游体育与传媒（类）支出100.15万元，占3.65%;社会保障和就业（类）支出126.15万元，占4.60%；卫生健康（类）支出116.17万元，占4.24%；城乡社区（类）支出29.00万元，占1.06%；农林水（类）支出1509.79万元，占55.06%；金融（类）支出2万元，占0.07%；住房保障（类）支出46.91万元，占1.71%；粮油物资储备（类）支出10.00万元，占0.37%；灾害防治及应急管理（类）支出33.50万元，占1.22%。</w:t>
      </w:r>
      <w:r>
        <w:rPr>
          <w:rFonts w:ascii="Times New Roman" w:hAnsi="Times New Roman" w:eastAsia="仿宋_GB2312"/>
          <w:color w:val="222222"/>
          <w:sz w:val="32"/>
          <w:szCs w:val="32"/>
        </w:rPr>
        <w:t>（二）部门预算收支决算情况</w:t>
      </w:r>
    </w:p>
    <w:p>
      <w:pPr>
        <w:pStyle w:val="83"/>
        <w:ind w:firstLine="640" w:firstLine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本年收入合计2899.91万元，其中：财政拨款收入2899.91万元，占100%；上级补助收入0万元，占0%；事业收入0万元，占0%；经营收入0万元，占0%；附属单位上缴收入0万元，占0%；其他收入0万元，占0%。本年支出合计2874.26万元，其中：基本支出730.64万元，占25.42%；项目支出2143.62万元，占74.58%；上缴上级支出0万元，占0%；经营支出0万元，占0%；对附属单位补助支出0万元，占0%。</w:t>
      </w:r>
    </w:p>
    <w:p>
      <w:pPr>
        <w:pStyle w:val="83"/>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2020年度“三公”经费财政拨款支出决算中，公务接待费支出决算14万元，占72.54%,因公出国（境）费支出决算0万元，占0%,公务用车购置费及运行维护费支出决算5.3万元，占27.46%。其中：</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1、因公出国（境）费支出决算为0万元，全年安排因公出国（境）团组0个，累计0人次。</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2、公务接待费支出决算为14万元，全年共接待来访团组186个、来宾1700人次，主要是脱贫攻坚、人居环境整治等工作的督查督导及其他发生的接待支出。。</w:t>
      </w:r>
    </w:p>
    <w:p>
      <w:pPr>
        <w:rPr>
          <w:rFonts w:ascii="仿宋" w:hAnsi="仿宋" w:eastAsia="仿宋" w:cs="仿宋"/>
          <w:color w:val="000000"/>
          <w:sz w:val="32"/>
          <w:szCs w:val="32"/>
        </w:rPr>
      </w:pPr>
      <w:r>
        <w:rPr>
          <w:rFonts w:hint="eastAsia" w:ascii="仿宋" w:hAnsi="仿宋" w:eastAsia="仿宋" w:cs="仿宋"/>
          <w:color w:val="000000"/>
          <w:sz w:val="32"/>
          <w:szCs w:val="32"/>
        </w:rPr>
        <w:t>3、公务用车购置费及运行维护费支出决算为5.3万元，其中：公务用车购置费0万元。更新公务用车0辆。公务用车运行维护费5.3万元，主要是维修维护、购买保险及油料支出，截止2020年12月31日，我单位开支财政拨款的公务用车保有量为1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firstLine="420" w:firstLineChars="200"/>
        <w:rPr>
          <w:rFonts w:ascii="仿宋" w:hAnsi="仿宋" w:eastAsia="仿宋" w:cs="仿宋"/>
          <w:color w:val="000000"/>
          <w:sz w:val="32"/>
          <w:szCs w:val="32"/>
        </w:rPr>
      </w:pPr>
      <w:r>
        <w:rPr>
          <w:rFonts w:hint="eastAsia"/>
          <w:color w:val="FF0000"/>
        </w:rPr>
        <w:t xml:space="preserve"> </w:t>
      </w:r>
      <w:r>
        <w:rPr>
          <w:rFonts w:hint="eastAsia" w:ascii="仿宋" w:hAnsi="仿宋" w:eastAsia="仿宋" w:cs="仿宋"/>
          <w:color w:val="000000"/>
          <w:sz w:val="32"/>
          <w:szCs w:val="32"/>
        </w:rPr>
        <w:t>(一)落实主体责任，形成工作合力。按照“谁主管、谁使用、谁负责”的原则，强化预算部门绩效管理的主体责任，将绩效目标、绩效监控、部门自评等绩效工具，作为提高资金使用效益的重要抓手;财政部门通过检查、督促、重点评价等方式进行监督管理。为了提高财政重点绩效评价的质量，我们将继续邀请部分专业领域的人大代表和政协委员共同参与,合谋共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推动绩效管理提质扩面，将财政重点延伸到事前，推进全过程绩效管理。为了更紧密衔接预算，将财政绩效工作重点从事后延伸至预算编制前端。通过审核绩效目标来确定项目预算资金额度，并建立起不同年度间的可量化绩效目标数据对比，提高预算编审的科学性，结合项目库建设，进一步加大财政事前评审工作力度。围绕预算编制中的改革需求，以重要性为原则精选项目，组织专门力量进行集中评审，并将评审结果作为项目入库、预算安排的重要依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加强评价结果应用，提高部门绩效监控和自评工作质量。对监控中预算无绩效、低绩效、达不到主要预期目标的项目，预算部门要及时将资金调剂用于其他有条件项目，加快支出进度;对自评开展较好的预算部门，将在今后预算安排时予以优先支持，对开展较差的项目将按规定停止拨款、调减预算。对未按规定开展绩效监控和单位自评的，由镇财政在一定范围内予以通报，并作为街道办对各部门绩效考核的重要依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逐步公开，营造良好的社会氛围。绩效管理工作最终目标是打造一个透明高效的政府。逐步推动各预算单位将绩效目标、自评结果等在一定范围内公开。对一些社会关注度高、影响力大的民生项目和重点项目的绩效情况，将逐步依法向社会公开。通过在“阳光下”运行，提升绩效管理工作的质量和效果。</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根据绩效评价的要求，我单位领导高度重视，成立了自评工作领导小组，由分管财务负责人任组长，相关站所负责人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1.党建工作总揽全局。</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一是配齐配强社区（村）领导班子。</w:t>
      </w:r>
      <w:r>
        <w:rPr>
          <w:rFonts w:hint="eastAsia" w:ascii="仿宋" w:hAnsi="仿宋" w:eastAsia="仿宋"/>
          <w:color w:val="000000"/>
          <w:kern w:val="0"/>
          <w:sz w:val="32"/>
          <w:szCs w:val="32"/>
          <w:lang w:eastAsia="zh-CN"/>
        </w:rPr>
        <w:t>镇政府</w:t>
      </w:r>
      <w:r>
        <w:rPr>
          <w:rFonts w:hint="eastAsia" w:ascii="仿宋" w:hAnsi="仿宋" w:eastAsia="仿宋"/>
          <w:color w:val="000000"/>
          <w:kern w:val="0"/>
          <w:sz w:val="32"/>
          <w:szCs w:val="32"/>
        </w:rPr>
        <w:t>党工委下辖</w:t>
      </w:r>
      <w:r>
        <w:rPr>
          <w:rFonts w:hint="eastAsia" w:ascii="仿宋" w:hAnsi="仿宋" w:eastAsia="仿宋"/>
          <w:color w:val="000000"/>
          <w:kern w:val="0"/>
          <w:sz w:val="32"/>
          <w:szCs w:val="32"/>
          <w:lang w:val="en-US" w:eastAsia="zh-CN"/>
        </w:rPr>
        <w:t>20</w:t>
      </w:r>
      <w:r>
        <w:rPr>
          <w:rFonts w:hint="eastAsia" w:ascii="仿宋" w:hAnsi="仿宋" w:eastAsia="仿宋"/>
          <w:color w:val="000000"/>
          <w:kern w:val="0"/>
          <w:sz w:val="32"/>
          <w:szCs w:val="32"/>
        </w:rPr>
        <w:t>个总支部，</w:t>
      </w:r>
      <w:r>
        <w:rPr>
          <w:rFonts w:hint="eastAsia" w:ascii="仿宋" w:hAnsi="仿宋" w:eastAsia="仿宋"/>
          <w:color w:val="000000"/>
          <w:kern w:val="0"/>
          <w:sz w:val="32"/>
          <w:szCs w:val="32"/>
          <w:lang w:val="en-US" w:eastAsia="zh-CN"/>
        </w:rPr>
        <w:t>58</w:t>
      </w:r>
      <w:r>
        <w:rPr>
          <w:rFonts w:hint="eastAsia" w:ascii="仿宋" w:hAnsi="仿宋" w:eastAsia="仿宋"/>
          <w:color w:val="000000"/>
          <w:kern w:val="0"/>
          <w:sz w:val="32"/>
          <w:szCs w:val="32"/>
        </w:rPr>
        <w:t>个支部，全部按照县委组织部规定的年龄、性别、文化等层次结构，进行调整配备，目前全部符合要求，为明年换届打下了坚实的基础。</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二是大力发展年轻党员。选配能人进入村社干部队伍，党员结构更加优化，干部队伍活动增强，今年新发展党员</w:t>
      </w:r>
      <w:r>
        <w:rPr>
          <w:rFonts w:hint="eastAsia" w:ascii="仿宋" w:hAnsi="仿宋" w:eastAsia="仿宋"/>
          <w:color w:val="000000"/>
          <w:kern w:val="0"/>
          <w:sz w:val="32"/>
          <w:szCs w:val="32"/>
          <w:lang w:val="en-US" w:eastAsia="zh-CN"/>
        </w:rPr>
        <w:t>18</w:t>
      </w:r>
      <w:r>
        <w:rPr>
          <w:rFonts w:hint="eastAsia" w:ascii="仿宋" w:hAnsi="仿宋" w:eastAsia="仿宋"/>
          <w:color w:val="000000"/>
          <w:kern w:val="0"/>
          <w:sz w:val="32"/>
          <w:szCs w:val="32"/>
        </w:rPr>
        <w:t>名，其中大学以上文化1</w:t>
      </w: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rPr>
        <w:t>名，35岁以下年轻党员</w:t>
      </w:r>
      <w:r>
        <w:rPr>
          <w:rFonts w:hint="eastAsia" w:ascii="仿宋" w:hAnsi="仿宋" w:eastAsia="仿宋"/>
          <w:color w:val="000000"/>
          <w:kern w:val="0"/>
          <w:sz w:val="32"/>
          <w:szCs w:val="32"/>
          <w:lang w:val="en-US" w:eastAsia="zh-CN"/>
        </w:rPr>
        <w:t>15</w:t>
      </w:r>
      <w:r>
        <w:rPr>
          <w:rFonts w:hint="eastAsia" w:ascii="仿宋" w:hAnsi="仿宋" w:eastAsia="仿宋"/>
          <w:color w:val="000000"/>
          <w:kern w:val="0"/>
          <w:sz w:val="32"/>
          <w:szCs w:val="32"/>
        </w:rPr>
        <w:t>名，选配</w:t>
      </w: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名有一技之长回乡创业的能人进入村社领导班子。</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lang w:val="en-US" w:eastAsia="zh-CN"/>
        </w:rPr>
        <w:t>三</w:t>
      </w:r>
      <w:r>
        <w:rPr>
          <w:rFonts w:hint="eastAsia" w:ascii="仿宋" w:hAnsi="仿宋" w:eastAsia="仿宋"/>
          <w:color w:val="000000"/>
          <w:kern w:val="0"/>
          <w:sz w:val="32"/>
          <w:szCs w:val="32"/>
        </w:rPr>
        <w:t>是干部作风不断好转。充分利用纪委、监委的监督利剑，开展“人情风、‘五个一’及‘纠四风’、城市社区腐败和作风问题、营商环境、扶贫领域腐败和作风问题”五个专项整治，发出督查通报</w:t>
      </w:r>
      <w:r>
        <w:rPr>
          <w:rFonts w:hint="eastAsia" w:ascii="仿宋" w:hAnsi="仿宋" w:eastAsia="仿宋"/>
          <w:color w:val="000000"/>
          <w:kern w:val="0"/>
          <w:sz w:val="32"/>
          <w:szCs w:val="32"/>
          <w:lang w:val="en-US" w:eastAsia="zh-CN"/>
        </w:rPr>
        <w:t>10</w:t>
      </w:r>
      <w:r>
        <w:rPr>
          <w:rFonts w:hint="eastAsia" w:ascii="仿宋" w:hAnsi="仿宋" w:eastAsia="仿宋"/>
          <w:color w:val="000000"/>
          <w:kern w:val="0"/>
          <w:sz w:val="32"/>
          <w:szCs w:val="32"/>
        </w:rPr>
        <w:t>期，立案审查</w:t>
      </w:r>
      <w:r>
        <w:rPr>
          <w:rFonts w:hint="eastAsia" w:ascii="仿宋" w:hAnsi="仿宋" w:eastAsia="仿宋"/>
          <w:color w:val="000000"/>
          <w:kern w:val="0"/>
          <w:sz w:val="32"/>
          <w:szCs w:val="32"/>
          <w:lang w:val="en-US" w:eastAsia="zh-CN"/>
        </w:rPr>
        <w:t>7</w:t>
      </w:r>
      <w:r>
        <w:rPr>
          <w:rFonts w:hint="eastAsia" w:ascii="仿宋" w:hAnsi="仿宋" w:eastAsia="仿宋"/>
          <w:color w:val="000000"/>
          <w:kern w:val="0"/>
          <w:sz w:val="32"/>
          <w:szCs w:val="32"/>
        </w:rPr>
        <w:t>人，采取咬耳扯袖、红脸出汗方式</w:t>
      </w:r>
      <w:r>
        <w:rPr>
          <w:rFonts w:hint="eastAsia" w:ascii="仿宋" w:hAnsi="仿宋" w:eastAsia="仿宋"/>
          <w:color w:val="000000"/>
          <w:kern w:val="0"/>
          <w:sz w:val="32"/>
          <w:szCs w:val="32"/>
          <w:lang w:eastAsia="zh-CN"/>
        </w:rPr>
        <w:t>组织处理</w:t>
      </w:r>
      <w:r>
        <w:rPr>
          <w:rFonts w:hint="eastAsia" w:ascii="仿宋" w:hAnsi="仿宋" w:eastAsia="仿宋"/>
          <w:color w:val="000000"/>
          <w:kern w:val="0"/>
          <w:sz w:val="32"/>
          <w:szCs w:val="32"/>
          <w:lang w:val="en-US" w:eastAsia="zh-CN"/>
        </w:rPr>
        <w:t>30余</w:t>
      </w:r>
      <w:r>
        <w:rPr>
          <w:rFonts w:hint="eastAsia" w:ascii="仿宋" w:hAnsi="仿宋" w:eastAsia="仿宋"/>
          <w:color w:val="000000"/>
          <w:kern w:val="0"/>
          <w:sz w:val="32"/>
          <w:szCs w:val="32"/>
        </w:rPr>
        <w:t>人次，真正做到了把干部权利关进了制度的笼子，促进了干部作风的不断好转。</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2.疫情防控成为常态。</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一是抓风险人员摸排。建立地毯式摸排责任制，全覆盖村组、小区、楼栋，定期推送疫情信息到居民微信群，张贴宣传告示</w:t>
      </w:r>
      <w:r>
        <w:rPr>
          <w:rFonts w:hint="eastAsia" w:ascii="仿宋" w:hAnsi="仿宋" w:eastAsia="仿宋"/>
          <w:color w:val="000000"/>
          <w:kern w:val="0"/>
          <w:sz w:val="32"/>
          <w:szCs w:val="32"/>
          <w:lang w:val="en-US" w:eastAsia="zh-CN"/>
        </w:rPr>
        <w:t>600余</w:t>
      </w:r>
      <w:r>
        <w:rPr>
          <w:rFonts w:hint="eastAsia" w:ascii="仿宋" w:hAnsi="仿宋" w:eastAsia="仿宋"/>
          <w:color w:val="000000"/>
          <w:kern w:val="0"/>
          <w:sz w:val="32"/>
          <w:szCs w:val="32"/>
        </w:rPr>
        <w:t>张，发动群众联防联控。</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二是抓重点人员管控。对摸排出来的境外及高中风险地区人员落实四包一包保，集中隔离</w:t>
      </w:r>
      <w:r>
        <w:rPr>
          <w:rFonts w:hint="eastAsia" w:ascii="仿宋" w:hAnsi="仿宋" w:eastAsia="仿宋"/>
          <w:color w:val="000000"/>
          <w:kern w:val="0"/>
          <w:sz w:val="32"/>
          <w:szCs w:val="32"/>
          <w:lang w:val="en-US" w:eastAsia="zh-CN"/>
        </w:rPr>
        <w:t>122</w:t>
      </w:r>
      <w:r>
        <w:rPr>
          <w:rFonts w:hint="eastAsia" w:ascii="仿宋" w:hAnsi="仿宋" w:eastAsia="仿宋"/>
          <w:color w:val="000000"/>
          <w:kern w:val="0"/>
          <w:sz w:val="32"/>
          <w:szCs w:val="32"/>
        </w:rPr>
        <w:t>人，居家隔离</w:t>
      </w:r>
      <w:r>
        <w:rPr>
          <w:rFonts w:hint="eastAsia" w:ascii="仿宋" w:hAnsi="仿宋" w:eastAsia="仿宋"/>
          <w:color w:val="000000"/>
          <w:kern w:val="0"/>
          <w:sz w:val="32"/>
          <w:szCs w:val="32"/>
          <w:lang w:val="en-US" w:eastAsia="zh-CN"/>
        </w:rPr>
        <w:t>1007</w:t>
      </w:r>
      <w:r>
        <w:rPr>
          <w:rFonts w:hint="eastAsia" w:ascii="仿宋" w:hAnsi="仿宋" w:eastAsia="仿宋"/>
          <w:color w:val="000000"/>
          <w:kern w:val="0"/>
          <w:sz w:val="32"/>
          <w:szCs w:val="32"/>
        </w:rPr>
        <w:t>人，实现无缝对接、闭环管理。</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三是抓重点场所管理。落实四方责任，推广三查一询，加强重点场所落实疫情防控常态化要求的督导，对冷链行业登记建立管控台帐，落实货物溯源、消毒检测等措施。</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是坚持疫情防控、复工复产两不误。疫情防控取得阶段性成效后，积极组织企业复工复产，市管部门、卫计部门联村社负责人常年到企业、商户村社督促疫情指导常态化防控，为社区140多名干部进行了核酸检测抽样。</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3.项目建设全面发力。</w:t>
      </w:r>
    </w:p>
    <w:p>
      <w:pPr>
        <w:spacing w:line="54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一</w:t>
      </w:r>
      <w:r>
        <w:rPr>
          <w:rFonts w:hint="eastAsia" w:ascii="仿宋" w:hAnsi="仿宋" w:eastAsia="仿宋"/>
          <w:color w:val="000000"/>
          <w:kern w:val="0"/>
          <w:sz w:val="32"/>
          <w:szCs w:val="32"/>
          <w:lang w:eastAsia="zh-CN"/>
        </w:rPr>
        <w:t>是</w:t>
      </w:r>
      <w:r>
        <w:rPr>
          <w:rFonts w:hint="eastAsia" w:ascii="仿宋" w:hAnsi="仿宋" w:eastAsia="仿宋"/>
          <w:color w:val="000000"/>
          <w:kern w:val="0"/>
          <w:sz w:val="32"/>
          <w:szCs w:val="32"/>
        </w:rPr>
        <w:t>基础设施更加完善。全省最大水利枢纽工程——小渡口泵站进展顺利，到2020年12月底，工程完成80%，将于2021年5月份正式投入使用；投资900多万的董王灌区工程有力推进，预计2021年3月将全部完工；投资2400多万的G353国道大修已于10月份竣工。</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是城镇配套更加完善。朱家湖西湖已于10月初正式动工建设，将完成三湖的全部联通；集镇污水处理厂和污水管网配套建设全部完成，作为全县第一个农村集镇污水处理厂运行的集镇，日处理量达2000吨，已通过省住建厅专家的验收；G353国道旁沿线全部完成了改、扩、翻，完善了沿线380套住户的功能性改造。</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是电网和农田基础设施投入加大。全年共投入资金500万元，启动农村电网改造10处；完成土地增减挂钩项目320亩，总投资达1000万元，全部顺利完成验收；投资150万元，完成沟渠清淤47.7公里，防汛抗旱能力和农田灌溉功能进一步提升。</w:t>
      </w:r>
    </w:p>
    <w:p>
      <w:pPr>
        <w:spacing w:line="54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产业发展全面提速。</w:t>
      </w:r>
    </w:p>
    <w:p>
      <w:pPr>
        <w:spacing w:line="54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一是</w:t>
      </w:r>
      <w:r>
        <w:rPr>
          <w:rFonts w:hint="eastAsia" w:ascii="仿宋" w:hAnsi="仿宋" w:eastAsia="仿宋"/>
          <w:color w:val="000000"/>
          <w:kern w:val="0"/>
          <w:sz w:val="32"/>
          <w:szCs w:val="32"/>
        </w:rPr>
        <w:t>传统农业地位更加巩固。优质稻、油菜、棉花等传统农业优势更加明显。全镇粮食种植面积达6.1万亩，总产达3900万公斤，优质稻推广1.7万亩，每亩为农户增收近100元。在仁和村建立三品一标基地，覆盖面积达4.19万亩，添围村、出草坡村、毕黄村成为省级棉花机械自模示范点；甘家湾村、毕陈村、土地洲村、雁鹅湖村、仁和村等5个村创建4200亩省级稻油轮作示范基地；毕陈村成为县级冬季粮食作物生产基地；秋冬农业生产排名全县第一。</w:t>
      </w:r>
    </w:p>
    <w:p>
      <w:pPr>
        <w:spacing w:line="54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二是</w:t>
      </w:r>
      <w:r>
        <w:rPr>
          <w:rFonts w:hint="eastAsia" w:ascii="仿宋" w:hAnsi="仿宋" w:eastAsia="仿宋"/>
          <w:color w:val="000000"/>
          <w:kern w:val="0"/>
          <w:sz w:val="32"/>
          <w:szCs w:val="32"/>
        </w:rPr>
        <w:t>特色产业优势更加突出。葡萄、草莓、蔬菜等特色产业蓬勃发展。全镇今年栽种草莓500亩、阳光玫瑰葡萄1万亩、大棚蔬菜1万亩。仁和村创建市级200亩油苔示范点；五公村、东风村、甘家湾村成为县级蔬菜生产基地；仁和村、东露蔬菜专业合作社成为市级农业农村局研究所实验基地；仁和村百家湾专业合作社成为县级食用菌实验基地；竹天湖村、东风村、许家铺村的阳光玫瑰葡萄获得全国葡萄节会金奖，获得各界好评。</w:t>
      </w:r>
    </w:p>
    <w:p>
      <w:pPr>
        <w:spacing w:line="54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三是</w:t>
      </w:r>
      <w:r>
        <w:rPr>
          <w:rFonts w:hint="eastAsia" w:ascii="仿宋" w:hAnsi="仿宋" w:eastAsia="仿宋"/>
          <w:color w:val="000000"/>
          <w:kern w:val="0"/>
          <w:sz w:val="32"/>
          <w:szCs w:val="32"/>
        </w:rPr>
        <w:t xml:space="preserve">主打产业效益更加明显。鲈鱼养殖、鱼鳖混养、稻虾综合种养等新型养殖模式逐步推广，渔业产业转型升级更加迅速。竹天湖村洪湖鲈鱼养殖合作社已注册鲈鱼商标，建立品牌，下步将争取县委县政府的支持，培育国家级水产养殖的合作社；澧县柳耳坝鱼类苗种繁育养殖厂（省级繁育基地）创建国家级繁育基地正全力争取中；镇政府与湖南文理学院生命与环境科学院签订战略合作协议，建立高标准的水产养殖、育苗基地，提高水产养殖水平，打造水产健康养殖区。 </w:t>
      </w:r>
    </w:p>
    <w:p>
      <w:pPr>
        <w:snapToGrid w:val="0"/>
        <w:spacing w:line="52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5.全产业链发展态势显现。</w:t>
      </w:r>
    </w:p>
    <w:p>
      <w:pPr>
        <w:snapToGrid w:val="0"/>
        <w:spacing w:line="52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一是</w:t>
      </w:r>
      <w:r>
        <w:rPr>
          <w:rFonts w:hint="eastAsia" w:ascii="仿宋" w:hAnsi="仿宋" w:eastAsia="仿宋"/>
          <w:color w:val="000000"/>
          <w:kern w:val="0"/>
          <w:sz w:val="32"/>
          <w:szCs w:val="32"/>
        </w:rPr>
        <w:t>工业制造业实现突破。砾石加工企业已确定落户黄丝村，正在进行“三通一平”，与之配套的水运、加工、餐饮、住宿，包括农副产品的销售将形成较为完善的产业链。毕胜酒业生产的“毕庄”已成功注册澧洲之酱，正在成为澧县的标志产品。</w:t>
      </w:r>
    </w:p>
    <w:p>
      <w:pPr>
        <w:snapToGrid w:val="0"/>
        <w:spacing w:line="52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二是</w:t>
      </w:r>
      <w:r>
        <w:rPr>
          <w:rFonts w:hint="eastAsia" w:ascii="仿宋" w:hAnsi="仿宋" w:eastAsia="仿宋"/>
          <w:color w:val="000000"/>
          <w:kern w:val="0"/>
          <w:sz w:val="32"/>
          <w:szCs w:val="32"/>
        </w:rPr>
        <w:t>全产业链条逐步形成。新型经营主体的出现，实现了农业产业的规模化和全产业链的转型。大户、农场主、农业合作社、农业公司等新型经营主体在小渡口大量出现，规模已达76家，实现了种植、养殖的专业化，同时从种苗的选配、土地的平整、肥料的配送、病虫的消灭、农产品的包装、加工、运输、销售（网络营销）等环节，真正实现了一体化发展。</w:t>
      </w:r>
    </w:p>
    <w:p>
      <w:pPr>
        <w:snapToGrid w:val="0"/>
        <w:spacing w:line="52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三是</w:t>
      </w:r>
      <w:r>
        <w:rPr>
          <w:rFonts w:hint="eastAsia" w:ascii="仿宋" w:hAnsi="仿宋" w:eastAsia="仿宋"/>
          <w:color w:val="000000"/>
          <w:kern w:val="0"/>
          <w:sz w:val="32"/>
          <w:szCs w:val="32"/>
        </w:rPr>
        <w:t>产业的配套和服务更加完善。一是冷链物流全面铺开，新建冷链物流型仓储设施18个；二是标准化的种苗、农药、肥料、配套技术和措施更加专业，以科普小镇建设为契机，建成了仁和村水稻种植科普示范基地和许家铺村阳光玫瑰葡萄种植示范基地；三是政府组织的各类培训、宣传、现场指导、搭建的直播平台，让农产品的产、销更加顺畅，在今年的严峻情势下，我镇所有的农产品没有出现任何滞销情况。</w:t>
      </w: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47" w:firstLineChars="1046"/>
        <w:rPr>
          <w:rFonts w:ascii="仿宋" w:hAnsi="仿宋" w:eastAsia="仿宋"/>
          <w:color w:val="000000"/>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rPr>
          <w:rFonts w:ascii="仿宋" w:hAnsi="仿宋" w:eastAsia="仿宋" w:cs="宋体"/>
          <w:b/>
          <w:bCs/>
          <w:kern w:val="0"/>
          <w:sz w:val="32"/>
          <w:szCs w:val="32"/>
        </w:rPr>
      </w:pPr>
    </w:p>
    <w:p>
      <w:pPr>
        <w:spacing w:line="560" w:lineRule="exact"/>
        <w:ind w:firstLine="3360" w:firstLineChars="1046"/>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hAnsi="宋体"/>
                <w:kern w:val="0"/>
                <w:sz w:val="24"/>
                <w:szCs w:val="24"/>
              </w:rPr>
              <w:br w:type="textWrapping"/>
            </w: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10</w:t>
            </w:r>
          </w:p>
        </w:tc>
        <w:tc>
          <w:tcPr>
            <w:tcW w:w="2878"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kern w:val="0"/>
                <w:sz w:val="24"/>
                <w:szCs w:val="24"/>
                <w:lang w:eastAsia="zh-CN"/>
              </w:rPr>
            </w:pPr>
            <w:r>
              <w:rPr>
                <w:rFonts w:hint="eastAsia" w:ascii="宋体" w:hAnsi="宋体" w:cs="宋体"/>
                <w:kern w:val="0"/>
                <w:sz w:val="24"/>
                <w:szCs w:val="24"/>
                <w:lang w:val="en-US" w:eastAsia="zh-CN"/>
              </w:rPr>
              <w:t>7</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10</w:t>
            </w:r>
          </w:p>
        </w:tc>
        <w:tc>
          <w:tcPr>
            <w:tcW w:w="2878"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883" w:hRule="atLeast"/>
          <w:jc w:val="center"/>
        </w:trPr>
        <w:tc>
          <w:tcPr>
            <w:tcW w:w="678"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80" w:lineRule="exact"/>
              <w:jc w:val="left"/>
              <w:rPr>
                <w:rFonts w:hint="eastAsia" w:ascii="宋体" w:hAnsi="宋体" w:cs="宋体"/>
                <w:kern w:val="0"/>
                <w:sz w:val="24"/>
                <w:szCs w:val="24"/>
              </w:rPr>
            </w:pPr>
          </w:p>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80" w:lineRule="exact"/>
              <w:jc w:val="left"/>
              <w:rPr>
                <w:rFonts w:hint="eastAsia" w:ascii="宋体" w:hAnsi="宋体" w:cs="宋体"/>
                <w:kern w:val="0"/>
                <w:sz w:val="24"/>
                <w:szCs w:val="24"/>
              </w:rPr>
            </w:pPr>
          </w:p>
          <w:p>
            <w:pPr>
              <w:spacing w:line="280" w:lineRule="exact"/>
              <w:jc w:val="left"/>
              <w:rPr>
                <w:rFonts w:ascii="宋体" w:hAnsi="宋体"/>
                <w:kern w:val="0"/>
                <w:sz w:val="24"/>
                <w:szCs w:val="24"/>
              </w:rPr>
            </w:pPr>
            <w:r>
              <w:rPr>
                <w:rFonts w:hint="eastAsia"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noWrap w:val="0"/>
            <w:vAlign w:val="center"/>
          </w:tcPr>
          <w:p>
            <w:pPr>
              <w:widowControl/>
              <w:spacing w:line="280" w:lineRule="exact"/>
              <w:ind w:left="359" w:leftChars="171"/>
              <w:rPr>
                <w:rFonts w:hint="eastAsia" w:ascii="宋体" w:hAnsi="宋体" w:cs="宋体"/>
                <w:kern w:val="0"/>
                <w:sz w:val="24"/>
                <w:szCs w:val="24"/>
              </w:rPr>
            </w:pPr>
            <w:r>
              <w:rPr>
                <w:rFonts w:hint="eastAsia" w:ascii="宋体" w:hAnsi="宋体" w:cs="宋体"/>
                <w:kern w:val="0"/>
                <w:sz w:val="24"/>
                <w:szCs w:val="24"/>
              </w:rPr>
              <w:t xml:space="preserve">               </w:t>
            </w:r>
          </w:p>
          <w:p>
            <w:pPr>
              <w:widowControl/>
              <w:spacing w:line="280" w:lineRule="exac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r>
              <w:rPr>
                <w:rFonts w:ascii="宋体"/>
                <w:kern w:val="0"/>
                <w:sz w:val="24"/>
                <w:szCs w:val="24"/>
              </w:rPr>
              <w:br w:type="textWrapping"/>
            </w: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noWrap w:val="0"/>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noWrap w:val="0"/>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853" w:hRule="atLeast"/>
          <w:jc w:val="center"/>
        </w:trPr>
        <w:tc>
          <w:tcPr>
            <w:tcW w:w="67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noWrap w:val="0"/>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noWrap w:val="0"/>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2186" w:hRule="atLeast"/>
          <w:jc w:val="center"/>
        </w:trPr>
        <w:tc>
          <w:tcPr>
            <w:tcW w:w="67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trHeight w:val="1408" w:hRule="atLeast"/>
          <w:jc w:val="center"/>
        </w:trPr>
        <w:tc>
          <w:tcPr>
            <w:tcW w:w="678"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noWrap w:val="0"/>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eastAsia="宋体"/>
                <w:kern w:val="0"/>
                <w:sz w:val="24"/>
                <w:szCs w:val="24"/>
                <w:lang w:val="en-US" w:eastAsia="zh-CN"/>
              </w:rPr>
            </w:pPr>
            <w:r>
              <w:rPr>
                <w:rFonts w:hint="eastAsia" w:ascii="宋体" w:hAnsi="宋体" w:cs="宋体"/>
                <w:kern w:val="0"/>
                <w:sz w:val="24"/>
                <w:szCs w:val="24"/>
                <w:lang w:val="en-US" w:eastAsia="zh-CN"/>
              </w:rPr>
              <w:t>95</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ind w:firstLine="1793" w:firstLineChars="496"/>
        <w:rPr>
          <w:rFonts w:ascii="宋体" w:hAnsi="宋体" w:eastAsia="宋体" w:cs="宋体"/>
          <w:b/>
          <w:bCs/>
          <w:kern w:val="0"/>
          <w:sz w:val="36"/>
          <w:szCs w:val="36"/>
        </w:rPr>
      </w:pPr>
    </w:p>
    <w:p>
      <w:pPr>
        <w:spacing w:line="560" w:lineRule="exact"/>
        <w:ind w:firstLine="1793" w:firstLineChars="496"/>
        <w:rPr>
          <w:rFonts w:ascii="宋体" w:hAnsi="宋体" w:eastAsia="宋体" w:cs="宋体"/>
          <w:b/>
          <w:bCs/>
          <w:kern w:val="0"/>
          <w:sz w:val="36"/>
          <w:szCs w:val="36"/>
        </w:rPr>
      </w:pPr>
    </w:p>
    <w:p>
      <w:pPr>
        <w:spacing w:line="560" w:lineRule="exact"/>
        <w:ind w:firstLine="1793" w:firstLineChars="496"/>
        <w:rPr>
          <w:rFonts w:ascii="宋体" w:hAnsi="宋体" w:eastAsia="宋体" w:cs="宋体"/>
          <w:b/>
          <w:bCs/>
          <w:kern w:val="0"/>
          <w:sz w:val="36"/>
          <w:szCs w:val="36"/>
        </w:rPr>
      </w:pPr>
    </w:p>
    <w:p>
      <w:pPr>
        <w:spacing w:line="560" w:lineRule="exact"/>
        <w:ind w:firstLine="1793" w:firstLineChars="496"/>
        <w:rPr>
          <w:rFonts w:ascii="宋体" w:hAnsi="宋体" w:eastAsia="宋体" w:cs="宋体"/>
          <w:b/>
          <w:bCs/>
          <w:kern w:val="0"/>
          <w:sz w:val="36"/>
          <w:szCs w:val="36"/>
        </w:rPr>
      </w:pPr>
    </w:p>
    <w:p>
      <w:pPr>
        <w:spacing w:line="560" w:lineRule="exact"/>
        <w:ind w:firstLine="1793" w:firstLineChars="496"/>
        <w:rPr>
          <w:rFonts w:ascii="宋体" w:hAnsi="宋体" w:eastAsia="宋体" w:cs="宋体"/>
          <w:b/>
          <w:bCs/>
          <w:kern w:val="0"/>
          <w:sz w:val="36"/>
          <w:szCs w:val="36"/>
        </w:rPr>
      </w:pPr>
    </w:p>
    <w:p>
      <w:pPr>
        <w:spacing w:line="560" w:lineRule="exact"/>
        <w:ind w:firstLine="1793" w:firstLineChars="496"/>
        <w:rPr>
          <w:rFonts w:ascii="宋体" w:hAnsi="宋体" w:eastAsia="宋体" w:cs="宋体"/>
          <w:b/>
          <w:bCs/>
          <w:kern w:val="0"/>
          <w:sz w:val="36"/>
          <w:szCs w:val="36"/>
        </w:rPr>
      </w:pPr>
    </w:p>
    <w:p>
      <w:pPr>
        <w:spacing w:line="560" w:lineRule="exact"/>
        <w:ind w:firstLine="1793" w:firstLineChars="496"/>
        <w:rPr>
          <w:rFonts w:ascii="宋体" w:hAnsi="宋体" w:eastAsia="宋体" w:cs="宋体"/>
          <w:b/>
          <w:bCs/>
          <w:kern w:val="0"/>
          <w:sz w:val="36"/>
          <w:szCs w:val="36"/>
        </w:rPr>
      </w:pPr>
    </w:p>
    <w:p>
      <w:pPr>
        <w:spacing w:line="560" w:lineRule="exact"/>
        <w:ind w:firstLine="1793" w:firstLineChars="496"/>
        <w:rPr>
          <w:rFonts w:ascii="宋体" w:hAnsi="宋体" w:eastAsia="宋体" w:cs="宋体"/>
          <w:b/>
          <w:bCs/>
          <w:kern w:val="0"/>
          <w:sz w:val="36"/>
          <w:szCs w:val="36"/>
        </w:rPr>
      </w:pPr>
    </w:p>
    <w:p>
      <w:pPr>
        <w:spacing w:line="560" w:lineRule="exact"/>
        <w:ind w:firstLine="1793" w:firstLineChars="496"/>
        <w:rPr>
          <w:rFonts w:hint="eastAsia" w:ascii="宋体" w:hAnsi="宋体" w:eastAsia="宋体" w:cs="宋体"/>
          <w:b/>
          <w:bCs/>
          <w:kern w:val="0"/>
          <w:sz w:val="36"/>
          <w:szCs w:val="36"/>
        </w:rPr>
      </w:pPr>
    </w:p>
    <w:p>
      <w:pPr>
        <w:spacing w:line="560" w:lineRule="exact"/>
        <w:ind w:firstLine="1793" w:firstLineChars="496"/>
        <w:rPr>
          <w:rFonts w:hint="eastAsia" w:ascii="宋体" w:hAnsi="宋体" w:eastAsia="宋体" w:cs="宋体"/>
          <w:b/>
          <w:bCs/>
          <w:kern w:val="0"/>
          <w:sz w:val="36"/>
          <w:szCs w:val="36"/>
        </w:rPr>
      </w:pPr>
    </w:p>
    <w:p>
      <w:pPr>
        <w:spacing w:line="560" w:lineRule="exact"/>
        <w:rPr>
          <w:rFonts w:ascii="宋体" w:hAnsi="宋体" w:eastAsia="宋体" w:cs="宋体"/>
          <w:b/>
          <w:bCs/>
          <w:kern w:val="0"/>
          <w:sz w:val="36"/>
          <w:szCs w:val="36"/>
        </w:rPr>
      </w:pPr>
    </w:p>
    <w:p>
      <w:pPr>
        <w:spacing w:line="560" w:lineRule="exact"/>
        <w:ind w:firstLine="1793" w:firstLineChars="496"/>
        <w:rPr>
          <w:rFonts w:ascii="宋体" w:hAnsi="宋体" w:eastAsia="宋体" w:cs="宋体"/>
          <w:b/>
          <w:bCs/>
          <w:kern w:val="0"/>
          <w:sz w:val="32"/>
          <w:szCs w:val="32"/>
        </w:rPr>
      </w:pPr>
      <w:r>
        <w:rPr>
          <w:rFonts w:hint="eastAsia" w:ascii="宋体" w:hAnsi="宋体" w:eastAsia="宋体" w:cs="宋体"/>
          <w:b/>
          <w:bCs/>
          <w:kern w:val="0"/>
          <w:sz w:val="36"/>
          <w:szCs w:val="36"/>
        </w:rPr>
        <w:t>部门整体支出绩效评价基础数据表</w:t>
      </w:r>
    </w:p>
    <w:p>
      <w:pPr>
        <w:widowControl/>
        <w:tabs>
          <w:tab w:val="left" w:pos="3495"/>
          <w:tab w:val="left" w:pos="4791"/>
          <w:tab w:val="left" w:pos="5951"/>
          <w:tab w:val="left" w:pos="7071"/>
          <w:tab w:val="left" w:pos="7710"/>
          <w:tab w:val="left" w:pos="8955"/>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澧县人民政府</w:t>
      </w:r>
      <w:r>
        <w:rPr>
          <w:rFonts w:hint="eastAsia" w:ascii="Times New Roman" w:hAnsi="Times New Roman" w:eastAsia="仿宋_GB2312"/>
          <w:kern w:val="0"/>
          <w:sz w:val="24"/>
          <w:lang w:eastAsia="zh-CN"/>
        </w:rPr>
        <w:t>小渡口镇人民政府</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2360"/>
        <w:gridCol w:w="2595"/>
        <w:gridCol w:w="183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p>
        </w:tc>
        <w:tc>
          <w:tcPr>
            <w:tcW w:w="236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80</w:t>
            </w:r>
          </w:p>
        </w:tc>
        <w:tc>
          <w:tcPr>
            <w:tcW w:w="259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79</w:t>
            </w:r>
          </w:p>
        </w:tc>
        <w:tc>
          <w:tcPr>
            <w:tcW w:w="18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rPr>
              <w:t>9</w:t>
            </w:r>
            <w:r>
              <w:rPr>
                <w:rFonts w:hint="eastAsia" w:ascii="Times New Roman" w:hAnsi="Times New Roman" w:eastAsia="仿宋_GB2312"/>
                <w:kern w:val="0"/>
                <w:sz w:val="24"/>
                <w:lang w:val="en-US" w:eastAsia="zh-CN"/>
              </w:rPr>
              <w:t>9</w:t>
            </w:r>
            <w:r>
              <w:rPr>
                <w:rFonts w:hint="eastAsia" w:ascii="Times New Roman" w:hAnsi="Times New Roman" w:eastAsia="仿宋_GB2312"/>
                <w:kern w:val="0"/>
                <w:sz w:val="24"/>
              </w:rPr>
              <w:t>%</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24.83</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19.3</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19.3</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10.34</w:t>
            </w: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5.3</w:t>
            </w: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5.3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14.49</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14</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14</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171.49</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166.64</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166.64</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46.68</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37</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25.54</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34.5</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34.5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10.46</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10.2</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10.2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6.34</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6.34</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p>
      <w:pPr>
        <w:spacing w:line="560" w:lineRule="exact"/>
        <w:ind w:firstLine="1793" w:firstLineChars="496"/>
        <w:rPr>
          <w:rFonts w:ascii="宋体" w:hAnsi="宋体" w:eastAsia="宋体" w:cs="宋体"/>
          <w:b/>
          <w:bCs/>
          <w:kern w:val="0"/>
          <w:sz w:val="36"/>
          <w:szCs w:val="36"/>
        </w:rPr>
      </w:pPr>
    </w:p>
    <w:sectPr>
      <w:headerReference r:id="rId3" w:type="default"/>
      <w:footerReference r:id="rId4" w:type="default"/>
      <w:pgSz w:w="11906" w:h="16838"/>
      <w:pgMar w:top="1361" w:right="1418"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12</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2235E"/>
    <w:rsid w:val="0003050A"/>
    <w:rsid w:val="00031747"/>
    <w:rsid w:val="0003456A"/>
    <w:rsid w:val="00037035"/>
    <w:rsid w:val="000469BA"/>
    <w:rsid w:val="000516DC"/>
    <w:rsid w:val="00051DA6"/>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41D4"/>
    <w:rsid w:val="000F61BE"/>
    <w:rsid w:val="000F73AE"/>
    <w:rsid w:val="001062E8"/>
    <w:rsid w:val="00107BAB"/>
    <w:rsid w:val="00112EB7"/>
    <w:rsid w:val="00114AFB"/>
    <w:rsid w:val="001167EB"/>
    <w:rsid w:val="00121B82"/>
    <w:rsid w:val="00122D73"/>
    <w:rsid w:val="00126F08"/>
    <w:rsid w:val="0013478D"/>
    <w:rsid w:val="001415B7"/>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7BA7"/>
    <w:rsid w:val="001A5697"/>
    <w:rsid w:val="001A64A0"/>
    <w:rsid w:val="001A7BCA"/>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2F9D"/>
    <w:rsid w:val="0023666C"/>
    <w:rsid w:val="002367FF"/>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7AB2"/>
    <w:rsid w:val="00320962"/>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4987"/>
    <w:rsid w:val="00377B71"/>
    <w:rsid w:val="0038212B"/>
    <w:rsid w:val="00383377"/>
    <w:rsid w:val="00383992"/>
    <w:rsid w:val="00383D6A"/>
    <w:rsid w:val="00392B58"/>
    <w:rsid w:val="00394ABB"/>
    <w:rsid w:val="003A4ACA"/>
    <w:rsid w:val="003A7FDD"/>
    <w:rsid w:val="003B23EB"/>
    <w:rsid w:val="003B2F4F"/>
    <w:rsid w:val="003B7FA2"/>
    <w:rsid w:val="003C5232"/>
    <w:rsid w:val="003D4854"/>
    <w:rsid w:val="003E3CB2"/>
    <w:rsid w:val="003E45F8"/>
    <w:rsid w:val="003E52E4"/>
    <w:rsid w:val="003E7F3D"/>
    <w:rsid w:val="00400BCF"/>
    <w:rsid w:val="00402211"/>
    <w:rsid w:val="00403A98"/>
    <w:rsid w:val="00404BE5"/>
    <w:rsid w:val="00410AE1"/>
    <w:rsid w:val="00410FF6"/>
    <w:rsid w:val="00411330"/>
    <w:rsid w:val="00412456"/>
    <w:rsid w:val="004140EF"/>
    <w:rsid w:val="00415D60"/>
    <w:rsid w:val="0041767C"/>
    <w:rsid w:val="00417BC1"/>
    <w:rsid w:val="0042330A"/>
    <w:rsid w:val="00427D9D"/>
    <w:rsid w:val="00431F52"/>
    <w:rsid w:val="00434B10"/>
    <w:rsid w:val="00446CFB"/>
    <w:rsid w:val="004503A8"/>
    <w:rsid w:val="004506ED"/>
    <w:rsid w:val="004527DA"/>
    <w:rsid w:val="004561C6"/>
    <w:rsid w:val="00457A5D"/>
    <w:rsid w:val="004621CC"/>
    <w:rsid w:val="00464EC8"/>
    <w:rsid w:val="00473D54"/>
    <w:rsid w:val="00477A24"/>
    <w:rsid w:val="00477B78"/>
    <w:rsid w:val="00481926"/>
    <w:rsid w:val="0048366A"/>
    <w:rsid w:val="00483F92"/>
    <w:rsid w:val="004948B2"/>
    <w:rsid w:val="00496F6D"/>
    <w:rsid w:val="004A0757"/>
    <w:rsid w:val="004A483D"/>
    <w:rsid w:val="004B09F8"/>
    <w:rsid w:val="004B154B"/>
    <w:rsid w:val="004B4B8D"/>
    <w:rsid w:val="004C10B1"/>
    <w:rsid w:val="004C2AEE"/>
    <w:rsid w:val="004D5F90"/>
    <w:rsid w:val="004E0E7F"/>
    <w:rsid w:val="004E1AF5"/>
    <w:rsid w:val="004E2593"/>
    <w:rsid w:val="004E394D"/>
    <w:rsid w:val="004E6235"/>
    <w:rsid w:val="004E6E44"/>
    <w:rsid w:val="004F40BB"/>
    <w:rsid w:val="004F4E0C"/>
    <w:rsid w:val="004F53C1"/>
    <w:rsid w:val="00500075"/>
    <w:rsid w:val="00503CDE"/>
    <w:rsid w:val="00505F55"/>
    <w:rsid w:val="00507BC7"/>
    <w:rsid w:val="00510B86"/>
    <w:rsid w:val="0051464E"/>
    <w:rsid w:val="00514E72"/>
    <w:rsid w:val="00536A21"/>
    <w:rsid w:val="005377C3"/>
    <w:rsid w:val="005421E4"/>
    <w:rsid w:val="0054315D"/>
    <w:rsid w:val="005438D0"/>
    <w:rsid w:val="0054486C"/>
    <w:rsid w:val="005473E0"/>
    <w:rsid w:val="0055022D"/>
    <w:rsid w:val="00550C9A"/>
    <w:rsid w:val="00553BA4"/>
    <w:rsid w:val="0057789D"/>
    <w:rsid w:val="00585BED"/>
    <w:rsid w:val="005916AB"/>
    <w:rsid w:val="00592496"/>
    <w:rsid w:val="00593595"/>
    <w:rsid w:val="005A1B71"/>
    <w:rsid w:val="005A3424"/>
    <w:rsid w:val="005A662C"/>
    <w:rsid w:val="005A6E3C"/>
    <w:rsid w:val="005B537E"/>
    <w:rsid w:val="005B70C2"/>
    <w:rsid w:val="005C1C09"/>
    <w:rsid w:val="005C488D"/>
    <w:rsid w:val="005C60E3"/>
    <w:rsid w:val="005C6117"/>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36CF9"/>
    <w:rsid w:val="00640E29"/>
    <w:rsid w:val="006412C9"/>
    <w:rsid w:val="00651EB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01D0"/>
    <w:rsid w:val="006F1419"/>
    <w:rsid w:val="006F3485"/>
    <w:rsid w:val="00700CD4"/>
    <w:rsid w:val="00701DF4"/>
    <w:rsid w:val="00702069"/>
    <w:rsid w:val="00704174"/>
    <w:rsid w:val="00704536"/>
    <w:rsid w:val="0071201B"/>
    <w:rsid w:val="00723417"/>
    <w:rsid w:val="00725B1D"/>
    <w:rsid w:val="0073058B"/>
    <w:rsid w:val="007349D4"/>
    <w:rsid w:val="00737891"/>
    <w:rsid w:val="00754120"/>
    <w:rsid w:val="00756B93"/>
    <w:rsid w:val="0076124E"/>
    <w:rsid w:val="00766862"/>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1F3"/>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7E67"/>
    <w:rsid w:val="00832102"/>
    <w:rsid w:val="00833FA8"/>
    <w:rsid w:val="0084564C"/>
    <w:rsid w:val="00850144"/>
    <w:rsid w:val="00851F1E"/>
    <w:rsid w:val="00853362"/>
    <w:rsid w:val="008662AB"/>
    <w:rsid w:val="00867DE4"/>
    <w:rsid w:val="00885497"/>
    <w:rsid w:val="008862A7"/>
    <w:rsid w:val="00892869"/>
    <w:rsid w:val="008A3FCC"/>
    <w:rsid w:val="008B03AA"/>
    <w:rsid w:val="008B1FF5"/>
    <w:rsid w:val="008B33CC"/>
    <w:rsid w:val="008B3530"/>
    <w:rsid w:val="008D36D8"/>
    <w:rsid w:val="008D5806"/>
    <w:rsid w:val="008D614F"/>
    <w:rsid w:val="008D7CE8"/>
    <w:rsid w:val="008E6AF7"/>
    <w:rsid w:val="008E7DED"/>
    <w:rsid w:val="008E7F9D"/>
    <w:rsid w:val="008F0E86"/>
    <w:rsid w:val="0090366D"/>
    <w:rsid w:val="00905011"/>
    <w:rsid w:val="00911DD8"/>
    <w:rsid w:val="00917770"/>
    <w:rsid w:val="00917BD6"/>
    <w:rsid w:val="00921D22"/>
    <w:rsid w:val="00921EF0"/>
    <w:rsid w:val="00931AA0"/>
    <w:rsid w:val="00937CB6"/>
    <w:rsid w:val="00940031"/>
    <w:rsid w:val="0094137E"/>
    <w:rsid w:val="00943B87"/>
    <w:rsid w:val="009442C5"/>
    <w:rsid w:val="0094685F"/>
    <w:rsid w:val="00954435"/>
    <w:rsid w:val="0095529F"/>
    <w:rsid w:val="00956048"/>
    <w:rsid w:val="00961BF1"/>
    <w:rsid w:val="0096338E"/>
    <w:rsid w:val="009709F2"/>
    <w:rsid w:val="00971562"/>
    <w:rsid w:val="0097377E"/>
    <w:rsid w:val="0097487E"/>
    <w:rsid w:val="00977060"/>
    <w:rsid w:val="00980482"/>
    <w:rsid w:val="0098378E"/>
    <w:rsid w:val="00986F29"/>
    <w:rsid w:val="009901AD"/>
    <w:rsid w:val="00991324"/>
    <w:rsid w:val="00991EA4"/>
    <w:rsid w:val="009943A8"/>
    <w:rsid w:val="009947D3"/>
    <w:rsid w:val="009965AB"/>
    <w:rsid w:val="009A55AE"/>
    <w:rsid w:val="009B0D0F"/>
    <w:rsid w:val="009B2AC1"/>
    <w:rsid w:val="009B5011"/>
    <w:rsid w:val="009B5851"/>
    <w:rsid w:val="009C09EB"/>
    <w:rsid w:val="009C406D"/>
    <w:rsid w:val="009C5DDA"/>
    <w:rsid w:val="009D6DA7"/>
    <w:rsid w:val="009E02A8"/>
    <w:rsid w:val="009E265C"/>
    <w:rsid w:val="009E5869"/>
    <w:rsid w:val="009E5A22"/>
    <w:rsid w:val="009F404C"/>
    <w:rsid w:val="00A00330"/>
    <w:rsid w:val="00A025CE"/>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E82"/>
    <w:rsid w:val="00A949AD"/>
    <w:rsid w:val="00AA1753"/>
    <w:rsid w:val="00AA3397"/>
    <w:rsid w:val="00AB11DB"/>
    <w:rsid w:val="00AC2C79"/>
    <w:rsid w:val="00AC3596"/>
    <w:rsid w:val="00AC5189"/>
    <w:rsid w:val="00AD0292"/>
    <w:rsid w:val="00AD09F4"/>
    <w:rsid w:val="00AD797A"/>
    <w:rsid w:val="00AE0BC2"/>
    <w:rsid w:val="00AE2DA1"/>
    <w:rsid w:val="00AE4204"/>
    <w:rsid w:val="00AE777B"/>
    <w:rsid w:val="00AF02BC"/>
    <w:rsid w:val="00AF1354"/>
    <w:rsid w:val="00B04987"/>
    <w:rsid w:val="00B0551B"/>
    <w:rsid w:val="00B067B2"/>
    <w:rsid w:val="00B07A1C"/>
    <w:rsid w:val="00B12151"/>
    <w:rsid w:val="00B13B33"/>
    <w:rsid w:val="00B13F7B"/>
    <w:rsid w:val="00B15F5B"/>
    <w:rsid w:val="00B1669E"/>
    <w:rsid w:val="00B21F2B"/>
    <w:rsid w:val="00B23A19"/>
    <w:rsid w:val="00B23AE6"/>
    <w:rsid w:val="00B3064B"/>
    <w:rsid w:val="00B30E1F"/>
    <w:rsid w:val="00B32F56"/>
    <w:rsid w:val="00B4272F"/>
    <w:rsid w:val="00B5069E"/>
    <w:rsid w:val="00B54FA2"/>
    <w:rsid w:val="00B559AE"/>
    <w:rsid w:val="00B576D4"/>
    <w:rsid w:val="00B57CA9"/>
    <w:rsid w:val="00B605B4"/>
    <w:rsid w:val="00B65994"/>
    <w:rsid w:val="00B718B5"/>
    <w:rsid w:val="00B7695F"/>
    <w:rsid w:val="00B80C73"/>
    <w:rsid w:val="00B824FB"/>
    <w:rsid w:val="00B8579B"/>
    <w:rsid w:val="00B85D54"/>
    <w:rsid w:val="00B86E61"/>
    <w:rsid w:val="00B90483"/>
    <w:rsid w:val="00B90FCE"/>
    <w:rsid w:val="00B9269A"/>
    <w:rsid w:val="00B93DBC"/>
    <w:rsid w:val="00B97A2C"/>
    <w:rsid w:val="00BA21E0"/>
    <w:rsid w:val="00BA3557"/>
    <w:rsid w:val="00BB02A3"/>
    <w:rsid w:val="00BB0D8B"/>
    <w:rsid w:val="00BB59D4"/>
    <w:rsid w:val="00BB7153"/>
    <w:rsid w:val="00BD1277"/>
    <w:rsid w:val="00BD600A"/>
    <w:rsid w:val="00BD7C07"/>
    <w:rsid w:val="00BE2E9A"/>
    <w:rsid w:val="00BE6894"/>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C58E2"/>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D65C0"/>
    <w:rsid w:val="00DD7E04"/>
    <w:rsid w:val="00DE04EC"/>
    <w:rsid w:val="00DE1D58"/>
    <w:rsid w:val="00DE53FD"/>
    <w:rsid w:val="00DE5A27"/>
    <w:rsid w:val="00DF0050"/>
    <w:rsid w:val="00DF192B"/>
    <w:rsid w:val="00DF3708"/>
    <w:rsid w:val="00DF422E"/>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921CA"/>
    <w:rsid w:val="00FA27F4"/>
    <w:rsid w:val="00FA5A76"/>
    <w:rsid w:val="00FB0000"/>
    <w:rsid w:val="00FB5CB5"/>
    <w:rsid w:val="00FD0185"/>
    <w:rsid w:val="00FD0186"/>
    <w:rsid w:val="00FD03F6"/>
    <w:rsid w:val="00FD1260"/>
    <w:rsid w:val="00FD4154"/>
    <w:rsid w:val="00FD47E3"/>
    <w:rsid w:val="00FE15F4"/>
    <w:rsid w:val="00FF2FCA"/>
    <w:rsid w:val="00FF5CAC"/>
    <w:rsid w:val="0B5B5A73"/>
    <w:rsid w:val="17203872"/>
    <w:rsid w:val="20C51591"/>
    <w:rsid w:val="3B1C521F"/>
    <w:rsid w:val="57E714CD"/>
    <w:rsid w:val="5B705F94"/>
    <w:rsid w:val="64CC7F22"/>
    <w:rsid w:val="6AA80256"/>
    <w:rsid w:val="717E75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7"/>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118"/>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119"/>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120"/>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121"/>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122"/>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8">
    <w:name w:val="HTML Address"/>
    <w:basedOn w:val="1"/>
    <w:link w:val="123"/>
    <w:semiHidden/>
    <w:qFormat/>
    <w:uiPriority w:val="99"/>
    <w:pPr>
      <w:widowControl/>
      <w:jc w:val="left"/>
    </w:pPr>
    <w:rPr>
      <w:rFonts w:ascii="宋体" w:hAnsi="宋体" w:cs="宋体"/>
      <w:kern w:val="0"/>
      <w:sz w:val="24"/>
      <w:szCs w:val="24"/>
    </w:rPr>
  </w:style>
  <w:style w:type="paragraph" w:styleId="9">
    <w:name w:val="footer"/>
    <w:basedOn w:val="1"/>
    <w:link w:val="125"/>
    <w:qFormat/>
    <w:uiPriority w:val="99"/>
    <w:pPr>
      <w:tabs>
        <w:tab w:val="center" w:pos="4153"/>
        <w:tab w:val="right" w:pos="8306"/>
      </w:tabs>
      <w:snapToGrid w:val="0"/>
      <w:jc w:val="left"/>
    </w:pPr>
    <w:rPr>
      <w:sz w:val="18"/>
      <w:szCs w:val="18"/>
    </w:rPr>
  </w:style>
  <w:style w:type="paragraph" w:styleId="10">
    <w:name w:val="header"/>
    <w:basedOn w:val="1"/>
    <w:link w:val="1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uiPriority w:val="99"/>
    <w:rPr>
      <w:rFonts w:cs="Times New Roman"/>
    </w:rPr>
  </w:style>
  <w:style w:type="paragraph" w:customStyle="1" w:styleId="19">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20">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21">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25">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29">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0">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1">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2">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33">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35">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6">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9">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0">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2">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43">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5">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46">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48">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49">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50">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paragraph" w:customStyle="1" w:styleId="53">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4">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55">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57">
    <w:name w:val="tipscontrol-btn1"/>
    <w:basedOn w:val="1"/>
    <w:uiPriority w:val="99"/>
    <w:pPr>
      <w:widowControl/>
      <w:spacing w:before="100" w:beforeAutospacing="1" w:after="135" w:line="17536" w:lineRule="exact"/>
      <w:jc w:val="left"/>
    </w:pPr>
    <w:rPr>
      <w:rFonts w:ascii="宋体" w:hAnsi="宋体" w:cs="宋体"/>
      <w:kern w:val="0"/>
      <w:sz w:val="2"/>
      <w:szCs w:val="2"/>
    </w:rPr>
  </w:style>
  <w:style w:type="paragraph" w:customStyle="1" w:styleId="58">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2">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zwgk_left_top"/>
    <w:basedOn w:val="1"/>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hj-easyread-icons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2">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3">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5">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7">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8">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9">
    <w:name w:val="w9801"/>
    <w:basedOn w:val="1"/>
    <w:uiPriority w:val="99"/>
    <w:pPr>
      <w:widowControl/>
      <w:jc w:val="left"/>
    </w:pPr>
    <w:rPr>
      <w:rFonts w:ascii="宋体" w:hAnsi="宋体" w:cs="宋体"/>
      <w:kern w:val="0"/>
      <w:sz w:val="24"/>
      <w:szCs w:val="24"/>
    </w:rPr>
  </w:style>
  <w:style w:type="paragraph" w:customStyle="1" w:styleId="80">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bs_tab_bar"/>
    <w:basedOn w:val="1"/>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8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84">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85">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88">
    <w:name w:val="search1"/>
    <w:basedOn w:val="1"/>
    <w:uiPriority w:val="99"/>
    <w:pPr>
      <w:widowControl/>
      <w:spacing w:line="660" w:lineRule="atLeast"/>
      <w:jc w:val="left"/>
    </w:pPr>
    <w:rPr>
      <w:rFonts w:ascii="宋体" w:hAnsi="宋体" w:cs="宋体"/>
      <w:kern w:val="0"/>
      <w:sz w:val="24"/>
      <w:szCs w:val="24"/>
    </w:rPr>
  </w:style>
  <w:style w:type="paragraph" w:customStyle="1" w:styleId="89">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xl_con"/>
    <w:basedOn w:val="1"/>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91">
    <w:name w:val="returntotop-btn1"/>
    <w:basedOn w:val="1"/>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92">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94">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96">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98">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99">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00">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07">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4">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gsgg1"/>
    <w:basedOn w:val="1"/>
    <w:uiPriority w:val="99"/>
    <w:pPr>
      <w:widowControl/>
      <w:spacing w:before="100" w:beforeAutospacing="1" w:after="100" w:afterAutospacing="1"/>
      <w:jc w:val="left"/>
    </w:pPr>
    <w:rPr>
      <w:rFonts w:ascii="宋体" w:hAnsi="宋体" w:cs="宋体"/>
      <w:kern w:val="0"/>
      <w:sz w:val="24"/>
      <w:szCs w:val="24"/>
    </w:rPr>
  </w:style>
  <w:style w:type="paragraph" w:styleId="116">
    <w:name w:val="List Paragraph"/>
    <w:basedOn w:val="1"/>
    <w:qFormat/>
    <w:uiPriority w:val="99"/>
    <w:pPr>
      <w:ind w:firstLine="420" w:firstLineChars="200"/>
    </w:pPr>
  </w:style>
  <w:style w:type="character" w:customStyle="1" w:styleId="117">
    <w:name w:val="标题 1 Char"/>
    <w:basedOn w:val="13"/>
    <w:link w:val="2"/>
    <w:qFormat/>
    <w:locked/>
    <w:uiPriority w:val="99"/>
    <w:rPr>
      <w:rFonts w:ascii="宋体" w:hAnsi="宋体" w:eastAsia="宋体" w:cs="宋体"/>
      <w:kern w:val="36"/>
      <w:sz w:val="48"/>
      <w:szCs w:val="48"/>
    </w:rPr>
  </w:style>
  <w:style w:type="character" w:customStyle="1" w:styleId="118">
    <w:name w:val="标题 2 Char"/>
    <w:basedOn w:val="13"/>
    <w:link w:val="3"/>
    <w:qFormat/>
    <w:locked/>
    <w:uiPriority w:val="99"/>
    <w:rPr>
      <w:rFonts w:ascii="宋体" w:hAnsi="宋体" w:eastAsia="宋体" w:cs="宋体"/>
      <w:kern w:val="0"/>
      <w:sz w:val="36"/>
      <w:szCs w:val="36"/>
    </w:rPr>
  </w:style>
  <w:style w:type="character" w:customStyle="1" w:styleId="119">
    <w:name w:val="标题 3 Char"/>
    <w:basedOn w:val="13"/>
    <w:link w:val="4"/>
    <w:qFormat/>
    <w:locked/>
    <w:uiPriority w:val="99"/>
    <w:rPr>
      <w:rFonts w:ascii="宋体" w:hAnsi="宋体" w:eastAsia="宋体" w:cs="宋体"/>
      <w:kern w:val="0"/>
      <w:sz w:val="27"/>
      <w:szCs w:val="27"/>
    </w:rPr>
  </w:style>
  <w:style w:type="character" w:customStyle="1" w:styleId="120">
    <w:name w:val="标题 4 Char"/>
    <w:basedOn w:val="13"/>
    <w:link w:val="5"/>
    <w:qFormat/>
    <w:locked/>
    <w:uiPriority w:val="99"/>
    <w:rPr>
      <w:rFonts w:ascii="宋体" w:hAnsi="宋体" w:eastAsia="宋体" w:cs="宋体"/>
      <w:kern w:val="0"/>
      <w:sz w:val="24"/>
      <w:szCs w:val="24"/>
    </w:rPr>
  </w:style>
  <w:style w:type="character" w:customStyle="1" w:styleId="121">
    <w:name w:val="标题 5 Char"/>
    <w:basedOn w:val="13"/>
    <w:link w:val="6"/>
    <w:qFormat/>
    <w:locked/>
    <w:uiPriority w:val="99"/>
    <w:rPr>
      <w:rFonts w:ascii="宋体" w:hAnsi="宋体" w:eastAsia="宋体" w:cs="宋体"/>
      <w:kern w:val="0"/>
      <w:sz w:val="20"/>
      <w:szCs w:val="20"/>
    </w:rPr>
  </w:style>
  <w:style w:type="character" w:customStyle="1" w:styleId="122">
    <w:name w:val="标题 6 Char"/>
    <w:basedOn w:val="13"/>
    <w:link w:val="7"/>
    <w:qFormat/>
    <w:locked/>
    <w:uiPriority w:val="99"/>
    <w:rPr>
      <w:rFonts w:ascii="宋体" w:hAnsi="宋体" w:eastAsia="宋体" w:cs="宋体"/>
      <w:kern w:val="0"/>
      <w:sz w:val="15"/>
      <w:szCs w:val="15"/>
    </w:rPr>
  </w:style>
  <w:style w:type="character" w:customStyle="1" w:styleId="123">
    <w:name w:val="HTML 地址 Char"/>
    <w:basedOn w:val="13"/>
    <w:link w:val="8"/>
    <w:semiHidden/>
    <w:qFormat/>
    <w:locked/>
    <w:uiPriority w:val="99"/>
    <w:rPr>
      <w:rFonts w:ascii="宋体" w:hAnsi="宋体" w:eastAsia="宋体" w:cs="宋体"/>
      <w:kern w:val="0"/>
      <w:sz w:val="24"/>
      <w:szCs w:val="24"/>
    </w:rPr>
  </w:style>
  <w:style w:type="character" w:customStyle="1" w:styleId="124">
    <w:name w:val="hj-easyread-speakerprocesser-position-action-icon1"/>
    <w:basedOn w:val="13"/>
    <w:uiPriority w:val="99"/>
    <w:rPr>
      <w:rFonts w:cs="Times New Roman"/>
      <w:shd w:val="clear" w:color="auto" w:fill="auto"/>
    </w:rPr>
  </w:style>
  <w:style w:type="character" w:customStyle="1" w:styleId="125">
    <w:name w:val="页脚 Char"/>
    <w:basedOn w:val="13"/>
    <w:link w:val="9"/>
    <w:locked/>
    <w:uiPriority w:val="99"/>
    <w:rPr>
      <w:rFonts w:cs="Times New Roman"/>
      <w:sz w:val="18"/>
      <w:szCs w:val="18"/>
    </w:rPr>
  </w:style>
  <w:style w:type="character" w:customStyle="1" w:styleId="126">
    <w:name w:val="hj-easyread-speakerprocesser-position-action-icon"/>
    <w:basedOn w:val="13"/>
    <w:uiPriority w:val="99"/>
    <w:rPr>
      <w:rFonts w:cs="Times New Roman"/>
    </w:rPr>
  </w:style>
  <w:style w:type="character" w:customStyle="1" w:styleId="127">
    <w:name w:val="页眉 Char"/>
    <w:basedOn w:val="13"/>
    <w:link w:val="10"/>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16</Pages>
  <Words>1347</Words>
  <Characters>7683</Characters>
  <Lines>64</Lines>
  <Paragraphs>18</Paragraphs>
  <TotalTime>36</TotalTime>
  <ScaleCrop>false</ScaleCrop>
  <LinksUpToDate>false</LinksUpToDate>
  <CharactersWithSpaces>9012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2020-10-15T03:47:00Z</dcterms:created>
  <dc:creator>ASUS</dc:creator>
  <cp:lastModifiedBy>Administrator</cp:lastModifiedBy>
  <cp:lastPrinted>2020-10-15T05:26:00Z</cp:lastPrinted>
  <dcterms:modified xsi:type="dcterms:W3CDTF">2024-04-24T09:05:45Z</dcterms:modified>
  <dc:title>2014年度常德市社会劳动保险处</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