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p>
    <w:p>
      <w:pPr>
        <w:pStyle w:val="3"/>
        <w:shd w:val="clear" w:color="auto" w:fill="FFFFFF"/>
        <w:snapToGrid w:val="0"/>
        <w:spacing w:line="240" w:lineRule="atLeast"/>
        <w:ind w:firstLine="480"/>
        <w:contextualSpacing/>
        <w:jc w:val="center"/>
        <w:rPr>
          <w:rFonts w:ascii="微软雅黑" w:hAnsi="微软雅黑" w:eastAsia="微软雅黑"/>
          <w:color w:val="333333"/>
        </w:rPr>
      </w:pPr>
      <w:r>
        <w:rPr>
          <w:rFonts w:hint="eastAsia" w:ascii="微软雅黑" w:hAnsi="微软雅黑" w:eastAsia="微软雅黑"/>
          <w:color w:val="333333"/>
        </w:rPr>
        <w:t>第一部分        澧县人民政府澧浦街道办事处单位概况</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一、部门职责</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一）加强党的建设。落实基层党建工作责任制，统筹全镇村（社区）区域化党建，加强非公有制经济组织和社会组织党建工作，实现党的组织和工作全覆盖。加强意识形态阵地及队伍建设。不断提高党的建设质量，落实管党治党责任，推动全面</w:t>
      </w:r>
      <w:r>
        <w:rPr>
          <w:rFonts w:hint="eastAsia" w:ascii="微软雅黑" w:hAnsi="微软雅黑" w:eastAsia="微软雅黑"/>
          <w:color w:val="333333"/>
          <w:lang w:val="en-US" w:eastAsia="zh-CN"/>
        </w:rPr>
        <w:t>从严</w:t>
      </w:r>
      <w:bookmarkStart w:id="0" w:name="_GoBack"/>
      <w:bookmarkEnd w:id="0"/>
      <w:r>
        <w:rPr>
          <w:rFonts w:hint="eastAsia" w:ascii="微软雅黑" w:hAnsi="微软雅黑" w:eastAsia="微软雅黑"/>
          <w:color w:val="333333"/>
        </w:rPr>
        <w:t>治党向基层延伸。</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（二）统筹区域发展。参与拟订县级关于辖区发展的重大决策和建设规划并统筹落实，负责促进辖区经济建设，承担优化发展环境、采集企业信息、服务辖区企业、促进项目发展等工作。</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三）组织公共服务。组织实施与村（居）民生活密切相关的各项公共服务事项，落实人力资源社会保障、民政、教育、科技、文化、体育、卫生健康、退役军人事务、村（居）民小区物业管理等领域相关法规政策。动员辖区内各类单位、社会组织、村（居）民等社会力量参与社会治理，为全镇发展服务。</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（四）实施公共管理。负责辖区内生态环境保护、城镇管理、控违拆违、征地拆迁等综合性管理工作。</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（五）维护公共安全。承担辖区内社会治安综合治理、平安建设、应急管理等有关工作，接待群众来信来访，反映社情民意，化解矛盾纠纷等。</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（六）监督执法管理。对辖区内各类行政执法工作进行统筹协调，组织开展群众监督和社会监督。</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（七）保障居民自治。指导村（居）委员会建设，健全村（居）民自治平台，组织村（居）民参与村（社区）建设、管理。</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二、机构设置及决算单位构成</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（一）内设机构设置。</w:t>
      </w:r>
    </w:p>
    <w:p>
      <w:pPr>
        <w:widowControl/>
        <w:spacing w:line="315" w:lineRule="atLeast"/>
        <w:ind w:firstLine="480"/>
        <w:rPr>
          <w:rFonts w:ascii="微软雅黑" w:hAnsi="微软雅黑" w:eastAsia="微软雅黑"/>
          <w:color w:val="FF0000"/>
        </w:rPr>
      </w:pPr>
      <w:r>
        <w:rPr>
          <w:rFonts w:hint="eastAsia" w:ascii="微软雅黑" w:hAnsi="微软雅黑" w:eastAsia="微软雅黑"/>
          <w:color w:val="333333"/>
        </w:rPr>
        <w:t>澧县人民政府澧浦街道办事处内设机构包括：对街道办内设机构统一设置为6个。即党政办公室、党建办公室、经济发展办公室、社会事务办公室、自然资源和生态环境办公室、平安建设领导小组办公室。</w:t>
      </w:r>
      <w:r>
        <w:rPr>
          <w:rFonts w:hint="eastAsia" w:ascii="微软雅黑" w:hAnsi="微软雅黑" w:eastAsia="微软雅黑"/>
          <w:color w:val="FF0000"/>
        </w:rPr>
        <w:t>截至2020年12月31日，我街道办行政编制人数为29个，与上年相同；实有人数29个，比上年减少3个，减少原因为机关工作人员正常退休。事业编制人数31个，与上年相同；实有人数30个，比上年增加3个,增加原因是事业单位人员调入。</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（二）决算单位构成。</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澧县人民政府澧浦街道办事处2020年部门决算公开单位构成包括：澧县人民政府澧浦街道办事处本级。</w:t>
      </w:r>
    </w:p>
    <w:p>
      <w:pPr>
        <w:pStyle w:val="3"/>
        <w:shd w:val="clear" w:color="auto" w:fill="FFFFFF"/>
        <w:snapToGrid w:val="0"/>
        <w:spacing w:line="240" w:lineRule="atLeast"/>
        <w:ind w:firstLine="480"/>
        <w:contextualSpacing/>
        <w:jc w:val="center"/>
        <w:rPr>
          <w:rFonts w:ascii="微软雅黑" w:hAnsi="微软雅黑" w:eastAsia="微软雅黑"/>
          <w:color w:val="333333"/>
        </w:rPr>
      </w:pPr>
      <w:r>
        <w:rPr>
          <w:rFonts w:hint="eastAsia" w:ascii="微软雅黑" w:hAnsi="微软雅黑" w:eastAsia="微软雅黑"/>
          <w:color w:val="333333"/>
        </w:rPr>
        <w:t>第二部分         部门决算表</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（2020年部门决算公开表格见附件1）</w:t>
      </w:r>
    </w:p>
    <w:p>
      <w:pPr>
        <w:pStyle w:val="3"/>
        <w:shd w:val="clear" w:color="auto" w:fill="FFFFFF"/>
        <w:snapToGrid w:val="0"/>
        <w:spacing w:line="240" w:lineRule="atLeast"/>
        <w:ind w:firstLine="480"/>
        <w:contextualSpacing/>
        <w:jc w:val="center"/>
        <w:rPr>
          <w:rFonts w:ascii="微软雅黑" w:hAnsi="微软雅黑" w:eastAsia="微软雅黑"/>
          <w:color w:val="333333"/>
        </w:rPr>
      </w:pPr>
      <w:r>
        <w:rPr>
          <w:rFonts w:hint="eastAsia" w:ascii="微软雅黑" w:hAnsi="微软雅黑" w:eastAsia="微软雅黑"/>
          <w:color w:val="333333"/>
        </w:rPr>
        <w:t>第三部分         2020年度部门决算情况说明</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一、收入支出决算总体情况说明</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2020年度收、支总计1786.23万元（含结转结余）。与上年相比减少218.97万元，减少10.92%，</w:t>
      </w:r>
      <w:r>
        <w:rPr>
          <w:rFonts w:hint="eastAsia" w:ascii="微软雅黑" w:hAnsi="微软雅黑" w:eastAsia="微软雅黑"/>
          <w:color w:val="FF0000"/>
        </w:rPr>
        <w:t>主要是因为</w:t>
      </w:r>
      <w:r>
        <w:rPr>
          <w:rFonts w:hint="eastAsia" w:ascii="微软雅黑" w:hAnsi="微软雅黑" w:eastAsia="微软雅黑"/>
          <w:color w:val="333333"/>
        </w:rPr>
        <w:t>农林水支出和资源勘探工业信息等支出减少。</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二、收入决算情况说明</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本年收入合计1785.69万元，其中：财政拨款收入1785.69万元，占100%；上级补助收入0万元，占0%；事业收入0万元，占0%；经营收入0万元，占0%；附属单位上缴收入0万元，占0%；其他收入0万元，占0%。</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三、支出决算情况说明</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本年支出合计1762.88万元，其中：基本支出588.16万元，占33.36%；项目支出1174.72万元，占66.64%；上缴上级支出0万元，占0%；经营支出0万元，占0%；对附属单位补助支出0万元，占0%。</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四、财政拨款收入支出决算总体情况说明</w:t>
      </w:r>
    </w:p>
    <w:p>
      <w:pPr>
        <w:pStyle w:val="3"/>
        <w:shd w:val="clear" w:color="auto" w:fill="FFFFFF"/>
        <w:snapToGrid w:val="0"/>
        <w:spacing w:line="240" w:lineRule="atLeast"/>
        <w:ind w:firstLine="480"/>
        <w:contextualSpacing/>
        <w:rPr>
          <w:rFonts w:ascii="微软雅黑" w:hAnsi="微软雅黑" w:eastAsia="微软雅黑"/>
          <w:color w:val="FF0000"/>
        </w:rPr>
      </w:pPr>
      <w:r>
        <w:rPr>
          <w:rFonts w:hint="eastAsia" w:ascii="微软雅黑" w:hAnsi="微软雅黑" w:eastAsia="微软雅黑"/>
          <w:color w:val="333333"/>
        </w:rPr>
        <w:t>   2020年度财政拨款收、支总计1786.23万元（含结转结余）。与上年相比减少218.97万元，减少10.92%，</w:t>
      </w:r>
      <w:r>
        <w:rPr>
          <w:rFonts w:hint="eastAsia" w:ascii="微软雅黑" w:hAnsi="微软雅黑" w:eastAsia="微软雅黑"/>
          <w:color w:val="FF0000"/>
        </w:rPr>
        <w:t>主要是因为</w:t>
      </w:r>
      <w:r>
        <w:rPr>
          <w:rFonts w:hint="eastAsia" w:ascii="微软雅黑" w:hAnsi="微软雅黑" w:eastAsia="微软雅黑"/>
          <w:color w:val="333333"/>
        </w:rPr>
        <w:t>农林水支出和资源勘探工业信息等支出减少。</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五、一般公共预算财政拨款支出决算情况说明</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（一）财政拨款支出决算总体情况</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2020年度财政拨款支出1729.35万元，占本年支出合计的98.1%，与上年相比减少275.31万元，减少13.73%，</w:t>
      </w:r>
      <w:r>
        <w:rPr>
          <w:rFonts w:hint="eastAsia" w:ascii="微软雅黑" w:hAnsi="微软雅黑" w:eastAsia="微软雅黑"/>
          <w:color w:val="FF0000"/>
        </w:rPr>
        <w:t>主要是因为</w:t>
      </w:r>
      <w:r>
        <w:rPr>
          <w:rFonts w:hint="eastAsia" w:ascii="微软雅黑" w:hAnsi="微软雅黑" w:eastAsia="微软雅黑"/>
          <w:color w:val="333333"/>
        </w:rPr>
        <w:t>农林水支出和资源勘探工业信息等支出减少。</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（二）财政拨款支出决算结构情况</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2020年度财政拨款支出1729.35万元，主要用于以下方面：一般公共服务支出636.88万元，占36.83%；文化旅游体育与传媒支出34.67万元，占2%;社会保障和就业支出54.64万元，占3.16%；卫生健康支出90.74万元，占5.25%；节能环保支出155.91万元，占9.02%；城乡社区支出35万元，占2.02%；农林水支出653.18万元，占37.77%；资源勘探工业信息等支出1万元，占0.06%；自然资源海洋气象等支出5万元，占0.29%；住房保障支出40.83万元，占2.36%；灾害防治及应急管理支出21.5万元，占1.24%。</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（三）财政拨款支出决算具体情况</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2020年度财政拨款支出年初预算数为586.05万元，支出决算数为1729.35万元，完成年初预算的294.57%，其中：</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1、一般公共服务（类）政府办公厅（室）及相关机构事务（款）行政运行（项）。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年初预算为329.3万元，支出决算为317.84万元，完成年初预算的96.52%，决算数小于年初预算数的主要原因是：年中预算调整。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2、一般公共服务（类）政府办公厅（室）及相关机构事务（款）事业运行（项）。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年初预算为139.67万元，支出决算为141.24万元，完成年初预算的101.12%，决算数大于年初预算数的主要原因是：年中预算调整。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3、一般公共服务（类）政府办公厅（室）及相关机构事务（款）其他政府办公厅（室）及相关机构事务（项）。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年初预算为0万元，支出决算为107万元，决算数大于年初预算数的主要原因是：年中预算调整。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4、一般公共服务（类）财政事务（款）行政运行（项）。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年初预算为0万元，支出决算为7万元，决算数大于年初预算数的主要原因是：年中预算调整。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5、一般公共服务（类）财政事务（款）一般行政管理事务（项）。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年初预算为0万元，支出决算为14万元，决算数大于年初预算数的主要原因是：年中预算调整。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6、一般公共服务（类）财政事务（款）其他财政事务支出（项）。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年初预算为0万元，支出决算为11万元，决算数大于年初预算数的主要原因是：年中预算调整。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7、一般公共服务（类）税收事务（款）行政运行（项）。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年初预算为0万元，支出决算为5万元，决算数大于年初预算数的主要原因是：年中预算调整。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8、一般公共服务（类）组织事务（款）其他组织事务支出（项）。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年初预算为0万元，支出决算为0.8万元，决算数大于年初预算数的主要原因是：年中预算调整。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9、一般公共服务（类）其他一般公共服务支出（款）其他一般公共服务支出（项）。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年初预算为0万元，支出决算为33万元，决算数大于年初预算数的主要原因是：年中预算调整。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10、文化旅游体育与传媒支出（类）其他文化旅游体育与传媒支出（款）其他文化旅游体育与传媒支出（项）。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年初预算为0万元，支出决算为34.67万元，决算数大于年初预算数的主要原因是：年初未将项目经费纳入部门预算，导致年初数为0万元。</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11、社会保障和就业支出（类）行政事业单位养老支出（款）机关事业单位基本养老保险缴费支出（项）。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年初预算为54.44万元，支出决算为54.44万元，完成年初预算的100%，决算数等于年初预算数。 </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12、社会保障和就业支出（类）其他社会保障和就业支出（款）其他社会保障和就业支出（项）。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年初预算为0万元，支出决算为0.2万元，决算数大于年初预算数的主要原因是：年中预算调整。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13、卫生健康支出（类）公共卫生（款）突发公共卫生事件应急处理（项）。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年初预算为0万元，支出决算为68.93万元，决算数大于年初预算数的主要原因是：受新冠肺炎疫情影响支出增加。</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14、卫生健康支出（类）行政事业单位医疗（款）行政单位医疗（项）。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年初预算为11.83万元，支出决算为11.83万元，完成年初预算的100%，决算数等于年初预算数。</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15、卫生健康支出（类）行政事业单位医疗（款）事业单位医疗（项）。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年初预算为9.98万元，支出决算为9.98万元，完成年初预算的100%，决算数等于年初预算数。</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16、节能环保支出（类）自然生态保护（款）生态保护（项）。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年初预算为0万元，支出决算为135.91万元，决算数大于年初预算数的主要原因是：年初未将该项目经费纳入部门预算。</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17、节能环保支出（类）其他节能环保支出（款）其他节能环保支出（项）。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年初预算为0万元，支出决算为20万元，决算数大于年初预算数的主要原因是：年中预算调整。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18、城乡社区支出（类）城乡社区环境卫生（款）城乡社区环境卫生（项）。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年初预算为0万元，支出决算为25万元，决算数大于年初预算数的主要原因是：年中预算调整。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19、城乡社区支出（类）其他城乡社区环境卫生（款）其他城乡社区环境卫生（项）。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年初预算为0万元，支出决算为10万元，决算数大于年初预算数的主要原因是：年中预算调整。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20、农林水支出（类）农业农村（款）农业生产发展（项）。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年初预算为0万元，支出决算为8.22万元，决算数大于年初预算数的主要原因是：年中预算调整。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21、农林水支出（类）农业农村（款）其他农业农村支出（项）。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年初预算为0万元，支出决算为10万元，决算数大于年初预算数的主要原因是：年中预算调整。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22、农林水支出（类）林业和草原（款）森林资源培育（项）。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年初预算为0万元，支出决算为0.9万元，决算数大于年初预算数的主要原因是：年中预算调整。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23、农林水支出（类）水利（款）水利工程运行与维护（项）。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年初预算为0万元，支出决算为50万元，决算数大于年初预算数的主要原因是：年中预算调整。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24、农林水支出（类）水利（款）防汛（项）。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年初预算为0万元，支出决算为15万元，决算数大于年初预算数的主要原因是：年中预算调整。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25、农林水支出（类）扶贫（款）其他扶贫支出（项）。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年初预算为0万元，支出决算为66万元，决算数大于年初预算数的主要原因是：年中预算调整。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26、农林水支出（类）农村综合改革（款）对村级一事一议的补助（项）。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年初预算为0万元，支出决算为30万元，决算数大于年初预算数的主要原因是：年中预算调整。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27、农林水支出（类）农村综合改革（款）对村民委员会和村党支部的补助（项）。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年初预算为0万元，支出决算为329.26万元，决算数大于年初预算数的主要原因是：年中预算调整。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28、农林水支出（类）农村综合改革（款）其他农村综合改革支出（项）。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年初预算为0万元，支出决算为143.8万元，决算数大于年初预算数的主要原因是：年中预算调整。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29、资源勘探工业信息等支出（类）其他资源勘探工业信息等支出（款）其他资源勘探工业信息等支出（项）。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年初预算为0万元，支出决算为1万元，决算数大于年初预算数的主要原因是：年初未将该项目经费纳入部门预算。</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30、自然资源海洋气象等支出（类）自然资源事务（款）一般行政管理事务（项）。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年初预算为0万元，支出决算为5万元，决算数大于年初预算数的主要原因是：年中预算调整。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31、住房保障支出（类）住房改革支出（款）住房公积金（项）。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年初预算为40.83万元，支出决算为40.83万元，完成年初预算100%，决算数等于年初预算数。</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32、灾害防治及应急管理支出（类）自然灾害救灾及恢复重建支出（款）中央自然灾害生活补助（项）。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年初预算为0万元，支出决算为11.5万元，决算数大于年初预算数的主要原因是：年初未将该项目经费纳入部门预算。</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33、灾害防治及应急管理支出（类）自然灾害救灾及恢复重建支出（款）自然灾害救灾补助（项）。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年初预算为0万元，支出决算为10万元，决算数大于年初预算数的主要原因是：年中预算调整。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34、社会保障和就业支出（类）大中型水库移民后期扶持基金支出（款）移民补助（项）。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年初预算为0万元，支出决算为11.58万元，决算数大于年初预算数的主要原因是：年中预算调整。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35、社会保障和就业支出（类）大中型水库移民后期扶持基金支出（款）基础设施建设和经济发展（项）。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年初预算为0万元，支出决算为15万元，决算数大于年初预算数的主要原因是：年中预算调整。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36、城乡社区支出（类）城市基础设施配套费安排的支出（款）城市公共设施（项）。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年初预算为0万元，支出决算为6万元，决算数大于年初预算数的主要原因是：年中预算调整。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37、国有资本经营预算支出（类）解决历史遗留问题及改革成本支出（款）国有企业退休人员社会化管理补助支出（项）。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年初预算为0万元，支出决算为0.95万元，决算数大于年初预算数的主要原因是：年初未将该项目经费纳入部门预算。</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六、一般公共预算财政拨款基本支出决算情况说明</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2020年度财政拨款基本支出588.16万元，其中：人员经费471.53万元，占基本支出的80.17%,主要包括基本工资、津贴补贴、伙食补助费、绩效工资、机关事业单位基本养老保险缴费、职工基本医疗保险缴费、公务员医疗补助缴费、住房公积金；公用经费116.63万元，占基本支出的19.83%，主要包括办公费、印刷费、水费、电费、差旅费、维修（护）费、会议费、培训费、公务接待费、工会经费、公务用车运行维护费。</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七、一般公共预算财政拨款三公经费支出决算情况说明</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（一）“三公”经费财政拨款支出决算总体情况说明</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“三公”经费财政拨款支出预算为31.5万元，支出决算为30.5万元，完成预算的96.83%，其中：</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因公出国（境）费支出预算为0万元，支出决算为0万元，完成预算的0%，与上年一致。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公务接待费支出预算为1.5万元，支出决算为1.5万元，完成预算的100%，与上年一致。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公务用车购置费及运行维护费支出预算为30万元，支出决算为29万元，完成预算的96.67%，决算数小于预算数的主要原因是压缩成本支出，与上年相比减少1万元，减少3.33%,减少的主要原因是压缩成本支出。</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（二）“三公”经费财政拨款支出决算具体情况说明</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2020年度“三公”经费财政拨款支出决算中，公务接待费支出决算29万元，占95.08%,因公出国（境）费支出决算0万元，占0%，公务用车购置费及运行维护费支出决算1.5万元，占4.92%。其中：</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1、因公出国（境）费支出决算为0万元，全年安排因公出国（境）团组0个，累计0人次。</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2、公务接待费支出决算为29万元，全年共接待来访团组300个、来宾3800人次，主要是脱贫攻坚迎检、创建省级星级财政所以及各站所公务接待发生的接待支出。</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3、公务用车购置费及运行维护费支出决算为1.5万元，其中：公务用车购置费0万元。更新公务用车0辆，公务用车运行维护费1.5万元，主要是加油维修保养及保险费支出，截止2020年12月31日，我单位开支财政拨款的公务用车保有量为1辆。</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八、政府性基金预算收入支出决算情况</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    2020年度政府性基金预算财政拨款收入32.58万元；年初结转和结余0万元；支出32.58万元，其中基本支出0万元，项目支出32.58万元；年末结转和结余0万元。</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九、国有资本经营预算财政拨款支出决算情况</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2020年度国有资本经营预算财政拨款收入0.95万元；年初结转和结余0万元；支出0.95万元，其中基本支出0.95万元，项目支出0万元；年末结转和结余0万元。</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十、关于机关运行经费支出说明</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本部门2020年度机关运行经费支出0万元，与上年一致。</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十一、一般性支出情况</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2020年本部门年初预算会议费4.6万元，开支会议费4.6万元，用于召开脱贫攻坚会议，人数65人，内容为结对帮扶走访、台账资料整理等；用于召开人居环境整治会议，人数79人，内容为各村（居）人居环境清洁、秸秆焚烧；年初预算培训费3.9万元，开支培训费3.9万元，用于开展镇党员冬春训培训，人数1000人，内容为党课培训；开展村级会计业务培训，人数51人，内容为学习财务规范管理、日常报账程序等；开展职业技能培训，人数230人，内容为学习茶艺、插花等各项技能；开展农民技能培训，人数240人，内容为农作物栽培技术、品种改良嫁接、农业机械化生产等。</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十二、关于政府采购支出说明</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本部门2020年度政府采购支出总额16.75万元，其中：政府采购货物支出16.75万元、政府采购工程支出0万元、政府采购服务支出0万元。授予中小企业合同金额16.75万元，占政府采购支出总额的100%，其中：授予小微企业合同金额16.75万元，占政府采购支出总额的100%。</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十三、关于国有资产占用情况说明</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截至2020年12月31日，本单位共有车辆1辆，其中，主要领导干部用车0辆，机要通信用车0辆、应急保障用车0辆、执法执勤用车0辆、特种专业技术用车0辆、其他用车1辆，其他用车主要是一般公务用车；单位价值50万元以上通用设备0台（套）；单位价值100万元以上专用设备0台（套）。</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十四、关于2020年度预算绩效情况的说明</w:t>
      </w:r>
    </w:p>
    <w:p>
      <w:pPr>
        <w:pStyle w:val="3"/>
        <w:shd w:val="clear" w:color="auto" w:fill="FFFFFF"/>
        <w:spacing w:before="0" w:beforeAutospacing="0" w:after="300" w:afterAutospacing="0"/>
        <w:ind w:firstLine="480"/>
        <w:rPr>
          <w:rFonts w:ascii="微软雅黑" w:hAnsi="微软雅黑" w:eastAsia="微软雅黑"/>
          <w:color w:val="FF0000"/>
        </w:rPr>
      </w:pPr>
      <w:r>
        <w:rPr>
          <w:rFonts w:hint="eastAsia" w:ascii="微软雅黑" w:hAnsi="微软雅黑" w:eastAsia="微软雅黑"/>
          <w:color w:val="FF0000"/>
        </w:rPr>
        <w:t>（1）预算绩效管理开展情况</w:t>
      </w:r>
    </w:p>
    <w:p>
      <w:pPr>
        <w:pStyle w:val="3"/>
        <w:shd w:val="clear" w:color="auto" w:fill="FFFFFF"/>
        <w:spacing w:before="0" w:beforeAutospacing="0" w:after="300" w:afterAutospacing="0"/>
        <w:ind w:firstLine="480"/>
        <w:rPr>
          <w:rFonts w:hint="eastAsia" w:ascii="微软雅黑" w:hAnsi="微软雅黑" w:eastAsia="微软雅黑"/>
          <w:color w:val="FF0000"/>
        </w:rPr>
      </w:pPr>
      <w:r>
        <w:rPr>
          <w:rFonts w:hint="eastAsia" w:ascii="微软雅黑" w:hAnsi="微软雅黑" w:eastAsia="微软雅黑"/>
          <w:color w:val="FF0000"/>
        </w:rPr>
        <w:t> 1、严格落实《预算法》及绩效管理的相关制度和规定，进一步规范和落实财政资金的专项管理，强化财政支出绩效理念，提高资金使用效益。</w:t>
      </w:r>
    </w:p>
    <w:p>
      <w:pPr>
        <w:pStyle w:val="3"/>
        <w:shd w:val="clear" w:color="auto" w:fill="FFFFFF"/>
        <w:spacing w:before="0" w:beforeAutospacing="0" w:after="300" w:afterAutospacing="0"/>
        <w:ind w:firstLine="480"/>
        <w:rPr>
          <w:rFonts w:hint="eastAsia" w:ascii="微软雅黑" w:hAnsi="微软雅黑" w:eastAsia="微软雅黑"/>
          <w:color w:val="FF0000"/>
        </w:rPr>
      </w:pPr>
      <w:r>
        <w:rPr>
          <w:rFonts w:hint="eastAsia" w:ascii="微软雅黑" w:hAnsi="微软雅黑" w:eastAsia="微软雅黑"/>
          <w:color w:val="FF0000"/>
        </w:rPr>
        <w:t>2、根据绩效评价的要求，单位高度重视，成立了自评工作领导小组，由分管财务负责人任组长，相关站所负责人为成员，积极开展绩效自评工作，按照绩效管理目标要求对照各实施项目的内容逐条逐项自评。在自评过程中，查找原因，及时纠正偏差，为下一步工作夯实基础。</w:t>
      </w:r>
    </w:p>
    <w:p>
      <w:pPr>
        <w:pStyle w:val="3"/>
        <w:shd w:val="clear" w:color="auto" w:fill="FFFFFF"/>
        <w:spacing w:before="0" w:beforeAutospacing="0" w:after="300" w:afterAutospacing="0"/>
        <w:ind w:firstLine="480"/>
        <w:rPr>
          <w:rFonts w:hint="eastAsia" w:ascii="微软雅黑" w:hAnsi="微软雅黑" w:eastAsia="微软雅黑"/>
          <w:color w:val="FF0000"/>
        </w:rPr>
      </w:pPr>
      <w:r>
        <w:rPr>
          <w:rFonts w:hint="eastAsia" w:ascii="微软雅黑" w:hAnsi="微软雅黑" w:eastAsia="微软雅黑"/>
          <w:color w:val="FF0000"/>
        </w:rPr>
        <w:t>（2）绩效目标：</w:t>
      </w:r>
    </w:p>
    <w:p>
      <w:pPr>
        <w:pStyle w:val="3"/>
        <w:shd w:val="clear" w:color="auto" w:fill="FFFFFF"/>
        <w:spacing w:before="150" w:beforeAutospacing="0" w:after="150" w:afterAutospacing="0" w:line="600" w:lineRule="atLeast"/>
        <w:ind w:firstLine="480"/>
        <w:rPr>
          <w:color w:val="FF0000"/>
        </w:rPr>
      </w:pPr>
      <w:r>
        <w:rPr>
          <w:rFonts w:hint="eastAsia"/>
          <w:color w:val="FF0000"/>
        </w:rPr>
        <w:t>(一)落实主体责任，形成工作合力。按照“谁主管、谁使用、谁负责”的原则，强化预算部门绩效管理的主体责任，将绩效目标、绩效监控、部门自评等绩效工具，作为提高资金使用效益的重要抓手;财政部门通过检查、督促、重点评价等方式进行监督管理。为了提高财政重点绩效评价的质量，我们将继续邀请部分专业领域的人大代表和政协委员共同参与,合谋共评。</w:t>
      </w:r>
    </w:p>
    <w:p>
      <w:pPr>
        <w:pStyle w:val="3"/>
        <w:shd w:val="clear" w:color="auto" w:fill="FFFFFF"/>
        <w:spacing w:before="150" w:beforeAutospacing="0" w:after="150" w:afterAutospacing="0" w:line="600" w:lineRule="atLeast"/>
        <w:ind w:firstLine="480"/>
        <w:rPr>
          <w:color w:val="FF0000"/>
        </w:rPr>
      </w:pPr>
      <w:r>
        <w:rPr>
          <w:rFonts w:hint="eastAsia"/>
          <w:color w:val="FF0000"/>
        </w:rPr>
        <w:t>(二)推动绩效管理提质扩面，将财政重点延伸到事前，推进全过程绩效管理。为了更紧密衔接预算，将财政绩效工作重点从事后延伸至预算编制前端。通过审核绩效目标来确定项目预算资金额度，并建立起不同年度间的可量化绩效目标数据对比，提高预算编审的科学性，结合项目库建设，进一步加大财政事前评审工作力度。围绕预算编制中的改革需求，以重要性为原则精选项目，组织专门力量进行集中评审，并将评审结果作为项目入库、预算安排的重要依据。</w:t>
      </w:r>
    </w:p>
    <w:p>
      <w:pPr>
        <w:pStyle w:val="3"/>
        <w:shd w:val="clear" w:color="auto" w:fill="FFFFFF"/>
        <w:spacing w:before="150" w:beforeAutospacing="0" w:after="150" w:afterAutospacing="0" w:line="600" w:lineRule="atLeast"/>
        <w:ind w:firstLine="480"/>
        <w:rPr>
          <w:color w:val="FF0000"/>
        </w:rPr>
      </w:pPr>
      <w:r>
        <w:rPr>
          <w:rFonts w:hint="eastAsia"/>
          <w:color w:val="FF0000"/>
        </w:rPr>
        <w:t>(三)加强评价结果应用，提高部门绩效监控和自评工作质量。对监控中预算无绩效、低绩效、达不到主要预期目标的项目，预算部门要及时将资金调剂用于其他有条件项目，加快支出进度;对自评开展较好的预算部门，将在今后预算安排时予以优先支持，对开展较差的项目将按规定停止拨款、调减预算。对未按规定开展绩效监控和单位自评的，由镇财政在一定范围内予以通报，并作为街道办对各部门绩效考核的重要依据。</w:t>
      </w:r>
    </w:p>
    <w:p>
      <w:pPr>
        <w:pStyle w:val="3"/>
        <w:shd w:val="clear" w:color="auto" w:fill="FFFFFF"/>
        <w:spacing w:before="150" w:beforeAutospacing="0" w:after="150" w:afterAutospacing="0" w:line="600" w:lineRule="atLeast"/>
        <w:ind w:firstLine="480"/>
        <w:rPr>
          <w:rFonts w:hint="eastAsia"/>
          <w:color w:val="FF0000"/>
        </w:rPr>
      </w:pPr>
      <w:r>
        <w:rPr>
          <w:rFonts w:hint="eastAsia"/>
          <w:color w:val="FF0000"/>
        </w:rPr>
        <w:t>(四)逐步公开，营造良好的社会氛围。绩效管理工作最终目标是打造一个透明高效的政府。逐步推动各预算单位将绩效目标、自评结果等在一定范围内公开。对一些社会关注度高、影响力大的民生项目和重点项目的绩效情况，将逐步依法向社会公开。通过在“阳光下”运行，提升绩效管理工作的质量和效果。</w:t>
      </w:r>
    </w:p>
    <w:p>
      <w:pPr>
        <w:pStyle w:val="3"/>
        <w:shd w:val="clear" w:color="auto" w:fill="FFFFFF"/>
        <w:spacing w:before="0" w:beforeAutospacing="0" w:after="300" w:afterAutospacing="0"/>
        <w:ind w:firstLine="480"/>
        <w:rPr>
          <w:rFonts w:hint="eastAsia" w:ascii="微软雅黑" w:hAnsi="微软雅黑" w:eastAsia="微软雅黑"/>
          <w:color w:val="FF0000"/>
        </w:rPr>
      </w:pPr>
      <w:r>
        <w:rPr>
          <w:rFonts w:hint="eastAsia" w:ascii="微软雅黑" w:hAnsi="微软雅黑" w:eastAsia="微软雅黑"/>
          <w:color w:val="FF0000"/>
        </w:rPr>
        <w:t>（3）绩效评价报告</w:t>
      </w:r>
    </w:p>
    <w:p>
      <w:pPr>
        <w:pStyle w:val="3"/>
        <w:shd w:val="clear" w:color="auto" w:fill="FFFFFF"/>
        <w:spacing w:before="0" w:beforeAutospacing="0" w:after="300" w:afterAutospacing="0"/>
        <w:ind w:firstLine="480"/>
        <w:rPr>
          <w:rFonts w:hint="eastAsia" w:ascii="微软雅黑" w:hAnsi="微软雅黑" w:eastAsia="微软雅黑"/>
          <w:color w:val="FF0000"/>
        </w:rPr>
      </w:pPr>
      <w:r>
        <w:rPr>
          <w:rFonts w:hint="eastAsia" w:ascii="微软雅黑" w:hAnsi="微软雅黑" w:eastAsia="微软雅黑"/>
          <w:color w:val="FF0000"/>
        </w:rPr>
        <w:t>（绩效评价报告见附件2）</w:t>
      </w:r>
    </w:p>
    <w:p>
      <w:pPr>
        <w:pStyle w:val="3"/>
        <w:shd w:val="clear" w:color="auto" w:fill="FFFFFF"/>
        <w:snapToGrid w:val="0"/>
        <w:spacing w:line="240" w:lineRule="atLeast"/>
        <w:ind w:firstLine="480"/>
        <w:contextualSpacing/>
        <w:rPr>
          <w:rFonts w:ascii="微软雅黑" w:hAnsi="微软雅黑" w:eastAsia="微软雅黑"/>
          <w:color w:val="FF0000"/>
        </w:rPr>
      </w:pPr>
    </w:p>
    <w:p>
      <w:pPr>
        <w:pStyle w:val="3"/>
        <w:shd w:val="clear" w:color="auto" w:fill="FFFFFF"/>
        <w:snapToGrid w:val="0"/>
        <w:spacing w:line="240" w:lineRule="atLeast"/>
        <w:ind w:firstLine="480"/>
        <w:contextualSpacing/>
        <w:jc w:val="center"/>
        <w:rPr>
          <w:rFonts w:ascii="微软雅黑" w:hAnsi="微软雅黑" w:eastAsia="微软雅黑"/>
          <w:color w:val="333333"/>
        </w:rPr>
      </w:pPr>
      <w:r>
        <w:rPr>
          <w:rFonts w:hint="eastAsia" w:ascii="微软雅黑" w:hAnsi="微软雅黑" w:eastAsia="微软雅黑"/>
          <w:color w:val="333333"/>
        </w:rPr>
        <w:t>第四部分     名词解释</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一、基本支出：指为保障机构正常运转、完成日常工作任务而发生的各项支出，包括人员支出和公用支出。  </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二、项目支出：指在基本支出以外为完成相关行政任务和事业发展目标所发生的各项支出。  </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三、“三公”经费：指通过财政拨款资金安排的因公出国（境）费、公务用车购置及运行费和公务接待费支出。  </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  </w:t>
      </w:r>
    </w:p>
    <w:p>
      <w:pPr>
        <w:pStyle w:val="3"/>
        <w:shd w:val="clear" w:color="auto" w:fill="FFFFFF"/>
        <w:snapToGrid w:val="0"/>
        <w:spacing w:line="240" w:lineRule="atLeast"/>
        <w:ind w:firstLine="480"/>
        <w:contextualSpacing/>
        <w:rPr>
          <w:rFonts w:ascii="微软雅黑" w:hAnsi="微软雅黑" w:eastAsia="微软雅黑"/>
          <w:color w:val="333333"/>
        </w:rPr>
      </w:pPr>
      <w:r>
        <w:rPr>
          <w:rFonts w:hint="eastAsia" w:ascii="微软雅黑" w:hAnsi="微软雅黑" w:eastAsia="微软雅黑"/>
          <w:color w:val="333333"/>
        </w:rPr>
        <w:t>五、农村综合改革：反映农村综合改革方面的支出，包括各级财政对村民委员会和村党支部的补助支出、对农村综合改革示范试点及新型农业社会化服务体系建设等补助支出以及其他用于农村综合改革方面的支出。</w:t>
      </w:r>
    </w:p>
    <w:p>
      <w:pPr>
        <w:snapToGrid w:val="0"/>
        <w:spacing w:before="100" w:beforeAutospacing="1" w:after="100" w:afterAutospacing="1" w:line="240" w:lineRule="atLeast"/>
        <w:contextualSpacing/>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7F13"/>
    <w:rsid w:val="000E3FA8"/>
    <w:rsid w:val="00163C5C"/>
    <w:rsid w:val="001F7278"/>
    <w:rsid w:val="00243B0E"/>
    <w:rsid w:val="004661D6"/>
    <w:rsid w:val="00521D8A"/>
    <w:rsid w:val="006460B6"/>
    <w:rsid w:val="006B6B32"/>
    <w:rsid w:val="006D5A66"/>
    <w:rsid w:val="00A00A38"/>
    <w:rsid w:val="00A17F13"/>
    <w:rsid w:val="00A34F9F"/>
    <w:rsid w:val="00B55987"/>
    <w:rsid w:val="00E15BA4"/>
    <w:rsid w:val="00E26AC3"/>
    <w:rsid w:val="00FD0599"/>
    <w:rsid w:val="6050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F5C6BC-F476-4A3A-A6CC-D740B6676B51}">
  <ds:schemaRefs/>
</ds:datastoreItem>
</file>

<file path=docProps/app.xml><?xml version="1.0" encoding="utf-8"?>
<Properties xmlns="http://schemas.openxmlformats.org/officeDocument/2006/extended-properties" xmlns:vt="http://schemas.openxmlformats.org/officeDocument/2006/docPropsVTypes">
  <Template>Normal</Template>
  <Pages>10</Pages>
  <Words>1207</Words>
  <Characters>6884</Characters>
  <Lines>57</Lines>
  <Paragraphs>16</Paragraphs>
  <TotalTime>108</TotalTime>
  <ScaleCrop>false</ScaleCrop>
  <LinksUpToDate>false</LinksUpToDate>
  <CharactersWithSpaces>8075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2022-06-16T07:21:00Z</dcterms:created>
  <dc:creator>Admin</dc:creator>
  <cp:lastModifiedBy>Administrator</cp:lastModifiedBy>
  <dcterms:modified xsi:type="dcterms:W3CDTF">2024-04-24T09:15:37Z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