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rPr>
          <w:rFonts w:ascii="Times New Roman" w:hAnsi="Times New Roman"/>
          <w:b/>
          <w:color w:val="222222"/>
          <w:kern w:val="0"/>
          <w:sz w:val="44"/>
          <w:szCs w:val="44"/>
        </w:rPr>
      </w:pPr>
      <w:r>
        <w:rPr>
          <w:rFonts w:ascii="Times New Roman" w:hAnsi="Times New Roman" w:eastAsia="仿宋_GB2312"/>
          <w:bCs/>
          <w:color w:val="222222"/>
          <w:kern w:val="0"/>
          <w:sz w:val="32"/>
          <w:szCs w:val="32"/>
        </w:rPr>
        <w:t>附件</w:t>
      </w:r>
      <w:r>
        <w:rPr>
          <w:rFonts w:hint="eastAsia" w:ascii="Times New Roman" w:hAnsi="Times New Roman" w:eastAsia="仿宋_GB2312"/>
          <w:bCs/>
          <w:color w:val="222222"/>
          <w:kern w:val="0"/>
          <w:sz w:val="32"/>
          <w:szCs w:val="32"/>
        </w:rPr>
        <w:t>2</w:t>
      </w:r>
      <w:r>
        <w:rPr>
          <w:rFonts w:ascii="Times New Roman" w:hAnsi="Times New Roman" w:eastAsia="仿宋_GB2312"/>
          <w:bCs/>
          <w:color w:val="222222"/>
          <w:kern w:val="0"/>
          <w:sz w:val="32"/>
          <w:szCs w:val="32"/>
        </w:rPr>
        <w:t>：</w:t>
      </w:r>
    </w:p>
    <w:p>
      <w:pPr>
        <w:spacing w:line="560" w:lineRule="exact"/>
        <w:jc w:val="center"/>
        <w:rPr>
          <w:rFonts w:ascii="Times New Roman" w:hAnsi="Times New Roman" w:eastAsia="方正小标宋_GBK"/>
          <w:b/>
          <w:kern w:val="0"/>
          <w:sz w:val="36"/>
          <w:szCs w:val="36"/>
        </w:rPr>
      </w:pPr>
    </w:p>
    <w:p>
      <w:pPr>
        <w:spacing w:line="560" w:lineRule="exact"/>
        <w:jc w:val="center"/>
        <w:rPr>
          <w:rFonts w:ascii="Times New Roman" w:hAnsi="Times New Roman" w:eastAsiaTheme="majorEastAsia"/>
          <w:b/>
          <w:kern w:val="0"/>
          <w:sz w:val="44"/>
          <w:szCs w:val="44"/>
        </w:rPr>
      </w:pPr>
      <w:r>
        <w:rPr>
          <w:rFonts w:ascii="Times New Roman" w:hAnsi="Times New Roman" w:eastAsiaTheme="majorEastAsia"/>
          <w:b/>
          <w:kern w:val="0"/>
          <w:sz w:val="44"/>
          <w:szCs w:val="44"/>
        </w:rPr>
        <w:t>20</w:t>
      </w:r>
      <w:r>
        <w:rPr>
          <w:rFonts w:hint="eastAsia" w:ascii="Times New Roman" w:hAnsi="Times New Roman" w:eastAsiaTheme="majorEastAsia"/>
          <w:b/>
          <w:kern w:val="0"/>
          <w:sz w:val="44"/>
          <w:szCs w:val="44"/>
        </w:rPr>
        <w:t>20</w:t>
      </w:r>
      <w:r>
        <w:rPr>
          <w:rFonts w:ascii="Times New Roman" w:hAnsi="Times New Roman" w:eastAsiaTheme="majorEastAsia"/>
          <w:b/>
          <w:kern w:val="0"/>
          <w:sz w:val="44"/>
          <w:szCs w:val="44"/>
        </w:rPr>
        <w:t>年度</w:t>
      </w:r>
      <w:r>
        <w:rPr>
          <w:rFonts w:hint="eastAsia" w:ascii="Times New Roman" w:hAnsi="Times New Roman" w:eastAsiaTheme="majorEastAsia"/>
          <w:b/>
          <w:kern w:val="0"/>
          <w:sz w:val="44"/>
          <w:szCs w:val="44"/>
        </w:rPr>
        <w:t>澧县盐井镇人民政府</w:t>
      </w:r>
    </w:p>
    <w:p>
      <w:pPr>
        <w:spacing w:line="560" w:lineRule="exact"/>
        <w:jc w:val="center"/>
        <w:rPr>
          <w:rFonts w:ascii="Times New Roman" w:hAnsi="Times New Roman" w:eastAsiaTheme="majorEastAsia"/>
          <w:b/>
          <w:kern w:val="0"/>
          <w:sz w:val="44"/>
          <w:szCs w:val="44"/>
        </w:rPr>
      </w:pPr>
      <w:r>
        <w:rPr>
          <w:rFonts w:ascii="Times New Roman" w:hAnsi="Times New Roman" w:eastAsiaTheme="majorEastAsia"/>
          <w:b/>
          <w:kern w:val="0"/>
          <w:sz w:val="44"/>
          <w:szCs w:val="44"/>
        </w:rPr>
        <w:t>部门整体支出绩效报告</w:t>
      </w:r>
    </w:p>
    <w:p>
      <w:pPr>
        <w:widowControl/>
        <w:spacing w:line="560" w:lineRule="exact"/>
        <w:ind w:firstLine="640"/>
        <w:rPr>
          <w:rFonts w:ascii="Times New Roman" w:hAnsi="Times New Roman" w:eastAsia="仿宋_GB2312"/>
          <w:color w:val="222222"/>
          <w:kern w:val="0"/>
          <w:sz w:val="32"/>
          <w:szCs w:val="32"/>
        </w:rPr>
      </w:pPr>
    </w:p>
    <w:p>
      <w:pPr>
        <w:widowControl/>
        <w:ind w:firstLine="640" w:firstLineChars="200"/>
        <w:rPr>
          <w:rFonts w:ascii="黑体" w:hAnsi="黑体" w:eastAsia="黑体" w:cs="黑体"/>
          <w:color w:val="222222"/>
          <w:kern w:val="0"/>
          <w:sz w:val="32"/>
          <w:szCs w:val="32"/>
        </w:rPr>
      </w:pPr>
      <w:r>
        <w:rPr>
          <w:rFonts w:hint="eastAsia" w:ascii="黑体" w:hAnsi="黑体" w:eastAsia="黑体" w:cs="黑体"/>
          <w:color w:val="222222"/>
          <w:kern w:val="0"/>
          <w:sz w:val="32"/>
          <w:szCs w:val="32"/>
        </w:rPr>
        <w:t>一、部门概况</w:t>
      </w:r>
    </w:p>
    <w:p>
      <w:pPr>
        <w:widowControl/>
        <w:spacing w:line="360" w:lineRule="auto"/>
        <w:ind w:firstLine="640" w:firstLineChars="200"/>
        <w:rPr>
          <w:rFonts w:ascii="Times New Roman" w:hAnsi="Times New Roman" w:eastAsia="仿宋_GB2312"/>
          <w:color w:val="222222"/>
          <w:kern w:val="0"/>
          <w:sz w:val="32"/>
          <w:szCs w:val="32"/>
        </w:rPr>
      </w:pPr>
      <w:r>
        <w:rPr>
          <w:rFonts w:ascii="Times New Roman" w:hAnsi="Times New Roman" w:eastAsia="仿宋_GB2312"/>
          <w:color w:val="222222"/>
          <w:kern w:val="0"/>
          <w:sz w:val="32"/>
          <w:szCs w:val="32"/>
        </w:rPr>
        <w:t>（一）机构、人员构成</w:t>
      </w:r>
    </w:p>
    <w:p>
      <w:pPr>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澧县盐井镇人民政府为独立核算的行政单位，属一级预算单位，执行政府会计制度。对镇党政内设机构统一设置为6个。即党政办公室、党建办公室、经济发展办公室、社会事务办公室、自然资源和生态环境办公室、社会治安和应急管理办公室。统一设置事业单位7个：农业和农村经营管理服务站、水利管理站、民政和社会保障站、综合文化站、安全生产监督管理站、退役军人服务站、综合行政执法队。</w:t>
      </w:r>
    </w:p>
    <w:p>
      <w:pPr>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2020年，我镇行政编制人数为43人，实有人数43人。2020年，我镇事业编制人数32人，实有人数32人。</w:t>
      </w:r>
      <w:r>
        <w:rPr>
          <w:rFonts w:ascii="仿宋" w:hAnsi="仿宋" w:eastAsia="仿宋"/>
          <w:sz w:val="32"/>
          <w:szCs w:val="32"/>
        </w:rPr>
        <w:t xml:space="preserve"> </w:t>
      </w:r>
    </w:p>
    <w:p>
      <w:pPr>
        <w:spacing w:line="360" w:lineRule="auto"/>
        <w:ind w:right="-512" w:rightChars="-244" w:firstLine="480" w:firstLineChars="150"/>
        <w:rPr>
          <w:rFonts w:ascii="Times New Roman" w:hAnsi="Times New Roman" w:eastAsia="仿宋_GB2312"/>
          <w:color w:val="222222"/>
          <w:kern w:val="0"/>
          <w:sz w:val="32"/>
          <w:szCs w:val="32"/>
        </w:rPr>
      </w:pPr>
      <w:r>
        <w:rPr>
          <w:rFonts w:ascii="Times New Roman" w:hAnsi="Times New Roman" w:eastAsia="仿宋_GB2312"/>
          <w:color w:val="222222"/>
          <w:kern w:val="0"/>
          <w:sz w:val="32"/>
          <w:szCs w:val="32"/>
        </w:rPr>
        <w:t>（二）单位主要职责</w:t>
      </w:r>
    </w:p>
    <w:p>
      <w:pPr>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1、加强党的建设。落实基层党建工作责任制，统筹全镇村（社区）区域化党建，加强非公有制经济组织和社会组织党建工作，实现党的组织和工作全覆盖。加强意识形态阵地及队伍建设。不断提高党的建设质量，落实管党治党责任，推动全面</w:t>
      </w:r>
      <w:r>
        <w:rPr>
          <w:rFonts w:hint="eastAsia" w:ascii="仿宋" w:hAnsi="仿宋" w:eastAsia="仿宋"/>
          <w:sz w:val="32"/>
          <w:szCs w:val="32"/>
          <w:lang w:val="en-US" w:eastAsia="zh-CN"/>
        </w:rPr>
        <w:t>从严</w:t>
      </w:r>
      <w:bookmarkStart w:id="0" w:name="_GoBack"/>
      <w:bookmarkEnd w:id="0"/>
      <w:r>
        <w:rPr>
          <w:rFonts w:hint="eastAsia" w:ascii="仿宋" w:hAnsi="仿宋" w:eastAsia="仿宋"/>
          <w:sz w:val="32"/>
          <w:szCs w:val="32"/>
        </w:rPr>
        <w:t>治党向基层延伸。</w:t>
      </w:r>
    </w:p>
    <w:p>
      <w:pPr>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2、统筹区域发展。参与拟订县级关于辖区发展的重大决策和建设规划并统筹落实，负责促进辖区经济建设，承担优化发展环境、采集企业信息、服务辖区企业、促进项目发展等工作。</w:t>
      </w:r>
    </w:p>
    <w:p>
      <w:pPr>
        <w:snapToGrid w:val="0"/>
        <w:spacing w:line="360" w:lineRule="auto"/>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组织公共服务。组织实施与村（居）民生活密切相关的各项公共服务事项，落实人力资源社会保障、民政、教育、科技、文化、体育、卫生健康、退役军人事务、村（居）民小区物业管理等领域相关法规政策。动员辖区内各类单位、社会组织、村（居）民等社会力量参与社会治理，为全镇发展服务。</w:t>
      </w:r>
    </w:p>
    <w:p>
      <w:pPr>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4、实施公共管理。负责辖区内生态环境保护、城镇管理、控违拆违、征地拆迁等综合性管理工作。</w:t>
      </w:r>
    </w:p>
    <w:p>
      <w:pPr>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5、维护公共安全。承担辖区内社会治安综合治理、平安建设、应急管理等有关工作，接待群众来信来访，反映社情民意，化解矛盾纠纷等。</w:t>
      </w:r>
    </w:p>
    <w:p>
      <w:pPr>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6、监督执法管理。对辖区内各类行政执法工作进行统筹协调，组织开展群众监督和社会监督。</w:t>
      </w:r>
    </w:p>
    <w:p>
      <w:pPr>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7、保障居民自治。指导村（居）委员会建设，健全村（居）民自治平台，组织村（居）民参与村（社区）建设、管理。</w:t>
      </w:r>
    </w:p>
    <w:p>
      <w:pPr>
        <w:widowControl/>
        <w:rPr>
          <w:rFonts w:ascii="黑体" w:hAnsi="黑体" w:eastAsia="黑体" w:cs="黑体"/>
          <w:color w:val="222222"/>
          <w:kern w:val="0"/>
          <w:sz w:val="32"/>
          <w:szCs w:val="32"/>
        </w:rPr>
      </w:pPr>
      <w:r>
        <w:rPr>
          <w:rFonts w:hint="eastAsia" w:ascii="黑体" w:hAnsi="黑体" w:eastAsia="黑体" w:cs="黑体"/>
          <w:color w:val="222222"/>
          <w:kern w:val="0"/>
          <w:sz w:val="32"/>
          <w:szCs w:val="32"/>
        </w:rPr>
        <w:t>二、部门财务情况</w:t>
      </w:r>
    </w:p>
    <w:p>
      <w:pPr>
        <w:pStyle w:val="127"/>
        <w:ind w:firstLine="640" w:firstLineChars="200"/>
        <w:jc w:val="both"/>
        <w:rPr>
          <w:rFonts w:ascii="Times New Roman" w:hAnsi="Times New Roman" w:eastAsia="仿宋_GB2312"/>
          <w:color w:val="222222"/>
          <w:sz w:val="32"/>
          <w:szCs w:val="32"/>
        </w:rPr>
      </w:pPr>
      <w:r>
        <w:rPr>
          <w:rFonts w:ascii="Times New Roman" w:hAnsi="Times New Roman" w:eastAsia="仿宋_GB2312"/>
          <w:color w:val="222222"/>
          <w:sz w:val="32"/>
          <w:szCs w:val="32"/>
        </w:rPr>
        <w:t>（一）部门整体支出情况</w:t>
      </w:r>
    </w:p>
    <w:p>
      <w:pPr>
        <w:pStyle w:val="127"/>
        <w:ind w:firstLine="480" w:firstLineChars="150"/>
        <w:jc w:val="both"/>
        <w:outlineLvl w:val="0"/>
        <w:rPr>
          <w:rFonts w:hint="eastAsia" w:ascii="微软雅黑" w:hAnsi="微软雅黑" w:eastAsia="微软雅黑"/>
          <w:color w:val="333333"/>
          <w:sz w:val="13"/>
          <w:szCs w:val="13"/>
          <w:shd w:val="clear" w:color="auto" w:fill="FFFFFF"/>
        </w:rPr>
      </w:pPr>
      <w:r>
        <w:rPr>
          <w:rFonts w:hint="eastAsia" w:ascii="仿宋" w:hAnsi="仿宋" w:eastAsia="仿宋"/>
          <w:color w:val="222222"/>
          <w:sz w:val="32"/>
          <w:szCs w:val="32"/>
        </w:rPr>
        <w:t>2020年度财政拨款支出2348.68万元，占本年支出合计的81.25%，与上年相比，财政拨款支出增加131.89万元，增长5.95%，主要是因为一是加大了农林水支出，二是加大了社会保障和就业支出。</w:t>
      </w:r>
    </w:p>
    <w:p>
      <w:pPr>
        <w:pStyle w:val="127"/>
        <w:jc w:val="both"/>
        <w:outlineLvl w:val="0"/>
        <w:rPr>
          <w:rFonts w:ascii="仿宋" w:hAnsi="仿宋" w:eastAsia="仿宋"/>
          <w:b/>
          <w:bCs/>
          <w:sz w:val="32"/>
          <w:szCs w:val="32"/>
        </w:rPr>
      </w:pPr>
      <w:r>
        <w:rPr>
          <w:rFonts w:ascii="仿宋" w:hAnsi="仿宋" w:eastAsia="仿宋"/>
          <w:color w:val="222222"/>
          <w:sz w:val="32"/>
          <w:szCs w:val="32"/>
        </w:rPr>
        <w:t>（二）部门预算收支决算情况</w:t>
      </w:r>
    </w:p>
    <w:p>
      <w:pPr>
        <w:pStyle w:val="127"/>
        <w:ind w:firstLine="640" w:firstLineChars="200"/>
        <w:jc w:val="both"/>
        <w:rPr>
          <w:rFonts w:hint="eastAsia" w:ascii="仿宋" w:hAnsi="仿宋" w:eastAsia="仿宋" w:cs="宋体"/>
          <w:sz w:val="32"/>
          <w:szCs w:val="32"/>
        </w:rPr>
      </w:pPr>
      <w:r>
        <w:rPr>
          <w:rFonts w:hint="eastAsia" w:ascii="仿宋" w:hAnsi="仿宋" w:eastAsia="仿宋" w:cs="宋体"/>
          <w:sz w:val="32"/>
          <w:szCs w:val="32"/>
        </w:rPr>
        <w:t>本年收入合计2880.72万元，其中：财政拨款收入2880.72万元，占100%；上级补助收入0万元，占0%；事业收入0万元，占0%；经营收入0万元，占0%；附属单位上缴收入0万元，占0%；其他收入0万元，占0%。</w:t>
      </w:r>
    </w:p>
    <w:p>
      <w:pPr>
        <w:pStyle w:val="127"/>
        <w:ind w:firstLine="640" w:firstLineChars="200"/>
        <w:jc w:val="both"/>
        <w:rPr>
          <w:rFonts w:ascii="Times New Roman" w:hAnsi="Times New Roman" w:eastAsia="仿宋_GB2312"/>
          <w:color w:val="222222"/>
          <w:sz w:val="32"/>
          <w:szCs w:val="32"/>
        </w:rPr>
      </w:pPr>
      <w:r>
        <w:rPr>
          <w:rFonts w:ascii="Times New Roman" w:hAnsi="Times New Roman" w:eastAsia="仿宋_GB2312"/>
          <w:color w:val="222222"/>
          <w:sz w:val="32"/>
          <w:szCs w:val="32"/>
        </w:rPr>
        <w:t>（三） “三公经费”支出使用和管理情况</w:t>
      </w:r>
    </w:p>
    <w:p>
      <w:pPr>
        <w:pStyle w:val="11"/>
        <w:shd w:val="clear" w:color="auto" w:fill="FFFFFF"/>
        <w:spacing w:before="0" w:beforeAutospacing="0" w:after="166" w:afterAutospacing="0"/>
        <w:ind w:firstLine="480"/>
        <w:rPr>
          <w:rFonts w:ascii="仿宋" w:hAnsi="仿宋" w:eastAsia="仿宋" w:cs="Times New Roman"/>
          <w:kern w:val="2"/>
          <w:sz w:val="32"/>
          <w:szCs w:val="32"/>
        </w:rPr>
      </w:pPr>
      <w:r>
        <w:rPr>
          <w:rFonts w:hint="eastAsia" w:ascii="仿宋" w:hAnsi="仿宋" w:eastAsia="仿宋" w:cs="Times New Roman"/>
          <w:kern w:val="2"/>
          <w:sz w:val="32"/>
          <w:szCs w:val="32"/>
        </w:rPr>
        <w:t>2020年度“三公”经费财政拨款支出决算中，公务接待费支出决算7.29万元，占60.8%,因公出国（境）费支出决算0万元，占0%,公务用车购置费及运行维护费支出决算4.7万元，占39.2%。其中：</w:t>
      </w:r>
    </w:p>
    <w:p>
      <w:pPr>
        <w:pStyle w:val="11"/>
        <w:shd w:val="clear" w:color="auto" w:fill="FFFFFF"/>
        <w:spacing w:before="0" w:beforeAutospacing="0" w:after="166" w:afterAutospacing="0"/>
        <w:ind w:firstLine="480"/>
        <w:rPr>
          <w:rFonts w:hint="eastAsia" w:ascii="仿宋" w:hAnsi="仿宋" w:eastAsia="仿宋" w:cs="Times New Roman"/>
          <w:kern w:val="2"/>
          <w:sz w:val="32"/>
          <w:szCs w:val="32"/>
        </w:rPr>
      </w:pPr>
      <w:r>
        <w:rPr>
          <w:rFonts w:hint="eastAsia" w:ascii="仿宋" w:hAnsi="仿宋" w:eastAsia="仿宋" w:cs="Times New Roman"/>
          <w:kern w:val="2"/>
          <w:sz w:val="32"/>
          <w:szCs w:val="32"/>
        </w:rPr>
        <w:t>1、因公出国（境）费支出决算为0万元，全年安排因公出国（境）团组0个，累计0人次。</w:t>
      </w:r>
    </w:p>
    <w:p>
      <w:pPr>
        <w:pStyle w:val="11"/>
        <w:shd w:val="clear" w:color="auto" w:fill="FFFFFF"/>
        <w:spacing w:before="0" w:beforeAutospacing="0" w:after="166" w:afterAutospacing="0"/>
        <w:ind w:firstLine="480"/>
        <w:rPr>
          <w:rFonts w:hint="eastAsia" w:ascii="仿宋" w:hAnsi="仿宋" w:eastAsia="仿宋" w:cs="Times New Roman"/>
          <w:kern w:val="2"/>
          <w:sz w:val="32"/>
          <w:szCs w:val="32"/>
        </w:rPr>
      </w:pPr>
      <w:r>
        <w:rPr>
          <w:rFonts w:hint="eastAsia" w:ascii="仿宋" w:hAnsi="仿宋" w:eastAsia="仿宋" w:cs="Times New Roman"/>
          <w:kern w:val="2"/>
          <w:sz w:val="32"/>
          <w:szCs w:val="32"/>
        </w:rPr>
        <w:t>2、公务接待费支出决算为7.29万元，全年共接待来访团组425个、来宾1510人次，主要是上级部门检查、招商引资发生的接待支出。</w:t>
      </w:r>
    </w:p>
    <w:p>
      <w:pPr>
        <w:pStyle w:val="11"/>
        <w:shd w:val="clear" w:color="auto" w:fill="FFFFFF"/>
        <w:spacing w:before="0" w:beforeAutospacing="0" w:after="166" w:afterAutospacing="0"/>
        <w:ind w:firstLine="480"/>
        <w:rPr>
          <w:rFonts w:hint="eastAsia" w:ascii="仿宋" w:hAnsi="仿宋" w:eastAsia="仿宋" w:cs="Times New Roman"/>
          <w:kern w:val="2"/>
          <w:sz w:val="32"/>
          <w:szCs w:val="32"/>
        </w:rPr>
      </w:pPr>
      <w:r>
        <w:rPr>
          <w:rFonts w:hint="eastAsia" w:ascii="仿宋" w:hAnsi="仿宋" w:eastAsia="仿宋" w:cs="Times New Roman"/>
          <w:kern w:val="2"/>
          <w:sz w:val="32"/>
          <w:szCs w:val="32"/>
        </w:rPr>
        <w:t>3、公务用车购置费及运行维护费支出决算为4.7万元，其中：公务用车购置费0万元,更新公务用车0辆。公务用车运行维护费4.7万元，主要是油费及维修费支出，截止2020年12月31日，我单位开支财政拨款的公务用车保有量为1辆。</w:t>
      </w:r>
    </w:p>
    <w:p>
      <w:pPr>
        <w:widowControl/>
        <w:ind w:firstLine="640" w:firstLineChars="200"/>
        <w:rPr>
          <w:rFonts w:ascii="黑体" w:hAnsi="黑体" w:eastAsia="黑体" w:cs="黑体"/>
          <w:color w:val="222222"/>
          <w:kern w:val="0"/>
          <w:sz w:val="32"/>
          <w:szCs w:val="32"/>
        </w:rPr>
      </w:pPr>
      <w:r>
        <w:rPr>
          <w:rFonts w:hint="eastAsia" w:ascii="黑体" w:hAnsi="黑体" w:eastAsia="黑体" w:cs="黑体"/>
          <w:color w:val="222222"/>
          <w:kern w:val="0"/>
          <w:sz w:val="32"/>
          <w:szCs w:val="32"/>
        </w:rPr>
        <w:t>三、部门绩效目标</w:t>
      </w:r>
    </w:p>
    <w:p>
      <w:pPr>
        <w:ind w:firstLine="640" w:firstLineChars="200"/>
        <w:rPr>
          <w:rFonts w:ascii="仿宋" w:hAnsi="仿宋" w:eastAsia="仿宋"/>
          <w:sz w:val="32"/>
          <w:szCs w:val="32"/>
        </w:rPr>
      </w:pPr>
      <w:r>
        <w:rPr>
          <w:rFonts w:hint="eastAsia" w:ascii="仿宋" w:hAnsi="仿宋" w:eastAsia="仿宋"/>
          <w:sz w:val="32"/>
          <w:szCs w:val="32"/>
        </w:rPr>
        <w:t>（一）贯彻执行上级的各项方针政策，抓好基层党建及脱贫工作，稳定和完善政府各项决策部署，加强农业基础设施建设，改善农业生产条件，确保各项工作目标任务圆满完成。</w:t>
      </w:r>
    </w:p>
    <w:p>
      <w:pPr>
        <w:ind w:firstLine="640" w:firstLineChars="200"/>
        <w:rPr>
          <w:rFonts w:ascii="仿宋" w:hAnsi="仿宋" w:eastAsia="仿宋"/>
          <w:sz w:val="32"/>
          <w:szCs w:val="32"/>
        </w:rPr>
      </w:pPr>
      <w:r>
        <w:rPr>
          <w:rFonts w:hint="eastAsia" w:ascii="仿宋" w:hAnsi="仿宋" w:eastAsia="仿宋"/>
          <w:sz w:val="32"/>
          <w:szCs w:val="32"/>
        </w:rPr>
        <w:t>（二）抓好本乡镇的行政事业单位和村级财务实行统一管理、集中核算、全面监督，负责农村医疗合作管理、社会养老保险、卫生整治、脱贫工作、等上级交办的其他各项工作任务。</w:t>
      </w:r>
    </w:p>
    <w:p>
      <w:pPr>
        <w:widowControl/>
        <w:rPr>
          <w:rFonts w:ascii="黑体" w:hAnsi="黑体" w:eastAsia="黑体" w:cs="黑体"/>
          <w:color w:val="222222"/>
          <w:kern w:val="0"/>
          <w:sz w:val="32"/>
          <w:szCs w:val="32"/>
        </w:rPr>
      </w:pPr>
      <w:r>
        <w:rPr>
          <w:rFonts w:hint="eastAsia" w:ascii="黑体" w:hAnsi="黑体" w:eastAsia="黑体" w:cs="黑体"/>
          <w:color w:val="222222"/>
          <w:kern w:val="0"/>
          <w:sz w:val="32"/>
          <w:szCs w:val="32"/>
        </w:rPr>
        <w:t>四、绩效评价工作情况</w:t>
      </w:r>
    </w:p>
    <w:p>
      <w:pPr>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（一）严格落实《预算法》及主管部门绩效管理的相关制度和规定，进一步规范和落实财政资金的专项管理，强化财政支出绩效理念，提高资金使用效益。</w:t>
      </w:r>
    </w:p>
    <w:p>
      <w:pPr>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二）根据绩效评价的要求，本单位领导高度重视，成立了自评工作领导小组，由镇长任组长，相关干部为成员，积极开展绩效自评工作，按照绩效管理目标要求对照各实施项目的内容逐条逐项自评。在自评过程中，查找原因，及时纠正偏差，为下一步工作夯实基础。</w:t>
      </w:r>
    </w:p>
    <w:p>
      <w:pPr>
        <w:rPr>
          <w:rFonts w:ascii="黑体" w:hAnsi="黑体" w:eastAsia="黑体" w:cs="黑体"/>
          <w:color w:val="000000"/>
          <w:sz w:val="32"/>
          <w:szCs w:val="32"/>
        </w:rPr>
      </w:pPr>
      <w:r>
        <w:rPr>
          <w:rFonts w:hint="eastAsia" w:ascii="黑体" w:hAnsi="黑体" w:eastAsia="黑体" w:cs="黑体"/>
          <w:color w:val="000000"/>
          <w:sz w:val="32"/>
          <w:szCs w:val="32"/>
        </w:rPr>
        <w:t>五、综合评价结果</w:t>
      </w:r>
    </w:p>
    <w:p>
      <w:pPr>
        <w:spacing w:line="576"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（一）战疫情、扶企业、稳经济。</w:t>
      </w:r>
    </w:p>
    <w:p>
      <w:pPr>
        <w:spacing w:line="576"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全面落实疫情防控各项措施。对高风险地区返（来）涔人员进行彻查彻排，严防输入扩散，营造全镇上下同呼吸、共命运，全民发动、全员参战、全社会积极支持，共同抗疫的良好社会氛围；强化组织领导、强化舆论宣传、强化措施管控、强化网格管理、强化物资保证。在此基础上，全镇统筹推进疫情防控和经济社会发展工作，全面规范企业复工复产，持续做好学校复学防控，做到常态化疫情防控与经济发展同步进行。</w:t>
      </w:r>
    </w:p>
    <w:p>
      <w:pPr>
        <w:widowControl/>
        <w:spacing w:line="576" w:lineRule="exact"/>
        <w:ind w:right="105" w:rightChars="50"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（二）补短板、强落实、迎脱贫。</w:t>
      </w:r>
    </w:p>
    <w:p>
      <w:pPr>
        <w:widowControl/>
        <w:spacing w:line="576" w:lineRule="exact"/>
        <w:ind w:right="105" w:rightChars="50"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围绕“两不愁三保障”，补齐住房、医疗、教育、安全饮水短板。重点排查摸底“六类对象”，开展住房安全、饮水安全等问题清零行动。积极帮助外出务工人员返岗就业；开发公益性岗位，解决贫困人口居家灵活就业。持续紧盯中央专项巡视“回头看”反馈问题、</w:t>
      </w:r>
      <w:r>
        <w:rPr>
          <w:rFonts w:ascii="仿宋" w:hAnsi="仿宋" w:eastAsia="仿宋"/>
          <w:color w:val="000000"/>
          <w:kern w:val="0"/>
          <w:sz w:val="32"/>
          <w:szCs w:val="32"/>
        </w:rPr>
        <w:t>2019</w:t>
      </w:r>
      <w:r>
        <w:rPr>
          <w:rFonts w:hint="eastAsia" w:ascii="仿宋" w:hAnsi="仿宋" w:eastAsia="仿宋"/>
          <w:color w:val="000000"/>
          <w:kern w:val="0"/>
          <w:sz w:val="32"/>
          <w:szCs w:val="32"/>
        </w:rPr>
        <w:t>年脱贫攻坚成效考核反馈问题以及其他问题整改工作，把跟踪督查贯穿问题整改全过程，确保整改到位。顺利通过省脱贫攻坚实地考核。</w:t>
      </w:r>
      <w:r>
        <w:rPr>
          <w:rFonts w:ascii="仿宋" w:hAnsi="仿宋" w:eastAsia="仿宋"/>
          <w:color w:val="000000"/>
          <w:kern w:val="0"/>
          <w:sz w:val="32"/>
          <w:szCs w:val="32"/>
        </w:rPr>
        <w:t xml:space="preserve"> </w:t>
      </w:r>
    </w:p>
    <w:p>
      <w:pPr>
        <w:widowControl/>
        <w:spacing w:line="576" w:lineRule="exact"/>
        <w:ind w:right="105" w:rightChars="50"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（四）核心产业逐步增强。</w:t>
      </w:r>
    </w:p>
    <w:p>
      <w:pPr>
        <w:widowControl/>
        <w:spacing w:line="576" w:lineRule="exact"/>
        <w:ind w:right="105" w:rightChars="50"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盐井镇立足区位优势、坚持问题导向、创新工作方式、凝聚内生动力，农业工作取得了可喜成效。</w:t>
      </w:r>
    </w:p>
    <w:p>
      <w:pPr>
        <w:widowControl/>
        <w:spacing w:line="576" w:lineRule="exact"/>
        <w:ind w:right="105" w:rightChars="50"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（五）持续优化人居环境</w:t>
      </w:r>
    </w:p>
    <w:p>
      <w:pPr>
        <w:widowControl/>
        <w:spacing w:line="576" w:lineRule="exact"/>
        <w:ind w:right="105" w:rightChars="50"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秸秆禁烧工作成效显著。各村（社区）配备灭火器材、宣传喇叭，实行干部包片到户制度，强化禁烧巡查检查，充分利用蓝天卫士平台，加强后台监控，对焚烧的违法行为坚决给予查处；城镇面貌得到有效改观。规范农贸市场经营管理，扩充城管力量，进行违建管控，实行农民建房审批制；保质保量完成全镇农村改厕工作；提升集镇品味和形象，定期开展 “人居环境集中整治”等活动，农村人居环境得到进一步改善。</w:t>
      </w:r>
    </w:p>
    <w:p>
      <w:pPr>
        <w:widowControl/>
        <w:spacing w:line="576" w:lineRule="exact"/>
        <w:ind w:right="105" w:rightChars="50"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（六）各项事业有序开展。</w:t>
      </w:r>
    </w:p>
    <w:p>
      <w:pPr>
        <w:widowControl/>
        <w:spacing w:line="576" w:lineRule="exact"/>
        <w:ind w:right="105" w:rightChars="50"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进一步理顺了河长制管理组织机构和责任体系，集中开展安全生产大检查、百日攻坚等行动，全年未发生一起重大以上安全事故，热情接待来访群众，尽力解决群众诉求。</w:t>
      </w:r>
      <w:r>
        <w:rPr>
          <w:rFonts w:ascii="仿宋" w:hAnsi="仿宋" w:eastAsia="仿宋"/>
          <w:color w:val="000000"/>
          <w:kern w:val="0"/>
          <w:sz w:val="32"/>
          <w:szCs w:val="32"/>
        </w:rPr>
        <w:t xml:space="preserve"> </w:t>
      </w:r>
    </w:p>
    <w:p>
      <w:pPr>
        <w:spacing w:line="576"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二、2020年</w:t>
      </w:r>
      <w:r>
        <w:rPr>
          <w:rFonts w:hint="eastAsia" w:ascii="仿宋" w:hAnsi="仿宋" w:eastAsia="仿宋" w:cs="黑体"/>
          <w:color w:val="000000" w:themeColor="text1"/>
          <w:sz w:val="32"/>
          <w:szCs w:val="32"/>
        </w:rPr>
        <w:t>中心</w:t>
      </w:r>
      <w:r>
        <w:rPr>
          <w:rFonts w:hint="eastAsia" w:ascii="仿宋" w:hAnsi="仿宋" w:eastAsia="仿宋"/>
          <w:color w:val="000000" w:themeColor="text1"/>
          <w:sz w:val="32"/>
          <w:szCs w:val="32"/>
        </w:rPr>
        <w:t>工作情况</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一年来，我镇党委政府，紧紧围绕县委、县政府的部署和要求，坚持稳中求进工作总基调，团结和带领全镇广大党员干部，众志成城，坚决打赢疫情防控阻击战， 2020年农业农村各项工作也取得较好成绩。</w:t>
      </w:r>
    </w:p>
    <w:p>
      <w:pPr>
        <w:pStyle w:val="125"/>
        <w:numPr>
          <w:ilvl w:val="0"/>
          <w:numId w:val="1"/>
        </w:numPr>
        <w:snapToGrid w:val="0"/>
        <w:spacing w:line="520" w:lineRule="exact"/>
        <w:ind w:firstLineChars="0"/>
        <w:rPr>
          <w:rFonts w:ascii="仿宋_GB2312" w:hAnsi="仿宋" w:eastAsia="仿宋_GB2312"/>
          <w:sz w:val="32"/>
          <w:szCs w:val="32"/>
        </w:rPr>
      </w:pPr>
      <w:r>
        <w:rPr>
          <w:rFonts w:hint="eastAsia" w:ascii="仿宋_GB2312" w:hAnsi="仿宋" w:eastAsia="仿宋_GB2312"/>
          <w:sz w:val="32"/>
          <w:szCs w:val="32"/>
        </w:rPr>
        <w:t>疫情防控取得阶段性成果。</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全镇上下同呼吸、共命运，全民发动、全员参战、全社会积极支持，强化组织领导、强化舆论宣传、强化措施管控、强化网格管理、强化物资保证，共打一场“疫情防控阻击战”，实现了“零感染”“零发病”的目标。</w:t>
      </w:r>
    </w:p>
    <w:p>
      <w:pPr>
        <w:numPr>
          <w:ilvl w:val="0"/>
          <w:numId w:val="1"/>
        </w:numPr>
        <w:snapToGrid w:val="0"/>
        <w:spacing w:line="520" w:lineRule="exact"/>
        <w:ind w:left="0" w:firstLine="640" w:firstLineChars="200"/>
        <w:rPr>
          <w:rFonts w:ascii="仿宋_GB2312" w:hAnsi="仿宋" w:eastAsia="仿宋_GB2312"/>
          <w:sz w:val="32"/>
          <w:szCs w:val="32"/>
        </w:rPr>
      </w:pPr>
      <w:r>
        <w:rPr>
          <w:rFonts w:hint="eastAsia" w:ascii="仿宋_GB2312" w:hAnsi="仿宋" w:eastAsia="仿宋_GB2312"/>
          <w:sz w:val="32"/>
          <w:szCs w:val="32"/>
        </w:rPr>
        <w:t>脱贫攻坚工作成效明显。</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我镇脱贫攻坚工作紧紧围绕“两不愁三保障一达标”关键指标，依托产业扶贫、就业扶贫、健康扶贫、教育扶贫、金融扶贫、社会扶贫、危房改造、社会保障兜底、基础设施建设等“十大工程”建设为抓手，创新工作思路，突出重点、多措并举，认真组织实施脱贫攻坚各类工程，扎实有效开展脱贫攻坚工作。</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（三）农村人居环境持续改善。</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一是开展环境集中整治。对全镇16个村（社区）实施绿化、美化，种植树苗。全面动员，开展国省道专项整治提质行动，澧北干道沿线整改成效显著。二是落实秸秆禁烧及综合利用工作。启动全面摸排、包保到户、定点核查，对于全镇范围内所有秸秆登记造册，实行精准销号。</w:t>
      </w:r>
    </w:p>
    <w:p>
      <w:pPr>
        <w:numPr>
          <w:ilvl w:val="0"/>
          <w:numId w:val="1"/>
        </w:numPr>
        <w:snapToGrid w:val="0"/>
        <w:spacing w:line="520" w:lineRule="exact"/>
        <w:ind w:left="0" w:firstLine="640" w:firstLineChars="200"/>
        <w:rPr>
          <w:rFonts w:ascii="仿宋_GB2312" w:hAnsi="仿宋" w:eastAsia="仿宋_GB2312"/>
          <w:sz w:val="32"/>
          <w:szCs w:val="32"/>
        </w:rPr>
      </w:pPr>
      <w:r>
        <w:rPr>
          <w:rFonts w:hint="eastAsia" w:ascii="仿宋_GB2312" w:hAnsi="仿宋" w:eastAsia="仿宋_GB2312"/>
          <w:sz w:val="32"/>
          <w:szCs w:val="32"/>
        </w:rPr>
        <w:t>农业工作成效明显。</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以扶持优质稻种植专业合作社为依托，积极发展优质稻种植产业。通过农业产业调整升级、产业融合，以点带面，推进土地向大户流转，盘活土地资源。为稳固粮食产量发展,全镇发动农户种植早稻,带动全镇人民发展经济，有效提高群众生活水平。</w:t>
      </w:r>
    </w:p>
    <w:p>
      <w:pPr>
        <w:numPr>
          <w:ilvl w:val="0"/>
          <w:numId w:val="1"/>
        </w:numPr>
        <w:snapToGrid w:val="0"/>
        <w:spacing w:line="520" w:lineRule="exact"/>
        <w:ind w:left="0" w:firstLine="640" w:firstLineChars="200"/>
        <w:rPr>
          <w:rFonts w:ascii="仿宋_GB2312" w:hAnsi="仿宋" w:eastAsia="仿宋_GB2312"/>
          <w:sz w:val="32"/>
          <w:szCs w:val="32"/>
        </w:rPr>
      </w:pPr>
      <w:r>
        <w:rPr>
          <w:rFonts w:hint="eastAsia" w:ascii="仿宋_GB2312" w:hAnsi="仿宋" w:eastAsia="仿宋_GB2312"/>
          <w:sz w:val="32"/>
          <w:szCs w:val="32"/>
        </w:rPr>
        <w:t>民生事业持续改善。</w:t>
      </w:r>
    </w:p>
    <w:p>
      <w:pPr>
        <w:widowControl/>
        <w:ind w:firstLine="640" w:firstLineChars="200"/>
        <w:rPr>
          <w:rFonts w:ascii="仿宋" w:hAnsi="仿宋" w:eastAsia="仿宋" w:cs="黑体"/>
          <w:color w:val="000000"/>
          <w:sz w:val="32"/>
          <w:szCs w:val="32"/>
        </w:rPr>
      </w:pPr>
      <w:r>
        <w:rPr>
          <w:rFonts w:hint="eastAsia" w:ascii="仿宋_GB2312" w:hAnsi="仿宋" w:eastAsia="仿宋_GB2312"/>
          <w:sz w:val="32"/>
          <w:szCs w:val="32"/>
        </w:rPr>
        <w:t>重度残疾人护理补贴和生活补贴的申报、系统录入、管理。所有补贴人员都已经录入系统，都建立了包保制度，定期探望，随时监护，确保他们的生活无忧及身体健康。疫情期间，建立低保户、特困人员、孤寡老人、重度残疾人照料包保责任制。积极组织开展第七次人口普查工作，多维宣传，依法普查，做好前期发动工作。积极推进电力、电信、交通等各项事业协调发展</w:t>
      </w:r>
    </w:p>
    <w:p>
      <w:pPr>
        <w:spacing w:line="560" w:lineRule="exact"/>
        <w:jc w:val="center"/>
        <w:rPr>
          <w:rFonts w:ascii="仿宋" w:hAnsi="仿宋" w:eastAsia="仿宋"/>
          <w:b/>
          <w:bCs/>
          <w:kern w:val="0"/>
          <w:sz w:val="32"/>
          <w:szCs w:val="32"/>
        </w:rPr>
      </w:pPr>
      <w:r>
        <w:rPr>
          <w:rFonts w:hint="eastAsia" w:ascii="仿宋" w:hAnsi="仿宋" w:eastAsia="仿宋" w:cs="宋体"/>
          <w:b/>
          <w:bCs/>
          <w:kern w:val="0"/>
          <w:sz w:val="32"/>
          <w:szCs w:val="32"/>
        </w:rPr>
        <w:t>部门整体支出绩效评价指标表</w:t>
      </w:r>
    </w:p>
    <w:p>
      <w:pPr>
        <w:spacing w:line="560" w:lineRule="exact"/>
        <w:jc w:val="center"/>
        <w:rPr>
          <w:rFonts w:ascii="仿宋" w:hAnsi="仿宋" w:eastAsia="仿宋"/>
          <w:kern w:val="0"/>
          <w:sz w:val="32"/>
          <w:szCs w:val="32"/>
        </w:rPr>
      </w:pPr>
    </w:p>
    <w:tbl>
      <w:tblPr>
        <w:tblStyle w:val="12"/>
        <w:tblW w:w="10771" w:type="dxa"/>
        <w:jc w:val="center"/>
        <w:tblLayout w:type="fixed"/>
        <w:tblCellMar>
          <w:top w:w="0" w:type="dxa"/>
          <w:left w:w="108" w:type="dxa"/>
          <w:bottom w:w="0" w:type="dxa"/>
          <w:right w:w="108" w:type="dxa"/>
        </w:tblCellMar>
      </w:tblPr>
      <w:tblGrid>
        <w:gridCol w:w="678"/>
        <w:gridCol w:w="516"/>
        <w:gridCol w:w="659"/>
        <w:gridCol w:w="516"/>
        <w:gridCol w:w="1074"/>
        <w:gridCol w:w="516"/>
        <w:gridCol w:w="2878"/>
        <w:gridCol w:w="3312"/>
        <w:gridCol w:w="622"/>
      </w:tblGrid>
      <w:tr>
        <w:tblPrEx>
          <w:tblCellMar>
            <w:top w:w="0" w:type="dxa"/>
            <w:left w:w="108" w:type="dxa"/>
            <w:bottom w:w="0" w:type="dxa"/>
            <w:right w:w="108" w:type="dxa"/>
          </w:tblCellMar>
        </w:tblPrEx>
        <w:trPr>
          <w:tblHeader/>
          <w:jc w:val="center"/>
        </w:trPr>
        <w:tc>
          <w:tcPr>
            <w:tcW w:w="67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kern w:val="0"/>
                <w:sz w:val="24"/>
                <w:szCs w:val="24"/>
              </w:rPr>
            </w:pPr>
            <w:r>
              <w:rPr>
                <w:rFonts w:hint="eastAsia" w:ascii="宋体" w:hAnsi="宋体" w:cs="宋体"/>
                <w:kern w:val="0"/>
                <w:sz w:val="24"/>
                <w:szCs w:val="24"/>
              </w:rPr>
              <w:t>一级指标</w:t>
            </w:r>
          </w:p>
        </w:tc>
        <w:tc>
          <w:tcPr>
            <w:tcW w:w="516"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hAnsi="宋体"/>
                <w:kern w:val="0"/>
                <w:sz w:val="24"/>
                <w:szCs w:val="24"/>
              </w:rPr>
            </w:pPr>
            <w:r>
              <w:rPr>
                <w:rFonts w:hint="eastAsia" w:ascii="宋体" w:hAnsi="宋体" w:cs="宋体"/>
                <w:kern w:val="0"/>
                <w:sz w:val="24"/>
                <w:szCs w:val="24"/>
              </w:rPr>
              <w:t>分值</w:t>
            </w:r>
          </w:p>
        </w:tc>
        <w:tc>
          <w:tcPr>
            <w:tcW w:w="659"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hAnsi="宋体"/>
                <w:kern w:val="0"/>
                <w:sz w:val="24"/>
                <w:szCs w:val="24"/>
              </w:rPr>
            </w:pPr>
            <w:r>
              <w:rPr>
                <w:rFonts w:hint="eastAsia" w:ascii="宋体" w:hAnsi="宋体" w:cs="宋体"/>
                <w:kern w:val="0"/>
                <w:sz w:val="24"/>
                <w:szCs w:val="24"/>
              </w:rPr>
              <w:t>二级指标</w:t>
            </w:r>
          </w:p>
        </w:tc>
        <w:tc>
          <w:tcPr>
            <w:tcW w:w="516"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hAnsi="宋体"/>
                <w:kern w:val="0"/>
                <w:sz w:val="24"/>
                <w:szCs w:val="24"/>
              </w:rPr>
            </w:pPr>
            <w:r>
              <w:rPr>
                <w:rFonts w:hint="eastAsia" w:ascii="宋体" w:hAnsi="宋体" w:cs="宋体"/>
                <w:kern w:val="0"/>
                <w:sz w:val="24"/>
                <w:szCs w:val="24"/>
              </w:rPr>
              <w:t>分值</w:t>
            </w:r>
          </w:p>
        </w:tc>
        <w:tc>
          <w:tcPr>
            <w:tcW w:w="1074"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hAnsi="宋体"/>
                <w:kern w:val="0"/>
                <w:sz w:val="24"/>
                <w:szCs w:val="24"/>
              </w:rPr>
            </w:pPr>
            <w:r>
              <w:rPr>
                <w:rFonts w:hint="eastAsia" w:ascii="宋体" w:hAnsi="宋体" w:cs="宋体"/>
                <w:kern w:val="0"/>
                <w:sz w:val="24"/>
                <w:szCs w:val="24"/>
              </w:rPr>
              <w:t>三级</w:t>
            </w:r>
          </w:p>
          <w:p>
            <w:pPr>
              <w:widowControl/>
              <w:spacing w:line="300" w:lineRule="exact"/>
              <w:jc w:val="center"/>
              <w:rPr>
                <w:rFonts w:ascii="宋体" w:hAnsi="宋体"/>
                <w:kern w:val="0"/>
                <w:sz w:val="24"/>
                <w:szCs w:val="24"/>
              </w:rPr>
            </w:pPr>
            <w:r>
              <w:rPr>
                <w:rFonts w:hint="eastAsia" w:ascii="宋体" w:hAnsi="宋体" w:cs="宋体"/>
                <w:kern w:val="0"/>
                <w:sz w:val="24"/>
                <w:szCs w:val="24"/>
              </w:rPr>
              <w:t>指标</w:t>
            </w:r>
          </w:p>
        </w:tc>
        <w:tc>
          <w:tcPr>
            <w:tcW w:w="516"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hAnsi="宋体"/>
                <w:kern w:val="0"/>
                <w:sz w:val="24"/>
                <w:szCs w:val="24"/>
              </w:rPr>
            </w:pPr>
            <w:r>
              <w:rPr>
                <w:rFonts w:hint="eastAsia" w:ascii="宋体" w:hAnsi="宋体" w:cs="宋体"/>
                <w:kern w:val="0"/>
                <w:sz w:val="24"/>
                <w:szCs w:val="24"/>
              </w:rPr>
              <w:t>分值</w:t>
            </w:r>
          </w:p>
        </w:tc>
        <w:tc>
          <w:tcPr>
            <w:tcW w:w="2878"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hAnsi="宋体"/>
                <w:kern w:val="0"/>
                <w:sz w:val="24"/>
                <w:szCs w:val="24"/>
              </w:rPr>
            </w:pPr>
            <w:r>
              <w:rPr>
                <w:rFonts w:hint="eastAsia" w:ascii="宋体" w:hAnsi="宋体" w:cs="宋体"/>
                <w:kern w:val="0"/>
                <w:sz w:val="24"/>
                <w:szCs w:val="24"/>
              </w:rPr>
              <w:t>评价标准</w:t>
            </w:r>
          </w:p>
        </w:tc>
        <w:tc>
          <w:tcPr>
            <w:tcW w:w="3312"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hAnsi="宋体"/>
                <w:kern w:val="0"/>
                <w:sz w:val="24"/>
                <w:szCs w:val="24"/>
              </w:rPr>
            </w:pPr>
            <w:r>
              <w:rPr>
                <w:rFonts w:hint="eastAsia" w:ascii="宋体" w:hAnsi="宋体" w:cs="宋体"/>
                <w:kern w:val="0"/>
                <w:sz w:val="24"/>
                <w:szCs w:val="24"/>
              </w:rPr>
              <w:t>指标说明</w:t>
            </w:r>
          </w:p>
        </w:tc>
        <w:tc>
          <w:tcPr>
            <w:tcW w:w="622"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hAnsi="宋体"/>
                <w:kern w:val="0"/>
                <w:sz w:val="24"/>
                <w:szCs w:val="24"/>
              </w:rPr>
            </w:pPr>
            <w:r>
              <w:rPr>
                <w:rFonts w:hint="eastAsia" w:ascii="宋体" w:hAnsi="宋体" w:cs="宋体"/>
                <w:kern w:val="0"/>
                <w:sz w:val="24"/>
                <w:szCs w:val="24"/>
              </w:rPr>
              <w:t>得分</w:t>
            </w:r>
          </w:p>
        </w:tc>
      </w:tr>
      <w:tr>
        <w:tblPrEx>
          <w:tblCellMar>
            <w:top w:w="0" w:type="dxa"/>
            <w:left w:w="108" w:type="dxa"/>
            <w:bottom w:w="0" w:type="dxa"/>
            <w:right w:w="108" w:type="dxa"/>
          </w:tblCellMar>
        </w:tblPrEx>
        <w:trPr>
          <w:trHeight w:val="1814" w:hRule="atLeast"/>
          <w:jc w:val="center"/>
        </w:trPr>
        <w:tc>
          <w:tcPr>
            <w:tcW w:w="678"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rFonts w:ascii="宋体" w:hAnsi="宋体"/>
                <w:kern w:val="0"/>
                <w:sz w:val="24"/>
                <w:szCs w:val="24"/>
              </w:rPr>
            </w:pPr>
            <w:r>
              <w:rPr>
                <w:rFonts w:hint="eastAsia" w:ascii="宋体" w:hAnsi="宋体" w:cs="宋体"/>
                <w:kern w:val="0"/>
                <w:sz w:val="24"/>
                <w:szCs w:val="24"/>
              </w:rPr>
              <w:t>投入</w:t>
            </w:r>
          </w:p>
        </w:tc>
        <w:tc>
          <w:tcPr>
            <w:tcW w:w="516" w:type="dxa"/>
            <w:vMerge w:val="restart"/>
            <w:tcBorders>
              <w:top w:val="nil"/>
              <w:left w:val="single" w:color="auto" w:sz="4" w:space="0"/>
              <w:bottom w:val="single" w:color="000000" w:sz="4" w:space="0"/>
              <w:right w:val="single" w:color="auto" w:sz="4" w:space="0"/>
            </w:tcBorders>
            <w:vAlign w:val="center"/>
          </w:tcPr>
          <w:p>
            <w:pPr>
              <w:widowControl/>
              <w:spacing w:line="300" w:lineRule="exact"/>
              <w:jc w:val="center"/>
              <w:rPr>
                <w:rFonts w:ascii="宋体" w:hAnsi="宋体"/>
                <w:kern w:val="0"/>
                <w:sz w:val="24"/>
                <w:szCs w:val="24"/>
              </w:rPr>
            </w:pPr>
            <w:r>
              <w:rPr>
                <w:rFonts w:ascii="宋体" w:hAnsi="宋体" w:cs="宋体"/>
                <w:kern w:val="0"/>
                <w:sz w:val="24"/>
                <w:szCs w:val="24"/>
              </w:rPr>
              <w:t>13</w:t>
            </w:r>
          </w:p>
        </w:tc>
        <w:tc>
          <w:tcPr>
            <w:tcW w:w="659" w:type="dxa"/>
            <w:vMerge w:val="restart"/>
            <w:tcBorders>
              <w:top w:val="nil"/>
              <w:left w:val="nil"/>
              <w:bottom w:val="single" w:color="auto" w:sz="4" w:space="0"/>
              <w:right w:val="single" w:color="auto" w:sz="4" w:space="0"/>
            </w:tcBorders>
            <w:vAlign w:val="center"/>
          </w:tcPr>
          <w:p>
            <w:pPr>
              <w:widowControl/>
              <w:spacing w:line="300" w:lineRule="exact"/>
              <w:jc w:val="center"/>
              <w:rPr>
                <w:rFonts w:ascii="宋体" w:hAnsi="宋体"/>
                <w:kern w:val="0"/>
                <w:sz w:val="24"/>
                <w:szCs w:val="24"/>
              </w:rPr>
            </w:pPr>
            <w:r>
              <w:rPr>
                <w:rFonts w:hint="eastAsia" w:ascii="宋体" w:hAnsi="宋体" w:cs="宋体"/>
                <w:kern w:val="0"/>
                <w:sz w:val="24"/>
                <w:szCs w:val="24"/>
              </w:rPr>
              <w:t>预算配置</w:t>
            </w:r>
          </w:p>
        </w:tc>
        <w:tc>
          <w:tcPr>
            <w:tcW w:w="516" w:type="dxa"/>
            <w:vMerge w:val="restart"/>
            <w:tcBorders>
              <w:top w:val="nil"/>
              <w:left w:val="single" w:color="auto" w:sz="4" w:space="0"/>
              <w:bottom w:val="single" w:color="000000" w:sz="4" w:space="0"/>
              <w:right w:val="single" w:color="auto" w:sz="4" w:space="0"/>
            </w:tcBorders>
            <w:vAlign w:val="center"/>
          </w:tcPr>
          <w:p>
            <w:pPr>
              <w:widowControl/>
              <w:spacing w:line="300" w:lineRule="exact"/>
              <w:jc w:val="center"/>
              <w:rPr>
                <w:rFonts w:ascii="宋体" w:hAnsi="宋体"/>
                <w:kern w:val="0"/>
                <w:sz w:val="24"/>
                <w:szCs w:val="24"/>
              </w:rPr>
            </w:pPr>
            <w:r>
              <w:rPr>
                <w:rFonts w:ascii="宋体" w:hAnsi="宋体" w:cs="宋体"/>
                <w:kern w:val="0"/>
                <w:sz w:val="24"/>
                <w:szCs w:val="24"/>
              </w:rPr>
              <w:t>13</w:t>
            </w:r>
          </w:p>
        </w:tc>
        <w:tc>
          <w:tcPr>
            <w:tcW w:w="1074" w:type="dxa"/>
            <w:tcBorders>
              <w:top w:val="nil"/>
              <w:left w:val="nil"/>
              <w:bottom w:val="single" w:color="auto" w:sz="4" w:space="0"/>
              <w:right w:val="single" w:color="auto" w:sz="4" w:space="0"/>
            </w:tcBorders>
            <w:vAlign w:val="center"/>
          </w:tcPr>
          <w:p>
            <w:pPr>
              <w:widowControl/>
              <w:spacing w:line="300" w:lineRule="exact"/>
              <w:jc w:val="left"/>
              <w:rPr>
                <w:rFonts w:ascii="宋体" w:hAnsi="宋体"/>
                <w:kern w:val="0"/>
                <w:sz w:val="24"/>
                <w:szCs w:val="24"/>
              </w:rPr>
            </w:pPr>
            <w:r>
              <w:rPr>
                <w:rFonts w:hint="eastAsia" w:ascii="宋体" w:hAnsi="宋体" w:cs="宋体"/>
                <w:kern w:val="0"/>
                <w:sz w:val="24"/>
                <w:szCs w:val="24"/>
              </w:rPr>
              <w:t>在职人员控制率</w:t>
            </w:r>
          </w:p>
        </w:tc>
        <w:tc>
          <w:tcPr>
            <w:tcW w:w="516" w:type="dxa"/>
            <w:tcBorders>
              <w:top w:val="nil"/>
              <w:left w:val="nil"/>
              <w:bottom w:val="single" w:color="auto" w:sz="4" w:space="0"/>
              <w:right w:val="single" w:color="auto" w:sz="4" w:space="0"/>
            </w:tcBorders>
            <w:vAlign w:val="center"/>
          </w:tcPr>
          <w:p>
            <w:pPr>
              <w:widowControl/>
              <w:spacing w:line="300" w:lineRule="exact"/>
              <w:jc w:val="center"/>
              <w:rPr>
                <w:rFonts w:ascii="宋体" w:hAnsi="宋体"/>
                <w:kern w:val="0"/>
                <w:sz w:val="24"/>
                <w:szCs w:val="24"/>
              </w:rPr>
            </w:pPr>
            <w:r>
              <w:rPr>
                <w:rFonts w:ascii="宋体" w:hAnsi="宋体" w:cs="宋体"/>
                <w:kern w:val="0"/>
                <w:sz w:val="24"/>
                <w:szCs w:val="24"/>
              </w:rPr>
              <w:t>5</w:t>
            </w:r>
          </w:p>
        </w:tc>
        <w:tc>
          <w:tcPr>
            <w:tcW w:w="2878" w:type="dxa"/>
            <w:tcBorders>
              <w:top w:val="nil"/>
              <w:left w:val="nil"/>
              <w:bottom w:val="nil"/>
              <w:right w:val="nil"/>
            </w:tcBorders>
            <w:vAlign w:val="center"/>
          </w:tcPr>
          <w:p>
            <w:pPr>
              <w:widowControl/>
              <w:spacing w:line="300" w:lineRule="exact"/>
              <w:jc w:val="left"/>
              <w:rPr>
                <w:rFonts w:ascii="宋体" w:hAnsi="宋体"/>
                <w:kern w:val="0"/>
                <w:sz w:val="24"/>
                <w:szCs w:val="24"/>
              </w:rPr>
            </w:pPr>
            <w:r>
              <w:rPr>
                <w:rFonts w:hint="eastAsia" w:ascii="宋体" w:hAnsi="宋体" w:cs="宋体"/>
                <w:kern w:val="0"/>
                <w:sz w:val="24"/>
                <w:szCs w:val="24"/>
              </w:rPr>
              <w:t>以</w:t>
            </w:r>
            <w:r>
              <w:rPr>
                <w:rFonts w:ascii="宋体" w:hAnsi="宋体" w:cs="宋体"/>
                <w:kern w:val="0"/>
                <w:sz w:val="24"/>
                <w:szCs w:val="24"/>
              </w:rPr>
              <w:t>100%</w:t>
            </w:r>
            <w:r>
              <w:rPr>
                <w:rFonts w:hint="eastAsia" w:ascii="宋体" w:hAnsi="宋体" w:cs="宋体"/>
                <w:kern w:val="0"/>
                <w:sz w:val="24"/>
                <w:szCs w:val="24"/>
              </w:rPr>
              <w:t>为标准。在职人员控制率≦</w:t>
            </w:r>
            <w:r>
              <w:rPr>
                <w:rFonts w:ascii="宋体" w:hAnsi="宋体" w:cs="宋体"/>
                <w:kern w:val="0"/>
                <w:sz w:val="24"/>
                <w:szCs w:val="24"/>
              </w:rPr>
              <w:t>100%</w:t>
            </w:r>
            <w:r>
              <w:rPr>
                <w:rFonts w:hint="eastAsia" w:ascii="宋体" w:hAnsi="宋体" w:cs="宋体"/>
                <w:kern w:val="0"/>
                <w:sz w:val="24"/>
                <w:szCs w:val="24"/>
              </w:rPr>
              <w:t>，计</w:t>
            </w:r>
            <w:r>
              <w:rPr>
                <w:rFonts w:ascii="宋体" w:hAnsi="宋体" w:cs="宋体"/>
                <w:kern w:val="0"/>
                <w:sz w:val="24"/>
                <w:szCs w:val="24"/>
              </w:rPr>
              <w:t>5</w:t>
            </w:r>
            <w:r>
              <w:rPr>
                <w:rFonts w:hint="eastAsia" w:ascii="宋体" w:hAnsi="宋体" w:cs="宋体"/>
                <w:kern w:val="0"/>
                <w:sz w:val="24"/>
                <w:szCs w:val="24"/>
              </w:rPr>
              <w:t>分；每超过一个百分点扣</w:t>
            </w:r>
            <w:r>
              <w:rPr>
                <w:rFonts w:ascii="宋体" w:hAnsi="宋体" w:cs="宋体"/>
                <w:kern w:val="0"/>
                <w:sz w:val="24"/>
                <w:szCs w:val="24"/>
              </w:rPr>
              <w:t>0.5</w:t>
            </w:r>
            <w:r>
              <w:rPr>
                <w:rFonts w:hint="eastAsia" w:ascii="宋体" w:hAnsi="宋体" w:cs="宋体"/>
                <w:kern w:val="0"/>
                <w:sz w:val="24"/>
                <w:szCs w:val="24"/>
              </w:rPr>
              <w:t>分，扣完为止。</w:t>
            </w:r>
          </w:p>
        </w:tc>
        <w:tc>
          <w:tcPr>
            <w:tcW w:w="3312"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kern w:val="0"/>
                <w:sz w:val="24"/>
                <w:szCs w:val="24"/>
              </w:rPr>
            </w:pPr>
            <w:r>
              <w:rPr>
                <w:rFonts w:hint="eastAsia" w:ascii="宋体" w:hAnsi="宋体" w:cs="宋体"/>
                <w:kern w:val="0"/>
                <w:sz w:val="24"/>
                <w:szCs w:val="24"/>
              </w:rPr>
              <w:t>在职人员控制率</w:t>
            </w:r>
            <w:r>
              <w:rPr>
                <w:rFonts w:ascii="宋体" w:hAnsi="宋体" w:cs="宋体"/>
                <w:kern w:val="0"/>
                <w:sz w:val="24"/>
                <w:szCs w:val="24"/>
              </w:rPr>
              <w:t>=</w:t>
            </w:r>
            <w:r>
              <w:rPr>
                <w:rFonts w:hint="eastAsia" w:ascii="宋体" w:hAnsi="宋体" w:cs="宋体"/>
                <w:kern w:val="0"/>
                <w:sz w:val="24"/>
                <w:szCs w:val="24"/>
              </w:rPr>
              <w:t>（在职人员数</w:t>
            </w:r>
            <w:r>
              <w:rPr>
                <w:rFonts w:ascii="宋体" w:hAnsi="宋体" w:cs="宋体"/>
                <w:kern w:val="0"/>
                <w:sz w:val="24"/>
                <w:szCs w:val="24"/>
              </w:rPr>
              <w:t>/</w:t>
            </w:r>
            <w:r>
              <w:rPr>
                <w:rFonts w:hint="eastAsia" w:ascii="宋体" w:hAnsi="宋体" w:cs="宋体"/>
                <w:kern w:val="0"/>
                <w:sz w:val="24"/>
                <w:szCs w:val="24"/>
              </w:rPr>
              <w:t>编制数）×</w:t>
            </w:r>
            <w:r>
              <w:rPr>
                <w:rFonts w:ascii="宋体" w:hAnsi="宋体" w:cs="宋体"/>
                <w:kern w:val="0"/>
                <w:sz w:val="24"/>
                <w:szCs w:val="24"/>
              </w:rPr>
              <w:t>100%</w:t>
            </w:r>
            <w:r>
              <w:rPr>
                <w:rFonts w:hint="eastAsia" w:ascii="宋体" w:hAnsi="宋体" w:cs="宋体"/>
                <w:kern w:val="0"/>
                <w:sz w:val="24"/>
                <w:szCs w:val="24"/>
              </w:rPr>
              <w:t>，在职人员数：部门（单位）实际在职人数，以财政局确定的部门决算编制口径为准。</w:t>
            </w:r>
            <w:r>
              <w:rPr>
                <w:rFonts w:ascii="宋体" w:hAnsi="宋体"/>
                <w:kern w:val="0"/>
                <w:sz w:val="24"/>
                <w:szCs w:val="24"/>
              </w:rPr>
              <w:br w:type="textWrapping"/>
            </w:r>
            <w:r>
              <w:rPr>
                <w:rFonts w:hint="eastAsia" w:ascii="宋体" w:hAnsi="宋体" w:cs="宋体"/>
                <w:kern w:val="0"/>
                <w:sz w:val="24"/>
                <w:szCs w:val="24"/>
              </w:rPr>
              <w:t>编制数：机构编制部门核定批复的部门（单位）的人员编制数。</w:t>
            </w:r>
          </w:p>
        </w:tc>
        <w:tc>
          <w:tcPr>
            <w:tcW w:w="622" w:type="dxa"/>
            <w:tcBorders>
              <w:top w:val="nil"/>
              <w:left w:val="nil"/>
              <w:bottom w:val="single" w:color="auto" w:sz="4" w:space="0"/>
              <w:right w:val="single" w:color="auto" w:sz="4" w:space="0"/>
            </w:tcBorders>
            <w:vAlign w:val="center"/>
          </w:tcPr>
          <w:p>
            <w:pPr>
              <w:widowControl/>
              <w:spacing w:line="300" w:lineRule="exact"/>
              <w:jc w:val="left"/>
              <w:rPr>
                <w:rFonts w:ascii="宋体" w:hAnsi="宋体"/>
                <w:kern w:val="0"/>
                <w:sz w:val="24"/>
                <w:szCs w:val="24"/>
              </w:rPr>
            </w:pPr>
            <w:r>
              <w:rPr>
                <w:rFonts w:hint="eastAsia" w:ascii="宋体" w:hAnsi="宋体" w:cs="宋体"/>
                <w:kern w:val="0"/>
                <w:sz w:val="24"/>
                <w:szCs w:val="24"/>
              </w:rPr>
              <w:t>5　</w:t>
            </w:r>
          </w:p>
        </w:tc>
      </w:tr>
      <w:tr>
        <w:tblPrEx>
          <w:tblCellMar>
            <w:top w:w="0" w:type="dxa"/>
            <w:left w:w="108" w:type="dxa"/>
            <w:bottom w:w="0" w:type="dxa"/>
            <w:right w:w="108" w:type="dxa"/>
          </w:tblCellMar>
        </w:tblPrEx>
        <w:trPr>
          <w:trHeight w:val="1418" w:hRule="atLeast"/>
          <w:jc w:val="center"/>
        </w:trPr>
        <w:tc>
          <w:tcPr>
            <w:tcW w:w="678"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kern w:val="0"/>
                <w:sz w:val="24"/>
                <w:szCs w:val="24"/>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宋体" w:hAnsi="宋体"/>
                <w:kern w:val="0"/>
                <w:sz w:val="24"/>
                <w:szCs w:val="24"/>
              </w:rPr>
            </w:pPr>
          </w:p>
        </w:tc>
        <w:tc>
          <w:tcPr>
            <w:tcW w:w="659" w:type="dxa"/>
            <w:vMerge w:val="continue"/>
            <w:tcBorders>
              <w:top w:val="nil"/>
              <w:left w:val="nil"/>
              <w:bottom w:val="single" w:color="auto" w:sz="4" w:space="0"/>
              <w:right w:val="single" w:color="auto" w:sz="4" w:space="0"/>
            </w:tcBorders>
            <w:vAlign w:val="center"/>
          </w:tcPr>
          <w:p>
            <w:pPr>
              <w:widowControl/>
              <w:spacing w:line="300" w:lineRule="exact"/>
              <w:jc w:val="left"/>
              <w:rPr>
                <w:rFonts w:ascii="宋体" w:hAnsi="宋体"/>
                <w:kern w:val="0"/>
                <w:sz w:val="24"/>
                <w:szCs w:val="24"/>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宋体" w:hAnsi="宋体"/>
                <w:kern w:val="0"/>
                <w:sz w:val="24"/>
                <w:szCs w:val="24"/>
              </w:rPr>
            </w:pPr>
          </w:p>
        </w:tc>
        <w:tc>
          <w:tcPr>
            <w:tcW w:w="1074" w:type="dxa"/>
            <w:tcBorders>
              <w:top w:val="nil"/>
              <w:left w:val="nil"/>
              <w:bottom w:val="single" w:color="auto" w:sz="4" w:space="0"/>
              <w:right w:val="single" w:color="auto" w:sz="4" w:space="0"/>
            </w:tcBorders>
            <w:vAlign w:val="center"/>
          </w:tcPr>
          <w:p>
            <w:pPr>
              <w:widowControl/>
              <w:spacing w:line="300" w:lineRule="exact"/>
              <w:jc w:val="left"/>
              <w:rPr>
                <w:rFonts w:ascii="宋体" w:hAnsi="宋体"/>
                <w:kern w:val="0"/>
                <w:sz w:val="24"/>
                <w:szCs w:val="24"/>
              </w:rPr>
            </w:pPr>
            <w:r>
              <w:rPr>
                <w:rFonts w:hint="eastAsia" w:ascii="宋体" w:hAnsi="宋体" w:cs="宋体"/>
                <w:kern w:val="0"/>
                <w:sz w:val="24"/>
                <w:szCs w:val="24"/>
              </w:rPr>
              <w:t>“三公经费”变动率</w:t>
            </w:r>
          </w:p>
        </w:tc>
        <w:tc>
          <w:tcPr>
            <w:tcW w:w="516" w:type="dxa"/>
            <w:tcBorders>
              <w:top w:val="nil"/>
              <w:left w:val="nil"/>
              <w:bottom w:val="single" w:color="auto" w:sz="4" w:space="0"/>
              <w:right w:val="single" w:color="auto" w:sz="4" w:space="0"/>
            </w:tcBorders>
            <w:vAlign w:val="center"/>
          </w:tcPr>
          <w:p>
            <w:pPr>
              <w:widowControl/>
              <w:spacing w:line="300" w:lineRule="exact"/>
              <w:jc w:val="center"/>
              <w:rPr>
                <w:rFonts w:ascii="宋体" w:hAnsi="宋体"/>
                <w:kern w:val="0"/>
                <w:sz w:val="24"/>
                <w:szCs w:val="24"/>
              </w:rPr>
            </w:pPr>
            <w:r>
              <w:rPr>
                <w:rFonts w:ascii="宋体" w:hAnsi="宋体" w:cs="宋体"/>
                <w:kern w:val="0"/>
                <w:sz w:val="24"/>
                <w:szCs w:val="24"/>
              </w:rPr>
              <w:t>8</w:t>
            </w:r>
          </w:p>
        </w:tc>
        <w:tc>
          <w:tcPr>
            <w:tcW w:w="2878" w:type="dxa"/>
            <w:tcBorders>
              <w:top w:val="single" w:color="auto" w:sz="4" w:space="0"/>
              <w:left w:val="nil"/>
              <w:bottom w:val="single" w:color="auto" w:sz="4" w:space="0"/>
              <w:right w:val="single" w:color="auto" w:sz="4" w:space="0"/>
            </w:tcBorders>
            <w:vAlign w:val="center"/>
          </w:tcPr>
          <w:p>
            <w:pPr>
              <w:widowControl/>
              <w:spacing w:line="300" w:lineRule="exact"/>
              <w:jc w:val="left"/>
              <w:rPr>
                <w:rFonts w:ascii="宋体" w:hAnsi="宋体"/>
                <w:kern w:val="0"/>
                <w:sz w:val="24"/>
                <w:szCs w:val="24"/>
              </w:rPr>
            </w:pPr>
            <w:r>
              <w:rPr>
                <w:rFonts w:hint="eastAsia" w:ascii="宋体" w:hAnsi="宋体" w:cs="宋体"/>
                <w:kern w:val="0"/>
                <w:sz w:val="24"/>
                <w:szCs w:val="24"/>
              </w:rPr>
              <w:t>“三公经费”变动率≦</w:t>
            </w:r>
            <w:r>
              <w:rPr>
                <w:rFonts w:ascii="宋体" w:hAnsi="宋体" w:cs="宋体"/>
                <w:kern w:val="0"/>
                <w:sz w:val="24"/>
                <w:szCs w:val="24"/>
              </w:rPr>
              <w:t>0,</w:t>
            </w:r>
            <w:r>
              <w:rPr>
                <w:rFonts w:hint="eastAsia" w:ascii="宋体" w:hAnsi="宋体" w:cs="宋体"/>
                <w:kern w:val="0"/>
                <w:sz w:val="24"/>
                <w:szCs w:val="24"/>
              </w:rPr>
              <w:t>计</w:t>
            </w:r>
            <w:r>
              <w:rPr>
                <w:rFonts w:ascii="宋体" w:hAnsi="宋体" w:cs="宋体"/>
                <w:kern w:val="0"/>
                <w:sz w:val="24"/>
                <w:szCs w:val="24"/>
              </w:rPr>
              <w:t>8</w:t>
            </w:r>
            <w:r>
              <w:rPr>
                <w:rFonts w:hint="eastAsia" w:ascii="宋体" w:hAnsi="宋体" w:cs="宋体"/>
                <w:kern w:val="0"/>
                <w:sz w:val="24"/>
                <w:szCs w:val="24"/>
              </w:rPr>
              <w:t>分；“三公经费”＞</w:t>
            </w:r>
            <w:r>
              <w:rPr>
                <w:rFonts w:ascii="宋体" w:hAnsi="宋体" w:cs="宋体"/>
                <w:kern w:val="0"/>
                <w:sz w:val="24"/>
                <w:szCs w:val="24"/>
              </w:rPr>
              <w:t>0</w:t>
            </w:r>
            <w:r>
              <w:rPr>
                <w:rFonts w:hint="eastAsia" w:ascii="宋体" w:hAnsi="宋体" w:cs="宋体"/>
                <w:kern w:val="0"/>
                <w:sz w:val="24"/>
                <w:szCs w:val="24"/>
              </w:rPr>
              <w:t>，每超过一个百分点扣</w:t>
            </w:r>
            <w:r>
              <w:rPr>
                <w:rFonts w:ascii="宋体" w:hAnsi="宋体" w:cs="宋体"/>
                <w:kern w:val="0"/>
                <w:sz w:val="24"/>
                <w:szCs w:val="24"/>
              </w:rPr>
              <w:t>0.8</w:t>
            </w:r>
            <w:r>
              <w:rPr>
                <w:rFonts w:hint="eastAsia" w:ascii="宋体" w:hAnsi="宋体" w:cs="宋体"/>
                <w:kern w:val="0"/>
                <w:sz w:val="24"/>
                <w:szCs w:val="24"/>
              </w:rPr>
              <w:t>分，扣完为止。</w:t>
            </w:r>
          </w:p>
        </w:tc>
        <w:tc>
          <w:tcPr>
            <w:tcW w:w="3312" w:type="dxa"/>
            <w:tcBorders>
              <w:top w:val="nil"/>
              <w:left w:val="nil"/>
              <w:bottom w:val="single" w:color="auto" w:sz="4" w:space="0"/>
              <w:right w:val="single" w:color="auto" w:sz="4" w:space="0"/>
            </w:tcBorders>
            <w:vAlign w:val="center"/>
          </w:tcPr>
          <w:p>
            <w:pPr>
              <w:widowControl/>
              <w:spacing w:line="300" w:lineRule="exact"/>
              <w:jc w:val="left"/>
              <w:rPr>
                <w:rFonts w:ascii="宋体" w:hAnsi="宋体"/>
                <w:kern w:val="0"/>
                <w:sz w:val="24"/>
                <w:szCs w:val="24"/>
              </w:rPr>
            </w:pPr>
            <w:r>
              <w:rPr>
                <w:rFonts w:hint="eastAsia" w:ascii="宋体" w:hAnsi="宋体" w:cs="宋体"/>
                <w:kern w:val="0"/>
                <w:sz w:val="24"/>
                <w:szCs w:val="24"/>
              </w:rPr>
              <w:t>“三公经费”变动率</w:t>
            </w:r>
            <w:r>
              <w:rPr>
                <w:rFonts w:ascii="宋体" w:hAnsi="宋体" w:cs="宋体"/>
                <w:kern w:val="0"/>
                <w:sz w:val="24"/>
                <w:szCs w:val="24"/>
              </w:rPr>
              <w:t>=[</w:t>
            </w:r>
            <w:r>
              <w:rPr>
                <w:rFonts w:hint="eastAsia" w:ascii="宋体" w:hAnsi="宋体" w:cs="宋体"/>
                <w:kern w:val="0"/>
                <w:sz w:val="24"/>
                <w:szCs w:val="24"/>
              </w:rPr>
              <w:t>（本年度“三公经费”预算数</w:t>
            </w:r>
            <w:r>
              <w:rPr>
                <w:rFonts w:ascii="宋体" w:hAnsi="宋体" w:cs="宋体"/>
                <w:kern w:val="0"/>
                <w:sz w:val="24"/>
                <w:szCs w:val="24"/>
              </w:rPr>
              <w:t>-</w:t>
            </w:r>
            <w:r>
              <w:rPr>
                <w:rFonts w:hint="eastAsia" w:ascii="宋体" w:hAnsi="宋体" w:cs="宋体"/>
                <w:kern w:val="0"/>
                <w:sz w:val="24"/>
                <w:szCs w:val="24"/>
              </w:rPr>
              <w:t>上年度“三公经费”预算数）</w:t>
            </w:r>
            <w:r>
              <w:rPr>
                <w:rFonts w:ascii="宋体" w:hAnsi="宋体" w:cs="宋体"/>
                <w:kern w:val="0"/>
                <w:sz w:val="24"/>
                <w:szCs w:val="24"/>
              </w:rPr>
              <w:t>/</w:t>
            </w:r>
            <w:r>
              <w:rPr>
                <w:rFonts w:hint="eastAsia" w:ascii="宋体" w:hAnsi="宋体" w:cs="宋体"/>
                <w:kern w:val="0"/>
                <w:sz w:val="24"/>
                <w:szCs w:val="24"/>
              </w:rPr>
              <w:t>上年度“三公经费”预算数</w:t>
            </w:r>
            <w:r>
              <w:rPr>
                <w:rFonts w:ascii="宋体" w:hAnsi="宋体" w:cs="宋体"/>
                <w:kern w:val="0"/>
                <w:sz w:val="24"/>
                <w:szCs w:val="24"/>
              </w:rPr>
              <w:t>]</w:t>
            </w:r>
            <w:r>
              <w:rPr>
                <w:rFonts w:hint="eastAsia" w:ascii="宋体" w:hAnsi="宋体" w:cs="宋体"/>
                <w:kern w:val="0"/>
                <w:sz w:val="24"/>
                <w:szCs w:val="24"/>
              </w:rPr>
              <w:t>×</w:t>
            </w:r>
            <w:r>
              <w:rPr>
                <w:rFonts w:ascii="宋体" w:hAnsi="宋体" w:cs="宋体"/>
                <w:kern w:val="0"/>
                <w:sz w:val="24"/>
                <w:szCs w:val="24"/>
              </w:rPr>
              <w:t>100%</w:t>
            </w:r>
          </w:p>
        </w:tc>
        <w:tc>
          <w:tcPr>
            <w:tcW w:w="622" w:type="dxa"/>
            <w:tcBorders>
              <w:top w:val="nil"/>
              <w:left w:val="nil"/>
              <w:bottom w:val="single" w:color="auto" w:sz="4" w:space="0"/>
              <w:right w:val="single" w:color="auto" w:sz="4" w:space="0"/>
            </w:tcBorders>
            <w:vAlign w:val="center"/>
          </w:tcPr>
          <w:p>
            <w:pPr>
              <w:widowControl/>
              <w:spacing w:line="300" w:lineRule="exact"/>
              <w:jc w:val="left"/>
              <w:rPr>
                <w:rFonts w:ascii="宋体" w:hAnsi="宋体"/>
                <w:kern w:val="0"/>
                <w:sz w:val="24"/>
                <w:szCs w:val="24"/>
              </w:rPr>
            </w:pPr>
            <w:r>
              <w:rPr>
                <w:rFonts w:hint="eastAsia" w:ascii="宋体" w:hAnsi="宋体" w:cs="宋体"/>
                <w:kern w:val="0"/>
                <w:sz w:val="24"/>
                <w:szCs w:val="24"/>
              </w:rPr>
              <w:t>　</w:t>
            </w:r>
            <w:r>
              <w:rPr>
                <w:rFonts w:ascii="宋体" w:hAnsi="宋体" w:cs="宋体"/>
                <w:kern w:val="0"/>
                <w:sz w:val="24"/>
                <w:szCs w:val="24"/>
              </w:rPr>
              <w:t>8</w:t>
            </w:r>
          </w:p>
        </w:tc>
      </w:tr>
      <w:tr>
        <w:tblPrEx>
          <w:tblCellMar>
            <w:top w:w="0" w:type="dxa"/>
            <w:left w:w="108" w:type="dxa"/>
            <w:bottom w:w="0" w:type="dxa"/>
            <w:right w:w="108" w:type="dxa"/>
          </w:tblCellMar>
        </w:tblPrEx>
        <w:trPr>
          <w:jc w:val="center"/>
        </w:trPr>
        <w:tc>
          <w:tcPr>
            <w:tcW w:w="678" w:type="dxa"/>
            <w:vMerge w:val="restart"/>
            <w:tcBorders>
              <w:top w:val="nil"/>
              <w:left w:val="single" w:color="auto" w:sz="4" w:space="0"/>
              <w:bottom w:val="single" w:color="000000" w:sz="4" w:space="0"/>
              <w:right w:val="single" w:color="auto" w:sz="4" w:space="0"/>
            </w:tcBorders>
            <w:vAlign w:val="center"/>
          </w:tcPr>
          <w:p>
            <w:pPr>
              <w:widowControl/>
              <w:spacing w:line="300" w:lineRule="exact"/>
              <w:jc w:val="center"/>
              <w:rPr>
                <w:rFonts w:ascii="宋体" w:hAnsi="宋体"/>
                <w:kern w:val="0"/>
                <w:sz w:val="24"/>
                <w:szCs w:val="24"/>
              </w:rPr>
            </w:pPr>
            <w:r>
              <w:rPr>
                <w:rFonts w:hint="eastAsia" w:ascii="宋体" w:hAnsi="宋体" w:cs="宋体"/>
                <w:kern w:val="0"/>
                <w:sz w:val="24"/>
                <w:szCs w:val="24"/>
              </w:rPr>
              <w:t>过程</w:t>
            </w:r>
          </w:p>
        </w:tc>
        <w:tc>
          <w:tcPr>
            <w:tcW w:w="516" w:type="dxa"/>
            <w:vMerge w:val="restart"/>
            <w:tcBorders>
              <w:top w:val="nil"/>
              <w:left w:val="single" w:color="auto" w:sz="4" w:space="0"/>
              <w:bottom w:val="single" w:color="000000" w:sz="4" w:space="0"/>
              <w:right w:val="single" w:color="auto" w:sz="4" w:space="0"/>
            </w:tcBorders>
            <w:vAlign w:val="center"/>
          </w:tcPr>
          <w:p>
            <w:pPr>
              <w:widowControl/>
              <w:spacing w:line="300" w:lineRule="exact"/>
              <w:jc w:val="center"/>
              <w:rPr>
                <w:rFonts w:ascii="宋体" w:hAnsi="宋体"/>
                <w:kern w:val="0"/>
                <w:sz w:val="24"/>
                <w:szCs w:val="24"/>
              </w:rPr>
            </w:pPr>
            <w:r>
              <w:rPr>
                <w:rFonts w:ascii="宋体" w:hAnsi="宋体" w:cs="宋体"/>
                <w:kern w:val="0"/>
                <w:sz w:val="24"/>
                <w:szCs w:val="24"/>
              </w:rPr>
              <w:t>61</w:t>
            </w:r>
          </w:p>
        </w:tc>
        <w:tc>
          <w:tcPr>
            <w:tcW w:w="659" w:type="dxa"/>
            <w:vMerge w:val="restart"/>
            <w:tcBorders>
              <w:top w:val="nil"/>
              <w:left w:val="single" w:color="auto" w:sz="4" w:space="0"/>
              <w:bottom w:val="single" w:color="000000" w:sz="4" w:space="0"/>
              <w:right w:val="single" w:color="auto" w:sz="4" w:space="0"/>
            </w:tcBorders>
            <w:vAlign w:val="center"/>
          </w:tcPr>
          <w:p>
            <w:pPr>
              <w:widowControl/>
              <w:spacing w:line="300" w:lineRule="exact"/>
              <w:jc w:val="center"/>
              <w:rPr>
                <w:rFonts w:ascii="宋体" w:hAnsi="宋体"/>
                <w:kern w:val="0"/>
                <w:sz w:val="24"/>
                <w:szCs w:val="24"/>
              </w:rPr>
            </w:pPr>
            <w:r>
              <w:rPr>
                <w:rFonts w:hint="eastAsia" w:ascii="宋体" w:hAnsi="宋体" w:cs="宋体"/>
                <w:kern w:val="0"/>
                <w:sz w:val="24"/>
                <w:szCs w:val="24"/>
              </w:rPr>
              <w:t>预算执行</w:t>
            </w:r>
          </w:p>
        </w:tc>
        <w:tc>
          <w:tcPr>
            <w:tcW w:w="516" w:type="dxa"/>
            <w:vMerge w:val="restart"/>
            <w:tcBorders>
              <w:top w:val="nil"/>
              <w:left w:val="single" w:color="auto" w:sz="4" w:space="0"/>
              <w:bottom w:val="single" w:color="000000" w:sz="4" w:space="0"/>
              <w:right w:val="single" w:color="auto" w:sz="4" w:space="0"/>
            </w:tcBorders>
            <w:vAlign w:val="center"/>
          </w:tcPr>
          <w:p>
            <w:pPr>
              <w:widowControl/>
              <w:spacing w:line="300" w:lineRule="exact"/>
              <w:jc w:val="center"/>
              <w:rPr>
                <w:rFonts w:ascii="宋体" w:hAnsi="宋体"/>
                <w:kern w:val="0"/>
                <w:sz w:val="24"/>
                <w:szCs w:val="24"/>
              </w:rPr>
            </w:pPr>
            <w:r>
              <w:rPr>
                <w:rFonts w:ascii="宋体" w:hAnsi="宋体" w:cs="宋体"/>
                <w:kern w:val="0"/>
                <w:sz w:val="24"/>
                <w:szCs w:val="24"/>
              </w:rPr>
              <w:t>20</w:t>
            </w:r>
          </w:p>
        </w:tc>
        <w:tc>
          <w:tcPr>
            <w:tcW w:w="1074" w:type="dxa"/>
            <w:tcBorders>
              <w:top w:val="nil"/>
              <w:left w:val="nil"/>
              <w:bottom w:val="single" w:color="auto" w:sz="4" w:space="0"/>
              <w:right w:val="single" w:color="auto" w:sz="4" w:space="0"/>
            </w:tcBorders>
            <w:vAlign w:val="center"/>
          </w:tcPr>
          <w:p>
            <w:pPr>
              <w:widowControl/>
              <w:spacing w:line="300" w:lineRule="exact"/>
              <w:jc w:val="left"/>
              <w:rPr>
                <w:rFonts w:ascii="宋体" w:hAnsi="宋体"/>
                <w:kern w:val="0"/>
                <w:sz w:val="24"/>
                <w:szCs w:val="24"/>
              </w:rPr>
            </w:pPr>
            <w:r>
              <w:rPr>
                <w:rFonts w:hint="eastAsia" w:ascii="宋体" w:hAnsi="宋体" w:cs="宋体"/>
                <w:kern w:val="0"/>
                <w:sz w:val="24"/>
                <w:szCs w:val="24"/>
              </w:rPr>
              <w:t>预算完成率</w:t>
            </w:r>
          </w:p>
        </w:tc>
        <w:tc>
          <w:tcPr>
            <w:tcW w:w="516" w:type="dxa"/>
            <w:tcBorders>
              <w:top w:val="nil"/>
              <w:left w:val="nil"/>
              <w:bottom w:val="single" w:color="auto" w:sz="4" w:space="0"/>
              <w:right w:val="single" w:color="auto" w:sz="4" w:space="0"/>
            </w:tcBorders>
            <w:vAlign w:val="center"/>
          </w:tcPr>
          <w:p>
            <w:pPr>
              <w:widowControl/>
              <w:spacing w:line="300" w:lineRule="exact"/>
              <w:jc w:val="center"/>
              <w:rPr>
                <w:rFonts w:ascii="宋体" w:hAnsi="宋体"/>
                <w:kern w:val="0"/>
                <w:sz w:val="24"/>
                <w:szCs w:val="24"/>
              </w:rPr>
            </w:pPr>
            <w:r>
              <w:rPr>
                <w:rFonts w:ascii="宋体" w:hAnsi="宋体" w:cs="宋体"/>
                <w:kern w:val="0"/>
                <w:sz w:val="24"/>
                <w:szCs w:val="24"/>
              </w:rPr>
              <w:t>5</w:t>
            </w:r>
          </w:p>
        </w:tc>
        <w:tc>
          <w:tcPr>
            <w:tcW w:w="2878" w:type="dxa"/>
            <w:tcBorders>
              <w:top w:val="nil"/>
              <w:left w:val="nil"/>
              <w:bottom w:val="single" w:color="auto" w:sz="4" w:space="0"/>
              <w:right w:val="single" w:color="auto" w:sz="4" w:space="0"/>
            </w:tcBorders>
            <w:vAlign w:val="center"/>
          </w:tcPr>
          <w:p>
            <w:pPr>
              <w:widowControl/>
              <w:spacing w:line="300" w:lineRule="exact"/>
              <w:jc w:val="left"/>
              <w:rPr>
                <w:rFonts w:ascii="宋体" w:hAnsi="宋体"/>
                <w:kern w:val="0"/>
                <w:sz w:val="24"/>
                <w:szCs w:val="24"/>
              </w:rPr>
            </w:pPr>
            <w:r>
              <w:rPr>
                <w:rFonts w:ascii="宋体" w:hAnsi="宋体" w:cs="宋体"/>
                <w:kern w:val="0"/>
                <w:sz w:val="24"/>
                <w:szCs w:val="24"/>
              </w:rPr>
              <w:t>100%</w:t>
            </w:r>
            <w:r>
              <w:rPr>
                <w:rFonts w:hint="eastAsia" w:ascii="宋体" w:hAnsi="宋体" w:cs="宋体"/>
                <w:kern w:val="0"/>
                <w:sz w:val="24"/>
                <w:szCs w:val="24"/>
              </w:rPr>
              <w:t>计满分，每低于</w:t>
            </w:r>
            <w:r>
              <w:rPr>
                <w:rFonts w:ascii="宋体" w:hAnsi="宋体" w:cs="宋体"/>
                <w:kern w:val="0"/>
                <w:sz w:val="24"/>
                <w:szCs w:val="24"/>
              </w:rPr>
              <w:t>5%</w:t>
            </w:r>
            <w:r>
              <w:rPr>
                <w:rFonts w:hint="eastAsia" w:ascii="宋体" w:hAnsi="宋体" w:cs="宋体"/>
                <w:kern w:val="0"/>
                <w:sz w:val="24"/>
                <w:szCs w:val="24"/>
              </w:rPr>
              <w:t>扣</w:t>
            </w:r>
            <w:r>
              <w:rPr>
                <w:rFonts w:ascii="宋体" w:hAnsi="宋体" w:cs="宋体"/>
                <w:kern w:val="0"/>
                <w:sz w:val="24"/>
                <w:szCs w:val="24"/>
              </w:rPr>
              <w:t>2</w:t>
            </w:r>
            <w:r>
              <w:rPr>
                <w:rFonts w:hint="eastAsia" w:ascii="宋体" w:hAnsi="宋体" w:cs="宋体"/>
                <w:kern w:val="0"/>
                <w:sz w:val="24"/>
                <w:szCs w:val="24"/>
              </w:rPr>
              <w:t>分，扣完为止。</w:t>
            </w:r>
          </w:p>
        </w:tc>
        <w:tc>
          <w:tcPr>
            <w:tcW w:w="3312" w:type="dxa"/>
            <w:tcBorders>
              <w:top w:val="nil"/>
              <w:left w:val="nil"/>
              <w:bottom w:val="single" w:color="auto" w:sz="4" w:space="0"/>
              <w:right w:val="single" w:color="auto" w:sz="4" w:space="0"/>
            </w:tcBorders>
            <w:vAlign w:val="center"/>
          </w:tcPr>
          <w:p>
            <w:pPr>
              <w:widowControl/>
              <w:spacing w:line="300" w:lineRule="exact"/>
              <w:jc w:val="left"/>
              <w:rPr>
                <w:rFonts w:ascii="宋体" w:hAnsi="宋体"/>
                <w:kern w:val="0"/>
                <w:sz w:val="24"/>
                <w:szCs w:val="24"/>
              </w:rPr>
            </w:pPr>
            <w:r>
              <w:rPr>
                <w:rFonts w:hint="eastAsia" w:ascii="宋体" w:hAnsi="宋体" w:cs="宋体"/>
                <w:kern w:val="0"/>
                <w:sz w:val="24"/>
                <w:szCs w:val="24"/>
              </w:rPr>
              <w:t>预算完成率</w:t>
            </w:r>
            <w:r>
              <w:rPr>
                <w:rFonts w:ascii="宋体" w:hAnsi="宋体" w:cs="宋体"/>
                <w:kern w:val="0"/>
                <w:sz w:val="24"/>
                <w:szCs w:val="24"/>
              </w:rPr>
              <w:t>=</w:t>
            </w:r>
            <w:r>
              <w:rPr>
                <w:rFonts w:hint="eastAsia" w:ascii="宋体" w:hAnsi="宋体" w:cs="宋体"/>
                <w:kern w:val="0"/>
                <w:sz w:val="24"/>
                <w:szCs w:val="24"/>
              </w:rPr>
              <w:t>（上年结转</w:t>
            </w:r>
            <w:r>
              <w:rPr>
                <w:rFonts w:ascii="宋体" w:hAnsi="宋体" w:cs="宋体"/>
                <w:kern w:val="0"/>
                <w:sz w:val="24"/>
                <w:szCs w:val="24"/>
              </w:rPr>
              <w:t>+</w:t>
            </w:r>
            <w:r>
              <w:rPr>
                <w:rFonts w:hint="eastAsia" w:ascii="宋体" w:hAnsi="宋体" w:cs="宋体"/>
                <w:kern w:val="0"/>
                <w:sz w:val="24"/>
                <w:szCs w:val="24"/>
              </w:rPr>
              <w:t>年初预算</w:t>
            </w:r>
            <w:r>
              <w:rPr>
                <w:rFonts w:ascii="宋体" w:hAnsi="宋体" w:cs="宋体"/>
                <w:kern w:val="0"/>
                <w:sz w:val="24"/>
                <w:szCs w:val="24"/>
              </w:rPr>
              <w:t>+</w:t>
            </w:r>
            <w:r>
              <w:rPr>
                <w:rFonts w:hint="eastAsia" w:ascii="宋体" w:hAnsi="宋体" w:cs="宋体"/>
                <w:kern w:val="0"/>
                <w:sz w:val="24"/>
                <w:szCs w:val="24"/>
              </w:rPr>
              <w:t>本年追加预算</w:t>
            </w:r>
            <w:r>
              <w:rPr>
                <w:rFonts w:ascii="宋体" w:hAnsi="宋体" w:cs="宋体"/>
                <w:kern w:val="0"/>
                <w:sz w:val="24"/>
                <w:szCs w:val="24"/>
              </w:rPr>
              <w:t>-</w:t>
            </w:r>
            <w:r>
              <w:rPr>
                <w:rFonts w:hint="eastAsia" w:ascii="宋体" w:hAnsi="宋体" w:cs="宋体"/>
                <w:kern w:val="0"/>
                <w:sz w:val="24"/>
                <w:szCs w:val="24"/>
              </w:rPr>
              <w:t>年末结余）</w:t>
            </w:r>
            <w:r>
              <w:rPr>
                <w:rFonts w:ascii="宋体" w:hAnsi="宋体" w:cs="宋体"/>
                <w:kern w:val="0"/>
                <w:sz w:val="24"/>
                <w:szCs w:val="24"/>
              </w:rPr>
              <w:t>/</w:t>
            </w:r>
            <w:r>
              <w:rPr>
                <w:rFonts w:hint="eastAsia" w:ascii="宋体" w:hAnsi="宋体" w:cs="宋体"/>
                <w:kern w:val="0"/>
                <w:sz w:val="24"/>
                <w:szCs w:val="24"/>
              </w:rPr>
              <w:t>（上年结转</w:t>
            </w:r>
            <w:r>
              <w:rPr>
                <w:rFonts w:ascii="宋体" w:hAnsi="宋体" w:cs="宋体"/>
                <w:kern w:val="0"/>
                <w:sz w:val="24"/>
                <w:szCs w:val="24"/>
              </w:rPr>
              <w:t>+</w:t>
            </w:r>
            <w:r>
              <w:rPr>
                <w:rFonts w:hint="eastAsia" w:ascii="宋体" w:hAnsi="宋体" w:cs="宋体"/>
                <w:kern w:val="0"/>
                <w:sz w:val="24"/>
                <w:szCs w:val="24"/>
              </w:rPr>
              <w:t>年初预算</w:t>
            </w:r>
            <w:r>
              <w:rPr>
                <w:rFonts w:ascii="宋体" w:hAnsi="宋体" w:cs="宋体"/>
                <w:kern w:val="0"/>
                <w:sz w:val="24"/>
                <w:szCs w:val="24"/>
              </w:rPr>
              <w:t>+</w:t>
            </w:r>
            <w:r>
              <w:rPr>
                <w:rFonts w:hint="eastAsia" w:ascii="宋体" w:hAnsi="宋体" w:cs="宋体"/>
                <w:kern w:val="0"/>
                <w:sz w:val="24"/>
                <w:szCs w:val="24"/>
              </w:rPr>
              <w:t>本年追加预算）×</w:t>
            </w:r>
            <w:r>
              <w:rPr>
                <w:rFonts w:ascii="宋体" w:hAnsi="宋体" w:cs="宋体"/>
                <w:kern w:val="0"/>
                <w:sz w:val="24"/>
                <w:szCs w:val="24"/>
              </w:rPr>
              <w:t>100%</w:t>
            </w:r>
            <w:r>
              <w:rPr>
                <w:rFonts w:hint="eastAsia" w:ascii="宋体" w:hAnsi="宋体" w:cs="宋体"/>
                <w:kern w:val="0"/>
                <w:sz w:val="24"/>
                <w:szCs w:val="24"/>
              </w:rPr>
              <w:t>。</w:t>
            </w:r>
          </w:p>
        </w:tc>
        <w:tc>
          <w:tcPr>
            <w:tcW w:w="622" w:type="dxa"/>
            <w:tcBorders>
              <w:top w:val="nil"/>
              <w:left w:val="nil"/>
              <w:bottom w:val="single" w:color="auto" w:sz="4" w:space="0"/>
              <w:right w:val="single" w:color="auto" w:sz="4" w:space="0"/>
            </w:tcBorders>
            <w:vAlign w:val="center"/>
          </w:tcPr>
          <w:p>
            <w:pPr>
              <w:widowControl/>
              <w:spacing w:line="300" w:lineRule="exact"/>
              <w:jc w:val="left"/>
              <w:rPr>
                <w:rFonts w:hint="eastAsia" w:ascii="宋体" w:hAnsi="宋体" w:eastAsia="宋体"/>
                <w:kern w:val="0"/>
                <w:sz w:val="24"/>
                <w:szCs w:val="24"/>
                <w:lang w:val="en-US" w:eastAsia="zh-CN"/>
              </w:rPr>
            </w:pPr>
            <w:r>
              <w:rPr>
                <w:rFonts w:hint="eastAsia" w:ascii="宋体" w:hAnsi="宋体" w:cs="宋体"/>
                <w:kern w:val="0"/>
                <w:sz w:val="24"/>
                <w:szCs w:val="24"/>
              </w:rPr>
              <w:t>　</w:t>
            </w:r>
            <w:r>
              <w:rPr>
                <w:rFonts w:hint="eastAsia" w:ascii="宋体" w:hAnsi="宋体" w:cs="宋体"/>
                <w:kern w:val="0"/>
                <w:sz w:val="24"/>
                <w:szCs w:val="24"/>
                <w:lang w:val="en-US" w:eastAsia="zh-CN"/>
              </w:rPr>
              <w:t>3</w:t>
            </w:r>
          </w:p>
        </w:tc>
      </w:tr>
      <w:tr>
        <w:tblPrEx>
          <w:tblCellMar>
            <w:top w:w="0" w:type="dxa"/>
            <w:left w:w="108" w:type="dxa"/>
            <w:bottom w:w="0" w:type="dxa"/>
            <w:right w:w="108" w:type="dxa"/>
          </w:tblCellMar>
        </w:tblPrEx>
        <w:trPr>
          <w:trHeight w:val="1273" w:hRule="atLeast"/>
          <w:jc w:val="center"/>
        </w:trPr>
        <w:tc>
          <w:tcPr>
            <w:tcW w:w="678"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宋体" w:hAnsi="宋体"/>
                <w:kern w:val="0"/>
                <w:sz w:val="24"/>
                <w:szCs w:val="24"/>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宋体" w:hAnsi="宋体"/>
                <w:kern w:val="0"/>
                <w:sz w:val="24"/>
                <w:szCs w:val="24"/>
              </w:rPr>
            </w:pPr>
          </w:p>
        </w:tc>
        <w:tc>
          <w:tcPr>
            <w:tcW w:w="659"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宋体" w:hAnsi="宋体"/>
                <w:kern w:val="0"/>
                <w:sz w:val="24"/>
                <w:szCs w:val="24"/>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宋体" w:hAnsi="宋体"/>
                <w:kern w:val="0"/>
                <w:sz w:val="24"/>
                <w:szCs w:val="24"/>
              </w:rPr>
            </w:pPr>
          </w:p>
        </w:tc>
        <w:tc>
          <w:tcPr>
            <w:tcW w:w="1074" w:type="dxa"/>
            <w:tcBorders>
              <w:top w:val="nil"/>
              <w:left w:val="nil"/>
              <w:bottom w:val="single" w:color="auto" w:sz="4" w:space="0"/>
              <w:right w:val="single" w:color="auto" w:sz="4" w:space="0"/>
            </w:tcBorders>
            <w:vAlign w:val="center"/>
          </w:tcPr>
          <w:p>
            <w:pPr>
              <w:widowControl/>
              <w:spacing w:line="300" w:lineRule="exact"/>
              <w:jc w:val="left"/>
              <w:rPr>
                <w:rFonts w:ascii="宋体" w:hAnsi="宋体"/>
                <w:kern w:val="0"/>
                <w:sz w:val="24"/>
                <w:szCs w:val="24"/>
              </w:rPr>
            </w:pPr>
            <w:r>
              <w:rPr>
                <w:rFonts w:hint="eastAsia" w:ascii="宋体" w:hAnsi="宋体" w:cs="宋体"/>
                <w:kern w:val="0"/>
                <w:sz w:val="24"/>
                <w:szCs w:val="24"/>
              </w:rPr>
              <w:t>预算控制率</w:t>
            </w:r>
          </w:p>
        </w:tc>
        <w:tc>
          <w:tcPr>
            <w:tcW w:w="516" w:type="dxa"/>
            <w:tcBorders>
              <w:top w:val="nil"/>
              <w:left w:val="nil"/>
              <w:bottom w:val="single" w:color="auto" w:sz="4" w:space="0"/>
              <w:right w:val="single" w:color="auto" w:sz="4" w:space="0"/>
            </w:tcBorders>
            <w:vAlign w:val="center"/>
          </w:tcPr>
          <w:p>
            <w:pPr>
              <w:widowControl/>
              <w:spacing w:line="300" w:lineRule="exact"/>
              <w:jc w:val="center"/>
              <w:rPr>
                <w:rFonts w:ascii="宋体" w:hAnsi="宋体"/>
                <w:kern w:val="0"/>
                <w:sz w:val="24"/>
                <w:szCs w:val="24"/>
              </w:rPr>
            </w:pPr>
            <w:r>
              <w:rPr>
                <w:rFonts w:ascii="宋体" w:hAnsi="宋体" w:cs="宋体"/>
                <w:kern w:val="0"/>
                <w:sz w:val="24"/>
                <w:szCs w:val="24"/>
              </w:rPr>
              <w:t>5</w:t>
            </w:r>
          </w:p>
        </w:tc>
        <w:tc>
          <w:tcPr>
            <w:tcW w:w="2878" w:type="dxa"/>
            <w:tcBorders>
              <w:top w:val="nil"/>
              <w:left w:val="nil"/>
              <w:bottom w:val="single" w:color="auto" w:sz="4" w:space="0"/>
              <w:right w:val="single" w:color="auto" w:sz="4" w:space="0"/>
            </w:tcBorders>
            <w:vAlign w:val="center"/>
          </w:tcPr>
          <w:p>
            <w:pPr>
              <w:widowControl/>
              <w:spacing w:line="300" w:lineRule="exact"/>
              <w:jc w:val="left"/>
              <w:rPr>
                <w:rFonts w:ascii="宋体" w:hAnsi="宋体"/>
                <w:kern w:val="0"/>
                <w:sz w:val="24"/>
                <w:szCs w:val="24"/>
              </w:rPr>
            </w:pPr>
            <w:r>
              <w:rPr>
                <w:rFonts w:hint="eastAsia" w:ascii="宋体" w:hAnsi="宋体" w:cs="宋体"/>
                <w:kern w:val="0"/>
                <w:sz w:val="24"/>
                <w:szCs w:val="24"/>
              </w:rPr>
              <w:t>预算控制率</w:t>
            </w:r>
            <w:r>
              <w:rPr>
                <w:rFonts w:ascii="宋体" w:hAnsi="宋体" w:cs="宋体"/>
                <w:kern w:val="0"/>
                <w:sz w:val="24"/>
                <w:szCs w:val="24"/>
              </w:rPr>
              <w:t>=0</w:t>
            </w:r>
            <w:r>
              <w:rPr>
                <w:rFonts w:hint="eastAsia" w:ascii="宋体" w:hAnsi="宋体" w:cs="宋体"/>
                <w:kern w:val="0"/>
                <w:sz w:val="24"/>
                <w:szCs w:val="24"/>
              </w:rPr>
              <w:t>，计</w:t>
            </w:r>
            <w:r>
              <w:rPr>
                <w:rFonts w:ascii="宋体" w:hAnsi="宋体" w:cs="宋体"/>
                <w:kern w:val="0"/>
                <w:sz w:val="24"/>
                <w:szCs w:val="24"/>
              </w:rPr>
              <w:t>5</w:t>
            </w:r>
            <w:r>
              <w:rPr>
                <w:rFonts w:hint="eastAsia" w:ascii="宋体" w:hAnsi="宋体" w:cs="宋体"/>
                <w:kern w:val="0"/>
                <w:sz w:val="24"/>
                <w:szCs w:val="24"/>
              </w:rPr>
              <w:t>分；</w:t>
            </w:r>
            <w:r>
              <w:rPr>
                <w:rFonts w:ascii="宋体" w:hAnsi="宋体" w:cs="宋体"/>
                <w:kern w:val="0"/>
                <w:sz w:val="24"/>
                <w:szCs w:val="24"/>
              </w:rPr>
              <w:t>0-10%</w:t>
            </w:r>
            <w:r>
              <w:rPr>
                <w:rFonts w:hint="eastAsia" w:ascii="宋体" w:hAnsi="宋体" w:cs="宋体"/>
                <w:kern w:val="0"/>
                <w:sz w:val="24"/>
                <w:szCs w:val="24"/>
              </w:rPr>
              <w:t>（含），计</w:t>
            </w:r>
            <w:r>
              <w:rPr>
                <w:rFonts w:ascii="宋体" w:hAnsi="宋体" w:cs="宋体"/>
                <w:kern w:val="0"/>
                <w:sz w:val="24"/>
                <w:szCs w:val="24"/>
              </w:rPr>
              <w:t>4</w:t>
            </w:r>
            <w:r>
              <w:rPr>
                <w:rFonts w:hint="eastAsia" w:ascii="宋体" w:hAnsi="宋体" w:cs="宋体"/>
                <w:kern w:val="0"/>
                <w:sz w:val="24"/>
                <w:szCs w:val="24"/>
              </w:rPr>
              <w:t>分；</w:t>
            </w:r>
            <w:r>
              <w:rPr>
                <w:rFonts w:ascii="宋体" w:hAnsi="宋体" w:cs="宋体"/>
                <w:kern w:val="0"/>
                <w:sz w:val="24"/>
                <w:szCs w:val="24"/>
              </w:rPr>
              <w:t>10-20%</w:t>
            </w:r>
            <w:r>
              <w:rPr>
                <w:rFonts w:hint="eastAsia" w:ascii="宋体" w:hAnsi="宋体" w:cs="宋体"/>
                <w:kern w:val="0"/>
                <w:sz w:val="24"/>
                <w:szCs w:val="24"/>
              </w:rPr>
              <w:t>（含），计</w:t>
            </w:r>
            <w:r>
              <w:rPr>
                <w:rFonts w:ascii="宋体" w:hAnsi="宋体" w:cs="宋体"/>
                <w:kern w:val="0"/>
                <w:sz w:val="24"/>
                <w:szCs w:val="24"/>
              </w:rPr>
              <w:t>3</w:t>
            </w:r>
            <w:r>
              <w:rPr>
                <w:rFonts w:hint="eastAsia" w:ascii="宋体" w:hAnsi="宋体" w:cs="宋体"/>
                <w:kern w:val="0"/>
                <w:sz w:val="24"/>
                <w:szCs w:val="24"/>
              </w:rPr>
              <w:t>分；</w:t>
            </w:r>
            <w:r>
              <w:rPr>
                <w:rFonts w:ascii="宋体" w:hAnsi="宋体" w:cs="宋体"/>
                <w:kern w:val="0"/>
                <w:sz w:val="24"/>
                <w:szCs w:val="24"/>
              </w:rPr>
              <w:t>20-30%</w:t>
            </w:r>
            <w:r>
              <w:rPr>
                <w:rFonts w:hint="eastAsia" w:ascii="宋体" w:hAnsi="宋体" w:cs="宋体"/>
                <w:kern w:val="0"/>
                <w:sz w:val="24"/>
                <w:szCs w:val="24"/>
              </w:rPr>
              <w:t>（含），计</w:t>
            </w:r>
            <w:r>
              <w:rPr>
                <w:rFonts w:ascii="宋体" w:hAnsi="宋体" w:cs="宋体"/>
                <w:kern w:val="0"/>
                <w:sz w:val="24"/>
                <w:szCs w:val="24"/>
              </w:rPr>
              <w:t>2</w:t>
            </w:r>
            <w:r>
              <w:rPr>
                <w:rFonts w:hint="eastAsia" w:ascii="宋体" w:hAnsi="宋体" w:cs="宋体"/>
                <w:kern w:val="0"/>
                <w:sz w:val="24"/>
                <w:szCs w:val="24"/>
              </w:rPr>
              <w:t>分；大于</w:t>
            </w:r>
            <w:r>
              <w:rPr>
                <w:rFonts w:ascii="宋体" w:hAnsi="宋体" w:cs="宋体"/>
                <w:kern w:val="0"/>
                <w:sz w:val="24"/>
                <w:szCs w:val="24"/>
              </w:rPr>
              <w:t>30%</w:t>
            </w:r>
            <w:r>
              <w:rPr>
                <w:rFonts w:hint="eastAsia" w:ascii="宋体" w:hAnsi="宋体" w:cs="宋体"/>
                <w:kern w:val="0"/>
                <w:sz w:val="24"/>
                <w:szCs w:val="24"/>
              </w:rPr>
              <w:t>不得分。</w:t>
            </w:r>
          </w:p>
        </w:tc>
        <w:tc>
          <w:tcPr>
            <w:tcW w:w="3312" w:type="dxa"/>
            <w:tcBorders>
              <w:top w:val="nil"/>
              <w:left w:val="nil"/>
              <w:bottom w:val="single" w:color="auto" w:sz="4" w:space="0"/>
              <w:right w:val="single" w:color="auto" w:sz="4" w:space="0"/>
            </w:tcBorders>
            <w:vAlign w:val="center"/>
          </w:tcPr>
          <w:p>
            <w:pPr>
              <w:widowControl/>
              <w:spacing w:line="300" w:lineRule="exact"/>
              <w:jc w:val="left"/>
              <w:rPr>
                <w:rFonts w:ascii="宋体" w:hAnsi="宋体"/>
                <w:kern w:val="0"/>
                <w:sz w:val="24"/>
                <w:szCs w:val="24"/>
              </w:rPr>
            </w:pPr>
            <w:r>
              <w:rPr>
                <w:rFonts w:hint="eastAsia" w:ascii="宋体" w:hAnsi="宋体" w:cs="宋体"/>
                <w:kern w:val="0"/>
                <w:sz w:val="24"/>
                <w:szCs w:val="24"/>
              </w:rPr>
              <w:t>预算控制率</w:t>
            </w:r>
            <w:r>
              <w:rPr>
                <w:rFonts w:ascii="宋体" w:hAnsi="宋体" w:cs="宋体"/>
                <w:kern w:val="0"/>
                <w:sz w:val="24"/>
                <w:szCs w:val="24"/>
              </w:rPr>
              <w:t>=</w:t>
            </w:r>
            <w:r>
              <w:rPr>
                <w:rFonts w:hint="eastAsia" w:ascii="宋体" w:hAnsi="宋体" w:cs="宋体"/>
                <w:kern w:val="0"/>
                <w:sz w:val="24"/>
                <w:szCs w:val="24"/>
              </w:rPr>
              <w:t>（本年追加预算</w:t>
            </w:r>
            <w:r>
              <w:rPr>
                <w:rFonts w:ascii="宋体" w:hAnsi="宋体" w:cs="宋体"/>
                <w:kern w:val="0"/>
                <w:sz w:val="24"/>
                <w:szCs w:val="24"/>
              </w:rPr>
              <w:t>/</w:t>
            </w:r>
            <w:r>
              <w:rPr>
                <w:rFonts w:hint="eastAsia" w:ascii="宋体" w:hAnsi="宋体" w:cs="宋体"/>
                <w:kern w:val="0"/>
                <w:sz w:val="24"/>
                <w:szCs w:val="24"/>
              </w:rPr>
              <w:t>年初预算）×</w:t>
            </w:r>
            <w:r>
              <w:rPr>
                <w:rFonts w:ascii="宋体" w:hAnsi="宋体" w:cs="宋体"/>
                <w:kern w:val="0"/>
                <w:sz w:val="24"/>
                <w:szCs w:val="24"/>
              </w:rPr>
              <w:t>100%</w:t>
            </w:r>
            <w:r>
              <w:rPr>
                <w:rFonts w:hint="eastAsia" w:ascii="宋体" w:hAnsi="宋体" w:cs="宋体"/>
                <w:kern w:val="0"/>
                <w:sz w:val="24"/>
                <w:szCs w:val="24"/>
              </w:rPr>
              <w:t>。</w:t>
            </w:r>
          </w:p>
        </w:tc>
        <w:tc>
          <w:tcPr>
            <w:tcW w:w="622" w:type="dxa"/>
            <w:tcBorders>
              <w:top w:val="nil"/>
              <w:left w:val="nil"/>
              <w:bottom w:val="single" w:color="auto" w:sz="4" w:space="0"/>
              <w:right w:val="single" w:color="auto" w:sz="4" w:space="0"/>
            </w:tcBorders>
            <w:vAlign w:val="center"/>
          </w:tcPr>
          <w:p>
            <w:pPr>
              <w:widowControl/>
              <w:spacing w:line="300" w:lineRule="exact"/>
              <w:jc w:val="right"/>
              <w:rPr>
                <w:rFonts w:ascii="宋体" w:hAnsi="宋体"/>
                <w:kern w:val="0"/>
                <w:sz w:val="24"/>
                <w:szCs w:val="24"/>
              </w:rPr>
            </w:pPr>
            <w:r>
              <w:rPr>
                <w:rFonts w:ascii="宋体" w:hAnsi="宋体" w:cs="宋体"/>
                <w:kern w:val="0"/>
                <w:sz w:val="24"/>
                <w:szCs w:val="24"/>
              </w:rPr>
              <w:t>3</w:t>
            </w:r>
          </w:p>
        </w:tc>
      </w:tr>
      <w:tr>
        <w:tblPrEx>
          <w:tblCellMar>
            <w:top w:w="0" w:type="dxa"/>
            <w:left w:w="108" w:type="dxa"/>
            <w:bottom w:w="0" w:type="dxa"/>
            <w:right w:w="108" w:type="dxa"/>
          </w:tblCellMar>
        </w:tblPrEx>
        <w:trPr>
          <w:trHeight w:val="1160" w:hRule="atLeast"/>
          <w:jc w:val="center"/>
        </w:trPr>
        <w:tc>
          <w:tcPr>
            <w:tcW w:w="678"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宋体" w:hAnsi="宋体"/>
                <w:kern w:val="0"/>
                <w:sz w:val="24"/>
                <w:szCs w:val="24"/>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宋体" w:hAnsi="宋体"/>
                <w:kern w:val="0"/>
                <w:sz w:val="24"/>
                <w:szCs w:val="24"/>
              </w:rPr>
            </w:pPr>
          </w:p>
        </w:tc>
        <w:tc>
          <w:tcPr>
            <w:tcW w:w="659"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宋体" w:hAnsi="宋体"/>
                <w:kern w:val="0"/>
                <w:sz w:val="24"/>
                <w:szCs w:val="24"/>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宋体" w:hAnsi="宋体"/>
                <w:kern w:val="0"/>
                <w:sz w:val="24"/>
                <w:szCs w:val="24"/>
              </w:rPr>
            </w:pPr>
          </w:p>
        </w:tc>
        <w:tc>
          <w:tcPr>
            <w:tcW w:w="1074" w:type="dxa"/>
            <w:tcBorders>
              <w:top w:val="nil"/>
              <w:left w:val="nil"/>
              <w:bottom w:val="single" w:color="auto" w:sz="4" w:space="0"/>
              <w:right w:val="single" w:color="auto" w:sz="4" w:space="0"/>
            </w:tcBorders>
            <w:vAlign w:val="center"/>
          </w:tcPr>
          <w:p>
            <w:pPr>
              <w:widowControl/>
              <w:spacing w:line="300" w:lineRule="exact"/>
              <w:jc w:val="left"/>
              <w:rPr>
                <w:rFonts w:ascii="宋体" w:hAnsi="宋体"/>
                <w:kern w:val="0"/>
                <w:sz w:val="24"/>
                <w:szCs w:val="24"/>
              </w:rPr>
            </w:pPr>
            <w:r>
              <w:rPr>
                <w:rFonts w:hint="eastAsia" w:ascii="宋体" w:hAnsi="宋体" w:cs="宋体"/>
                <w:kern w:val="0"/>
                <w:sz w:val="24"/>
                <w:szCs w:val="24"/>
              </w:rPr>
              <w:t>新建楼堂馆所面积控制率</w:t>
            </w:r>
          </w:p>
        </w:tc>
        <w:tc>
          <w:tcPr>
            <w:tcW w:w="516" w:type="dxa"/>
            <w:tcBorders>
              <w:top w:val="nil"/>
              <w:left w:val="nil"/>
              <w:bottom w:val="single" w:color="auto" w:sz="4" w:space="0"/>
              <w:right w:val="single" w:color="auto" w:sz="4" w:space="0"/>
            </w:tcBorders>
            <w:vAlign w:val="center"/>
          </w:tcPr>
          <w:p>
            <w:pPr>
              <w:widowControl/>
              <w:spacing w:line="300" w:lineRule="exact"/>
              <w:jc w:val="center"/>
              <w:rPr>
                <w:rFonts w:ascii="宋体" w:hAnsi="宋体"/>
                <w:kern w:val="0"/>
                <w:sz w:val="24"/>
                <w:szCs w:val="24"/>
              </w:rPr>
            </w:pPr>
            <w:r>
              <w:rPr>
                <w:rFonts w:ascii="宋体" w:hAnsi="宋体" w:cs="宋体"/>
                <w:kern w:val="0"/>
                <w:sz w:val="24"/>
                <w:szCs w:val="24"/>
              </w:rPr>
              <w:t>5</w:t>
            </w:r>
          </w:p>
        </w:tc>
        <w:tc>
          <w:tcPr>
            <w:tcW w:w="2878" w:type="dxa"/>
            <w:tcBorders>
              <w:top w:val="nil"/>
              <w:left w:val="nil"/>
              <w:bottom w:val="single" w:color="auto" w:sz="4" w:space="0"/>
              <w:right w:val="single" w:color="auto" w:sz="4" w:space="0"/>
            </w:tcBorders>
            <w:vAlign w:val="center"/>
          </w:tcPr>
          <w:p>
            <w:pPr>
              <w:widowControl/>
              <w:spacing w:line="300" w:lineRule="exact"/>
              <w:jc w:val="left"/>
              <w:rPr>
                <w:rFonts w:ascii="宋体" w:hAnsi="宋体"/>
                <w:kern w:val="0"/>
                <w:sz w:val="24"/>
                <w:szCs w:val="24"/>
              </w:rPr>
            </w:pPr>
            <w:r>
              <w:rPr>
                <w:rFonts w:ascii="宋体" w:hAnsi="宋体" w:cs="宋体"/>
                <w:kern w:val="0"/>
                <w:sz w:val="24"/>
                <w:szCs w:val="24"/>
              </w:rPr>
              <w:t>100%</w:t>
            </w:r>
            <w:r>
              <w:rPr>
                <w:rFonts w:hint="eastAsia" w:ascii="宋体" w:hAnsi="宋体" w:cs="宋体"/>
                <w:kern w:val="0"/>
                <w:sz w:val="24"/>
                <w:szCs w:val="24"/>
              </w:rPr>
              <w:t>以下（含）计满分，每超出</w:t>
            </w:r>
            <w:r>
              <w:rPr>
                <w:rFonts w:ascii="宋体" w:hAnsi="宋体" w:cs="宋体"/>
                <w:kern w:val="0"/>
                <w:sz w:val="24"/>
                <w:szCs w:val="24"/>
              </w:rPr>
              <w:t>5%</w:t>
            </w:r>
            <w:r>
              <w:rPr>
                <w:rFonts w:hint="eastAsia" w:ascii="宋体" w:hAnsi="宋体" w:cs="宋体"/>
                <w:kern w:val="0"/>
                <w:sz w:val="24"/>
                <w:szCs w:val="24"/>
              </w:rPr>
              <w:t>扣</w:t>
            </w:r>
            <w:r>
              <w:rPr>
                <w:rFonts w:ascii="宋体" w:hAnsi="宋体" w:cs="宋体"/>
                <w:kern w:val="0"/>
                <w:sz w:val="24"/>
                <w:szCs w:val="24"/>
              </w:rPr>
              <w:t>2</w:t>
            </w:r>
            <w:r>
              <w:rPr>
                <w:rFonts w:hint="eastAsia" w:ascii="宋体" w:hAnsi="宋体" w:cs="宋体"/>
                <w:kern w:val="0"/>
                <w:sz w:val="24"/>
                <w:szCs w:val="24"/>
              </w:rPr>
              <w:t>分，扣完为止。没有楼堂馆所项目的部门按满分计算。</w:t>
            </w:r>
          </w:p>
        </w:tc>
        <w:tc>
          <w:tcPr>
            <w:tcW w:w="3312" w:type="dxa"/>
            <w:tcBorders>
              <w:top w:val="nil"/>
              <w:left w:val="nil"/>
              <w:bottom w:val="single" w:color="auto" w:sz="4" w:space="0"/>
              <w:right w:val="single" w:color="auto" w:sz="4" w:space="0"/>
            </w:tcBorders>
            <w:vAlign w:val="center"/>
          </w:tcPr>
          <w:p>
            <w:pPr>
              <w:widowControl/>
              <w:spacing w:line="300" w:lineRule="exact"/>
              <w:jc w:val="left"/>
              <w:rPr>
                <w:rFonts w:ascii="宋体" w:hAnsi="宋体"/>
                <w:kern w:val="0"/>
                <w:sz w:val="24"/>
                <w:szCs w:val="24"/>
              </w:rPr>
            </w:pPr>
            <w:r>
              <w:rPr>
                <w:rFonts w:hint="eastAsia" w:ascii="宋体" w:hAnsi="宋体" w:cs="宋体"/>
                <w:kern w:val="0"/>
                <w:sz w:val="24"/>
                <w:szCs w:val="24"/>
              </w:rPr>
              <w:t>楼堂馆所面积控制率</w:t>
            </w:r>
            <w:r>
              <w:rPr>
                <w:rFonts w:ascii="宋体" w:hAnsi="宋体" w:cs="宋体"/>
                <w:kern w:val="0"/>
                <w:sz w:val="24"/>
                <w:szCs w:val="24"/>
              </w:rPr>
              <w:t>=</w:t>
            </w:r>
            <w:r>
              <w:rPr>
                <w:rFonts w:hint="eastAsia" w:ascii="宋体" w:hAnsi="宋体" w:cs="宋体"/>
                <w:kern w:val="0"/>
                <w:sz w:val="24"/>
                <w:szCs w:val="24"/>
              </w:rPr>
              <w:t>实际建设面积</w:t>
            </w:r>
            <w:r>
              <w:rPr>
                <w:rFonts w:ascii="宋体" w:hAnsi="宋体" w:cs="宋体"/>
                <w:kern w:val="0"/>
                <w:sz w:val="24"/>
                <w:szCs w:val="24"/>
              </w:rPr>
              <w:t>/</w:t>
            </w:r>
            <w:r>
              <w:rPr>
                <w:rFonts w:hint="eastAsia" w:ascii="宋体" w:hAnsi="宋体" w:cs="宋体"/>
                <w:kern w:val="0"/>
                <w:sz w:val="24"/>
                <w:szCs w:val="24"/>
              </w:rPr>
              <w:t>批准建设面积×</w:t>
            </w:r>
            <w:r>
              <w:rPr>
                <w:rFonts w:ascii="宋体" w:hAnsi="宋体" w:cs="宋体"/>
                <w:kern w:val="0"/>
                <w:sz w:val="24"/>
                <w:szCs w:val="24"/>
              </w:rPr>
              <w:t xml:space="preserve">100% </w:t>
            </w:r>
            <w:r>
              <w:rPr>
                <w:rFonts w:hint="eastAsia" w:ascii="宋体" w:hAnsi="宋体" w:cs="宋体"/>
                <w:kern w:val="0"/>
                <w:sz w:val="24"/>
                <w:szCs w:val="24"/>
              </w:rPr>
              <w:t>。</w:t>
            </w:r>
            <w:r>
              <w:rPr>
                <w:rFonts w:ascii="宋体" w:hAnsi="宋体"/>
                <w:kern w:val="0"/>
                <w:sz w:val="24"/>
                <w:szCs w:val="24"/>
              </w:rPr>
              <w:br w:type="textWrapping"/>
            </w:r>
            <w:r>
              <w:rPr>
                <w:rFonts w:hint="eastAsia" w:ascii="宋体" w:hAnsi="宋体" w:cs="宋体"/>
                <w:kern w:val="0"/>
                <w:sz w:val="24"/>
                <w:szCs w:val="24"/>
              </w:rPr>
              <w:t>该指标以</w:t>
            </w:r>
            <w:r>
              <w:rPr>
                <w:rFonts w:ascii="宋体" w:hAnsi="宋体" w:cs="宋体"/>
                <w:kern w:val="0"/>
                <w:sz w:val="24"/>
                <w:szCs w:val="24"/>
              </w:rPr>
              <w:t>2015</w:t>
            </w:r>
            <w:r>
              <w:rPr>
                <w:rFonts w:hint="eastAsia" w:ascii="宋体" w:hAnsi="宋体" w:cs="宋体"/>
                <w:kern w:val="0"/>
                <w:sz w:val="24"/>
                <w:szCs w:val="24"/>
              </w:rPr>
              <w:t>年完工的新建楼堂馆所为评价内容。</w:t>
            </w:r>
          </w:p>
        </w:tc>
        <w:tc>
          <w:tcPr>
            <w:tcW w:w="622" w:type="dxa"/>
            <w:tcBorders>
              <w:top w:val="nil"/>
              <w:left w:val="nil"/>
              <w:bottom w:val="single" w:color="auto" w:sz="4" w:space="0"/>
              <w:right w:val="single" w:color="auto" w:sz="4" w:space="0"/>
            </w:tcBorders>
            <w:vAlign w:val="center"/>
          </w:tcPr>
          <w:p>
            <w:pPr>
              <w:widowControl/>
              <w:spacing w:line="300" w:lineRule="exact"/>
              <w:jc w:val="left"/>
              <w:rPr>
                <w:rFonts w:ascii="宋体" w:hAnsi="宋体"/>
                <w:kern w:val="0"/>
                <w:sz w:val="24"/>
                <w:szCs w:val="24"/>
              </w:rPr>
            </w:pPr>
            <w:r>
              <w:rPr>
                <w:rFonts w:hint="eastAsia" w:ascii="宋体" w:hAnsi="宋体" w:cs="宋体"/>
                <w:kern w:val="0"/>
                <w:sz w:val="24"/>
                <w:szCs w:val="24"/>
              </w:rPr>
              <w:t>　</w:t>
            </w:r>
            <w:r>
              <w:rPr>
                <w:rFonts w:ascii="宋体" w:hAnsi="宋体" w:cs="宋体"/>
                <w:kern w:val="0"/>
                <w:sz w:val="24"/>
                <w:szCs w:val="24"/>
              </w:rPr>
              <w:t>5</w:t>
            </w:r>
          </w:p>
        </w:tc>
      </w:tr>
      <w:tr>
        <w:tblPrEx>
          <w:tblCellMar>
            <w:top w:w="0" w:type="dxa"/>
            <w:left w:w="108" w:type="dxa"/>
            <w:bottom w:w="0" w:type="dxa"/>
            <w:right w:w="108" w:type="dxa"/>
          </w:tblCellMar>
        </w:tblPrEx>
        <w:trPr>
          <w:trHeight w:val="1306" w:hRule="atLeast"/>
          <w:jc w:val="center"/>
        </w:trPr>
        <w:tc>
          <w:tcPr>
            <w:tcW w:w="678"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宋体" w:hAnsi="宋体"/>
                <w:kern w:val="0"/>
                <w:sz w:val="24"/>
                <w:szCs w:val="24"/>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宋体" w:hAnsi="宋体"/>
                <w:kern w:val="0"/>
                <w:sz w:val="24"/>
                <w:szCs w:val="24"/>
              </w:rPr>
            </w:pPr>
          </w:p>
        </w:tc>
        <w:tc>
          <w:tcPr>
            <w:tcW w:w="659"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宋体" w:hAnsi="宋体"/>
                <w:kern w:val="0"/>
                <w:sz w:val="24"/>
                <w:szCs w:val="24"/>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宋体" w:hAnsi="宋体"/>
                <w:kern w:val="0"/>
                <w:sz w:val="24"/>
                <w:szCs w:val="24"/>
              </w:rPr>
            </w:pPr>
          </w:p>
        </w:tc>
        <w:tc>
          <w:tcPr>
            <w:tcW w:w="1074" w:type="dxa"/>
            <w:tcBorders>
              <w:top w:val="nil"/>
              <w:left w:val="nil"/>
              <w:bottom w:val="single" w:color="auto" w:sz="4" w:space="0"/>
              <w:right w:val="single" w:color="auto" w:sz="4" w:space="0"/>
            </w:tcBorders>
            <w:vAlign w:val="center"/>
          </w:tcPr>
          <w:p>
            <w:pPr>
              <w:widowControl/>
              <w:spacing w:line="300" w:lineRule="exact"/>
              <w:jc w:val="left"/>
              <w:rPr>
                <w:rFonts w:ascii="宋体" w:hAnsi="宋体"/>
                <w:kern w:val="0"/>
                <w:sz w:val="24"/>
                <w:szCs w:val="24"/>
              </w:rPr>
            </w:pPr>
            <w:r>
              <w:rPr>
                <w:rFonts w:hint="eastAsia" w:ascii="宋体" w:hAnsi="宋体" w:cs="宋体"/>
                <w:kern w:val="0"/>
                <w:sz w:val="24"/>
                <w:szCs w:val="24"/>
              </w:rPr>
              <w:t>新建楼堂馆所投资概算控制率</w:t>
            </w:r>
          </w:p>
        </w:tc>
        <w:tc>
          <w:tcPr>
            <w:tcW w:w="516" w:type="dxa"/>
            <w:tcBorders>
              <w:top w:val="nil"/>
              <w:left w:val="nil"/>
              <w:bottom w:val="single" w:color="auto" w:sz="4" w:space="0"/>
              <w:right w:val="single" w:color="auto" w:sz="4" w:space="0"/>
            </w:tcBorders>
            <w:vAlign w:val="center"/>
          </w:tcPr>
          <w:p>
            <w:pPr>
              <w:widowControl/>
              <w:spacing w:line="300" w:lineRule="exact"/>
              <w:jc w:val="center"/>
              <w:rPr>
                <w:rFonts w:ascii="宋体" w:hAnsi="宋体"/>
                <w:kern w:val="0"/>
                <w:sz w:val="24"/>
                <w:szCs w:val="24"/>
              </w:rPr>
            </w:pPr>
            <w:r>
              <w:rPr>
                <w:rFonts w:ascii="宋体" w:hAnsi="宋体" w:cs="宋体"/>
                <w:kern w:val="0"/>
                <w:sz w:val="24"/>
                <w:szCs w:val="24"/>
              </w:rPr>
              <w:t>5</w:t>
            </w:r>
          </w:p>
        </w:tc>
        <w:tc>
          <w:tcPr>
            <w:tcW w:w="2878" w:type="dxa"/>
            <w:tcBorders>
              <w:top w:val="nil"/>
              <w:left w:val="nil"/>
              <w:bottom w:val="single" w:color="auto" w:sz="4" w:space="0"/>
              <w:right w:val="single" w:color="auto" w:sz="4" w:space="0"/>
            </w:tcBorders>
            <w:vAlign w:val="center"/>
          </w:tcPr>
          <w:p>
            <w:pPr>
              <w:widowControl/>
              <w:spacing w:line="300" w:lineRule="exact"/>
              <w:jc w:val="left"/>
              <w:rPr>
                <w:rFonts w:ascii="宋体" w:hAnsi="宋体"/>
                <w:kern w:val="0"/>
                <w:sz w:val="24"/>
                <w:szCs w:val="24"/>
              </w:rPr>
            </w:pPr>
            <w:r>
              <w:rPr>
                <w:rFonts w:ascii="宋体" w:hAnsi="宋体" w:cs="宋体"/>
                <w:kern w:val="0"/>
                <w:sz w:val="24"/>
                <w:szCs w:val="24"/>
              </w:rPr>
              <w:t>100%</w:t>
            </w:r>
            <w:r>
              <w:rPr>
                <w:rFonts w:hint="eastAsia" w:ascii="宋体" w:hAnsi="宋体" w:cs="宋体"/>
                <w:kern w:val="0"/>
                <w:sz w:val="24"/>
                <w:szCs w:val="24"/>
              </w:rPr>
              <w:t>以下（含）计满分，每超出</w:t>
            </w:r>
            <w:r>
              <w:rPr>
                <w:rFonts w:ascii="宋体" w:hAnsi="宋体" w:cs="宋体"/>
                <w:kern w:val="0"/>
                <w:sz w:val="24"/>
                <w:szCs w:val="24"/>
              </w:rPr>
              <w:t>5%</w:t>
            </w:r>
            <w:r>
              <w:rPr>
                <w:rFonts w:hint="eastAsia" w:ascii="宋体" w:hAnsi="宋体" w:cs="宋体"/>
                <w:kern w:val="0"/>
                <w:sz w:val="24"/>
                <w:szCs w:val="24"/>
              </w:rPr>
              <w:t>扣</w:t>
            </w:r>
            <w:r>
              <w:rPr>
                <w:rFonts w:ascii="宋体" w:hAnsi="宋体" w:cs="宋体"/>
                <w:kern w:val="0"/>
                <w:sz w:val="24"/>
                <w:szCs w:val="24"/>
              </w:rPr>
              <w:t>2</w:t>
            </w:r>
            <w:r>
              <w:rPr>
                <w:rFonts w:hint="eastAsia" w:ascii="宋体" w:hAnsi="宋体" w:cs="宋体"/>
                <w:kern w:val="0"/>
                <w:sz w:val="24"/>
                <w:szCs w:val="24"/>
              </w:rPr>
              <w:t>分，扣完为止。</w:t>
            </w:r>
          </w:p>
        </w:tc>
        <w:tc>
          <w:tcPr>
            <w:tcW w:w="3312" w:type="dxa"/>
            <w:tcBorders>
              <w:top w:val="nil"/>
              <w:left w:val="nil"/>
              <w:bottom w:val="single" w:color="auto" w:sz="4" w:space="0"/>
              <w:right w:val="single" w:color="auto" w:sz="4" w:space="0"/>
            </w:tcBorders>
            <w:vAlign w:val="center"/>
          </w:tcPr>
          <w:p>
            <w:pPr>
              <w:widowControl/>
              <w:spacing w:line="300" w:lineRule="exact"/>
              <w:jc w:val="left"/>
              <w:rPr>
                <w:rFonts w:ascii="宋体" w:hAnsi="宋体"/>
                <w:kern w:val="0"/>
                <w:sz w:val="24"/>
                <w:szCs w:val="24"/>
              </w:rPr>
            </w:pPr>
            <w:r>
              <w:rPr>
                <w:rFonts w:hint="eastAsia" w:ascii="宋体" w:hAnsi="宋体" w:cs="宋体"/>
                <w:kern w:val="0"/>
                <w:sz w:val="24"/>
                <w:szCs w:val="24"/>
              </w:rPr>
              <w:t>楼堂馆所投资预算控制率</w:t>
            </w:r>
            <w:r>
              <w:rPr>
                <w:rFonts w:ascii="宋体" w:hAnsi="宋体" w:cs="宋体"/>
                <w:kern w:val="0"/>
                <w:sz w:val="24"/>
                <w:szCs w:val="24"/>
              </w:rPr>
              <w:t>=</w:t>
            </w:r>
            <w:r>
              <w:rPr>
                <w:rFonts w:hint="eastAsia" w:ascii="宋体" w:hAnsi="宋体" w:cs="宋体"/>
                <w:kern w:val="0"/>
                <w:sz w:val="24"/>
                <w:szCs w:val="24"/>
              </w:rPr>
              <w:t>实际投资金额</w:t>
            </w:r>
            <w:r>
              <w:rPr>
                <w:rFonts w:ascii="宋体" w:hAnsi="宋体" w:cs="宋体"/>
                <w:kern w:val="0"/>
                <w:sz w:val="24"/>
                <w:szCs w:val="24"/>
              </w:rPr>
              <w:t>/</w:t>
            </w:r>
            <w:r>
              <w:rPr>
                <w:rFonts w:hint="eastAsia" w:ascii="宋体" w:hAnsi="宋体" w:cs="宋体"/>
                <w:kern w:val="0"/>
                <w:sz w:val="24"/>
                <w:szCs w:val="24"/>
              </w:rPr>
              <w:t>批准投资金额×</w:t>
            </w:r>
            <w:r>
              <w:rPr>
                <w:rFonts w:ascii="宋体" w:hAnsi="宋体" w:cs="宋体"/>
                <w:kern w:val="0"/>
                <w:sz w:val="24"/>
                <w:szCs w:val="24"/>
              </w:rPr>
              <w:t xml:space="preserve">100% </w:t>
            </w:r>
            <w:r>
              <w:rPr>
                <w:rFonts w:hint="eastAsia" w:ascii="宋体" w:hAnsi="宋体" w:cs="宋体"/>
                <w:kern w:val="0"/>
                <w:sz w:val="24"/>
                <w:szCs w:val="24"/>
              </w:rPr>
              <w:t>。</w:t>
            </w:r>
            <w:r>
              <w:rPr>
                <w:rFonts w:ascii="宋体" w:hAnsi="宋体"/>
                <w:kern w:val="0"/>
                <w:sz w:val="24"/>
                <w:szCs w:val="24"/>
              </w:rPr>
              <w:br w:type="textWrapping"/>
            </w:r>
            <w:r>
              <w:rPr>
                <w:rFonts w:hint="eastAsia" w:ascii="宋体" w:hAnsi="宋体" w:cs="宋体"/>
                <w:kern w:val="0"/>
                <w:sz w:val="24"/>
                <w:szCs w:val="24"/>
              </w:rPr>
              <w:t>该指标以</w:t>
            </w:r>
            <w:r>
              <w:rPr>
                <w:rFonts w:ascii="宋体" w:hAnsi="宋体" w:cs="宋体"/>
                <w:kern w:val="0"/>
                <w:sz w:val="24"/>
                <w:szCs w:val="24"/>
              </w:rPr>
              <w:t>2015</w:t>
            </w:r>
            <w:r>
              <w:rPr>
                <w:rFonts w:hint="eastAsia" w:ascii="宋体" w:hAnsi="宋体" w:cs="宋体"/>
                <w:kern w:val="0"/>
                <w:sz w:val="24"/>
                <w:szCs w:val="24"/>
              </w:rPr>
              <w:t>年完工的新建楼堂馆所为评价内容。</w:t>
            </w:r>
          </w:p>
        </w:tc>
        <w:tc>
          <w:tcPr>
            <w:tcW w:w="622" w:type="dxa"/>
            <w:tcBorders>
              <w:top w:val="nil"/>
              <w:left w:val="nil"/>
              <w:bottom w:val="single" w:color="auto" w:sz="4" w:space="0"/>
              <w:right w:val="single" w:color="auto" w:sz="4" w:space="0"/>
            </w:tcBorders>
            <w:vAlign w:val="center"/>
          </w:tcPr>
          <w:p>
            <w:pPr>
              <w:widowControl/>
              <w:spacing w:line="300" w:lineRule="exact"/>
              <w:jc w:val="left"/>
              <w:rPr>
                <w:rFonts w:ascii="宋体" w:hAnsi="宋体"/>
                <w:kern w:val="0"/>
                <w:sz w:val="24"/>
                <w:szCs w:val="24"/>
              </w:rPr>
            </w:pPr>
            <w:r>
              <w:rPr>
                <w:rFonts w:hint="eastAsia" w:ascii="宋体" w:hAnsi="宋体" w:cs="宋体"/>
                <w:kern w:val="0"/>
                <w:sz w:val="24"/>
                <w:szCs w:val="24"/>
              </w:rPr>
              <w:t>　</w:t>
            </w:r>
            <w:r>
              <w:rPr>
                <w:rFonts w:ascii="宋体" w:hAnsi="宋体" w:cs="宋体"/>
                <w:kern w:val="0"/>
                <w:sz w:val="24"/>
                <w:szCs w:val="24"/>
              </w:rPr>
              <w:t>5</w:t>
            </w:r>
          </w:p>
        </w:tc>
      </w:tr>
      <w:tr>
        <w:tblPrEx>
          <w:tblCellMar>
            <w:top w:w="0" w:type="dxa"/>
            <w:left w:w="108" w:type="dxa"/>
            <w:bottom w:w="0" w:type="dxa"/>
            <w:right w:w="108" w:type="dxa"/>
          </w:tblCellMar>
        </w:tblPrEx>
        <w:trPr>
          <w:trHeight w:val="1672" w:hRule="atLeast"/>
          <w:jc w:val="center"/>
        </w:trPr>
        <w:tc>
          <w:tcPr>
            <w:tcW w:w="678"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宋体" w:hAnsi="宋体"/>
                <w:kern w:val="0"/>
                <w:sz w:val="24"/>
                <w:szCs w:val="24"/>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宋体" w:hAnsi="宋体"/>
                <w:kern w:val="0"/>
                <w:sz w:val="24"/>
                <w:szCs w:val="24"/>
              </w:rPr>
            </w:pPr>
          </w:p>
        </w:tc>
        <w:tc>
          <w:tcPr>
            <w:tcW w:w="659" w:type="dxa"/>
            <w:vMerge w:val="restart"/>
            <w:tcBorders>
              <w:top w:val="nil"/>
              <w:left w:val="single" w:color="auto" w:sz="4" w:space="0"/>
              <w:bottom w:val="single" w:color="000000" w:sz="4" w:space="0"/>
              <w:right w:val="single" w:color="auto" w:sz="4" w:space="0"/>
            </w:tcBorders>
            <w:vAlign w:val="center"/>
          </w:tcPr>
          <w:p>
            <w:pPr>
              <w:widowControl/>
              <w:spacing w:line="300" w:lineRule="exact"/>
              <w:jc w:val="center"/>
              <w:rPr>
                <w:rFonts w:ascii="宋体" w:hAnsi="宋体"/>
                <w:kern w:val="0"/>
                <w:sz w:val="24"/>
                <w:szCs w:val="24"/>
              </w:rPr>
            </w:pPr>
            <w:r>
              <w:rPr>
                <w:rFonts w:hint="eastAsia" w:ascii="宋体" w:hAnsi="宋体" w:cs="宋体"/>
                <w:kern w:val="0"/>
                <w:sz w:val="24"/>
                <w:szCs w:val="24"/>
              </w:rPr>
              <w:t>预算管理</w:t>
            </w:r>
          </w:p>
        </w:tc>
        <w:tc>
          <w:tcPr>
            <w:tcW w:w="516" w:type="dxa"/>
            <w:vMerge w:val="restart"/>
            <w:tcBorders>
              <w:top w:val="nil"/>
              <w:left w:val="single" w:color="auto" w:sz="4" w:space="0"/>
              <w:bottom w:val="single" w:color="000000" w:sz="4" w:space="0"/>
              <w:right w:val="single" w:color="auto" w:sz="4" w:space="0"/>
            </w:tcBorders>
            <w:vAlign w:val="center"/>
          </w:tcPr>
          <w:p>
            <w:pPr>
              <w:widowControl/>
              <w:spacing w:line="300" w:lineRule="exact"/>
              <w:jc w:val="center"/>
              <w:rPr>
                <w:rFonts w:ascii="宋体" w:hAnsi="宋体"/>
                <w:kern w:val="0"/>
                <w:sz w:val="24"/>
                <w:szCs w:val="24"/>
              </w:rPr>
            </w:pPr>
            <w:r>
              <w:rPr>
                <w:rFonts w:ascii="宋体" w:hAnsi="宋体" w:cs="宋体"/>
                <w:kern w:val="0"/>
                <w:sz w:val="24"/>
                <w:szCs w:val="24"/>
              </w:rPr>
              <w:t>41</w:t>
            </w:r>
          </w:p>
        </w:tc>
        <w:tc>
          <w:tcPr>
            <w:tcW w:w="1074" w:type="dxa"/>
            <w:tcBorders>
              <w:top w:val="nil"/>
              <w:left w:val="nil"/>
              <w:bottom w:val="single" w:color="auto" w:sz="4" w:space="0"/>
              <w:right w:val="single" w:color="auto" w:sz="4" w:space="0"/>
            </w:tcBorders>
            <w:vAlign w:val="center"/>
          </w:tcPr>
          <w:p>
            <w:pPr>
              <w:widowControl/>
              <w:spacing w:line="300" w:lineRule="exact"/>
              <w:jc w:val="left"/>
              <w:rPr>
                <w:rFonts w:ascii="宋体" w:hAnsi="宋体"/>
                <w:kern w:val="0"/>
                <w:sz w:val="24"/>
                <w:szCs w:val="24"/>
              </w:rPr>
            </w:pPr>
            <w:r>
              <w:rPr>
                <w:rFonts w:hint="eastAsia" w:ascii="宋体" w:hAnsi="宋体" w:cs="宋体"/>
                <w:kern w:val="0"/>
                <w:sz w:val="24"/>
                <w:szCs w:val="24"/>
              </w:rPr>
              <w:t>公用经费控制率</w:t>
            </w:r>
          </w:p>
        </w:tc>
        <w:tc>
          <w:tcPr>
            <w:tcW w:w="516" w:type="dxa"/>
            <w:tcBorders>
              <w:top w:val="nil"/>
              <w:left w:val="nil"/>
              <w:bottom w:val="single" w:color="auto" w:sz="4" w:space="0"/>
              <w:right w:val="single" w:color="auto" w:sz="4" w:space="0"/>
            </w:tcBorders>
            <w:vAlign w:val="center"/>
          </w:tcPr>
          <w:p>
            <w:pPr>
              <w:widowControl/>
              <w:spacing w:line="300" w:lineRule="exact"/>
              <w:jc w:val="center"/>
              <w:rPr>
                <w:rFonts w:ascii="宋体" w:hAnsi="宋体"/>
                <w:kern w:val="0"/>
                <w:sz w:val="24"/>
                <w:szCs w:val="24"/>
              </w:rPr>
            </w:pPr>
            <w:r>
              <w:rPr>
                <w:rFonts w:ascii="宋体" w:hAnsi="宋体" w:cs="宋体"/>
                <w:kern w:val="0"/>
                <w:sz w:val="24"/>
                <w:szCs w:val="24"/>
              </w:rPr>
              <w:t>8</w:t>
            </w:r>
          </w:p>
        </w:tc>
        <w:tc>
          <w:tcPr>
            <w:tcW w:w="2878" w:type="dxa"/>
            <w:tcBorders>
              <w:top w:val="nil"/>
              <w:left w:val="nil"/>
              <w:bottom w:val="single" w:color="auto" w:sz="4" w:space="0"/>
              <w:right w:val="single" w:color="auto" w:sz="4" w:space="0"/>
            </w:tcBorders>
            <w:vAlign w:val="center"/>
          </w:tcPr>
          <w:p>
            <w:pPr>
              <w:widowControl/>
              <w:spacing w:line="300" w:lineRule="exact"/>
              <w:jc w:val="left"/>
              <w:rPr>
                <w:rFonts w:ascii="宋体" w:hAnsi="宋体"/>
                <w:kern w:val="0"/>
                <w:sz w:val="24"/>
                <w:szCs w:val="24"/>
              </w:rPr>
            </w:pPr>
            <w:r>
              <w:rPr>
                <w:rFonts w:ascii="宋体" w:hAnsi="宋体" w:cs="宋体"/>
                <w:kern w:val="0"/>
                <w:sz w:val="24"/>
                <w:szCs w:val="24"/>
              </w:rPr>
              <w:t>100%</w:t>
            </w:r>
            <w:r>
              <w:rPr>
                <w:rFonts w:hint="eastAsia" w:ascii="宋体" w:hAnsi="宋体" w:cs="宋体"/>
                <w:kern w:val="0"/>
                <w:sz w:val="24"/>
                <w:szCs w:val="24"/>
              </w:rPr>
              <w:t>以下（含）计满分，每超出</w:t>
            </w:r>
            <w:r>
              <w:rPr>
                <w:rFonts w:ascii="宋体" w:hAnsi="宋体" w:cs="宋体"/>
                <w:kern w:val="0"/>
                <w:sz w:val="24"/>
                <w:szCs w:val="24"/>
              </w:rPr>
              <w:t>1%</w:t>
            </w:r>
            <w:r>
              <w:rPr>
                <w:rFonts w:hint="eastAsia" w:ascii="宋体" w:hAnsi="宋体" w:cs="宋体"/>
                <w:kern w:val="0"/>
                <w:sz w:val="24"/>
                <w:szCs w:val="24"/>
              </w:rPr>
              <w:t>扣</w:t>
            </w:r>
            <w:r>
              <w:rPr>
                <w:rFonts w:ascii="宋体" w:hAnsi="宋体" w:cs="宋体"/>
                <w:kern w:val="0"/>
                <w:sz w:val="24"/>
                <w:szCs w:val="24"/>
              </w:rPr>
              <w:t>1</w:t>
            </w:r>
            <w:r>
              <w:rPr>
                <w:rFonts w:hint="eastAsia" w:ascii="宋体" w:hAnsi="宋体" w:cs="宋体"/>
                <w:kern w:val="0"/>
                <w:sz w:val="24"/>
                <w:szCs w:val="24"/>
              </w:rPr>
              <w:t>分，扣完为止。</w:t>
            </w:r>
          </w:p>
        </w:tc>
        <w:tc>
          <w:tcPr>
            <w:tcW w:w="3312" w:type="dxa"/>
            <w:tcBorders>
              <w:top w:val="nil"/>
              <w:left w:val="nil"/>
              <w:bottom w:val="single" w:color="auto" w:sz="4" w:space="0"/>
              <w:right w:val="single" w:color="auto" w:sz="4" w:space="0"/>
            </w:tcBorders>
            <w:vAlign w:val="center"/>
          </w:tcPr>
          <w:p>
            <w:pPr>
              <w:widowControl/>
              <w:spacing w:line="300" w:lineRule="exact"/>
              <w:jc w:val="left"/>
              <w:rPr>
                <w:rFonts w:ascii="宋体" w:hAnsi="宋体"/>
                <w:kern w:val="0"/>
                <w:sz w:val="24"/>
                <w:szCs w:val="24"/>
              </w:rPr>
            </w:pPr>
            <w:r>
              <w:rPr>
                <w:rFonts w:hint="eastAsia" w:ascii="宋体" w:hAnsi="宋体" w:cs="宋体"/>
                <w:kern w:val="0"/>
                <w:sz w:val="24"/>
                <w:szCs w:val="24"/>
              </w:rPr>
              <w:t>公用经费控制率</w:t>
            </w:r>
            <w:r>
              <w:rPr>
                <w:rFonts w:ascii="宋体" w:hAnsi="宋体" w:cs="宋体"/>
                <w:kern w:val="0"/>
                <w:sz w:val="24"/>
                <w:szCs w:val="24"/>
              </w:rPr>
              <w:t>=</w:t>
            </w:r>
            <w:r>
              <w:rPr>
                <w:rFonts w:hint="eastAsia" w:ascii="宋体" w:hAnsi="宋体" w:cs="宋体"/>
                <w:kern w:val="0"/>
                <w:sz w:val="24"/>
                <w:szCs w:val="24"/>
              </w:rPr>
              <w:t>（实际支出公用经费总额</w:t>
            </w:r>
            <w:r>
              <w:rPr>
                <w:rFonts w:ascii="宋体" w:hAnsi="宋体" w:cs="宋体"/>
                <w:kern w:val="0"/>
                <w:sz w:val="24"/>
                <w:szCs w:val="24"/>
              </w:rPr>
              <w:t>/</w:t>
            </w:r>
            <w:r>
              <w:rPr>
                <w:rFonts w:hint="eastAsia" w:ascii="宋体" w:hAnsi="宋体" w:cs="宋体"/>
                <w:kern w:val="0"/>
                <w:sz w:val="24"/>
                <w:szCs w:val="24"/>
              </w:rPr>
              <w:t>预算安排公用经费总额）×</w:t>
            </w:r>
            <w:r>
              <w:rPr>
                <w:rFonts w:ascii="宋体" w:hAnsi="宋体" w:cs="宋体"/>
                <w:kern w:val="0"/>
                <w:sz w:val="24"/>
                <w:szCs w:val="24"/>
              </w:rPr>
              <w:t>100%</w:t>
            </w:r>
            <w:r>
              <w:rPr>
                <w:rFonts w:hint="eastAsia" w:ascii="宋体" w:hAnsi="宋体" w:cs="宋体"/>
                <w:kern w:val="0"/>
                <w:sz w:val="24"/>
                <w:szCs w:val="24"/>
              </w:rPr>
              <w:t>。</w:t>
            </w:r>
            <w:r>
              <w:rPr>
                <w:rFonts w:ascii="宋体" w:hAnsi="宋体"/>
                <w:kern w:val="0"/>
                <w:sz w:val="24"/>
                <w:szCs w:val="24"/>
              </w:rPr>
              <w:br w:type="textWrapping"/>
            </w:r>
            <w:r>
              <w:rPr>
                <w:rFonts w:hint="eastAsia" w:ascii="宋体" w:hAnsi="宋体" w:cs="宋体"/>
                <w:kern w:val="0"/>
                <w:sz w:val="24"/>
                <w:szCs w:val="24"/>
              </w:rPr>
              <w:t>公用经费支出是指部门基本支出中的一般商品和服务支出。</w:t>
            </w:r>
          </w:p>
        </w:tc>
        <w:tc>
          <w:tcPr>
            <w:tcW w:w="622" w:type="dxa"/>
            <w:tcBorders>
              <w:top w:val="nil"/>
              <w:left w:val="nil"/>
              <w:bottom w:val="single" w:color="auto" w:sz="4" w:space="0"/>
              <w:right w:val="single" w:color="auto" w:sz="4" w:space="0"/>
            </w:tcBorders>
            <w:vAlign w:val="center"/>
          </w:tcPr>
          <w:p>
            <w:pPr>
              <w:widowControl/>
              <w:spacing w:line="300" w:lineRule="exact"/>
              <w:jc w:val="left"/>
              <w:rPr>
                <w:rFonts w:ascii="宋体" w:hAnsi="宋体"/>
                <w:kern w:val="0"/>
                <w:sz w:val="24"/>
                <w:szCs w:val="24"/>
              </w:rPr>
            </w:pPr>
            <w:r>
              <w:rPr>
                <w:rFonts w:hint="eastAsia" w:ascii="宋体" w:hAnsi="宋体" w:cs="宋体"/>
                <w:kern w:val="0"/>
                <w:sz w:val="24"/>
                <w:szCs w:val="24"/>
              </w:rPr>
              <w:t>　</w:t>
            </w:r>
            <w:r>
              <w:rPr>
                <w:rFonts w:ascii="宋体" w:hAnsi="宋体" w:cs="宋体"/>
                <w:kern w:val="0"/>
                <w:sz w:val="24"/>
                <w:szCs w:val="24"/>
              </w:rPr>
              <w:t>8</w:t>
            </w:r>
          </w:p>
        </w:tc>
      </w:tr>
      <w:tr>
        <w:tblPrEx>
          <w:tblCellMar>
            <w:top w:w="0" w:type="dxa"/>
            <w:left w:w="108" w:type="dxa"/>
            <w:bottom w:w="0" w:type="dxa"/>
            <w:right w:w="108" w:type="dxa"/>
          </w:tblCellMar>
        </w:tblPrEx>
        <w:trPr>
          <w:trHeight w:val="1073" w:hRule="atLeast"/>
          <w:jc w:val="center"/>
        </w:trPr>
        <w:tc>
          <w:tcPr>
            <w:tcW w:w="678"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宋体" w:hAnsi="宋体"/>
                <w:kern w:val="0"/>
                <w:sz w:val="24"/>
                <w:szCs w:val="24"/>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宋体" w:hAnsi="宋体"/>
                <w:kern w:val="0"/>
                <w:sz w:val="24"/>
                <w:szCs w:val="24"/>
              </w:rPr>
            </w:pPr>
          </w:p>
        </w:tc>
        <w:tc>
          <w:tcPr>
            <w:tcW w:w="659"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宋体" w:hAnsi="宋体"/>
                <w:kern w:val="0"/>
                <w:sz w:val="24"/>
                <w:szCs w:val="24"/>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宋体" w:hAnsi="宋体"/>
                <w:kern w:val="0"/>
                <w:sz w:val="24"/>
                <w:szCs w:val="24"/>
              </w:rPr>
            </w:pPr>
          </w:p>
        </w:tc>
        <w:tc>
          <w:tcPr>
            <w:tcW w:w="1074" w:type="dxa"/>
            <w:tcBorders>
              <w:top w:val="nil"/>
              <w:left w:val="nil"/>
              <w:bottom w:val="single" w:color="auto" w:sz="4" w:space="0"/>
              <w:right w:val="single" w:color="auto" w:sz="4" w:space="0"/>
            </w:tcBorders>
            <w:vAlign w:val="center"/>
          </w:tcPr>
          <w:p>
            <w:pPr>
              <w:widowControl/>
              <w:spacing w:line="300" w:lineRule="exact"/>
              <w:jc w:val="left"/>
              <w:rPr>
                <w:rFonts w:ascii="宋体" w:hAnsi="宋体"/>
                <w:kern w:val="0"/>
                <w:sz w:val="24"/>
                <w:szCs w:val="24"/>
              </w:rPr>
            </w:pPr>
            <w:r>
              <w:rPr>
                <w:rFonts w:hint="eastAsia" w:ascii="宋体" w:hAnsi="宋体" w:cs="宋体"/>
                <w:kern w:val="0"/>
                <w:sz w:val="24"/>
                <w:szCs w:val="24"/>
              </w:rPr>
              <w:t>“三公经费”控制率</w:t>
            </w:r>
          </w:p>
        </w:tc>
        <w:tc>
          <w:tcPr>
            <w:tcW w:w="516" w:type="dxa"/>
            <w:tcBorders>
              <w:top w:val="nil"/>
              <w:left w:val="nil"/>
              <w:bottom w:val="single" w:color="auto" w:sz="4" w:space="0"/>
              <w:right w:val="single" w:color="auto" w:sz="4" w:space="0"/>
            </w:tcBorders>
            <w:vAlign w:val="center"/>
          </w:tcPr>
          <w:p>
            <w:pPr>
              <w:widowControl/>
              <w:spacing w:line="300" w:lineRule="exact"/>
              <w:jc w:val="center"/>
              <w:rPr>
                <w:rFonts w:ascii="宋体" w:hAnsi="宋体"/>
                <w:kern w:val="0"/>
                <w:sz w:val="24"/>
                <w:szCs w:val="24"/>
              </w:rPr>
            </w:pPr>
            <w:r>
              <w:rPr>
                <w:rFonts w:ascii="宋体" w:hAnsi="宋体" w:cs="宋体"/>
                <w:kern w:val="0"/>
                <w:sz w:val="24"/>
                <w:szCs w:val="24"/>
              </w:rPr>
              <w:t>8</w:t>
            </w:r>
          </w:p>
        </w:tc>
        <w:tc>
          <w:tcPr>
            <w:tcW w:w="2878" w:type="dxa"/>
            <w:tcBorders>
              <w:top w:val="nil"/>
              <w:left w:val="nil"/>
              <w:bottom w:val="single" w:color="auto" w:sz="4" w:space="0"/>
              <w:right w:val="single" w:color="auto" w:sz="4" w:space="0"/>
            </w:tcBorders>
            <w:vAlign w:val="center"/>
          </w:tcPr>
          <w:p>
            <w:pPr>
              <w:widowControl/>
              <w:spacing w:line="300" w:lineRule="exact"/>
              <w:jc w:val="left"/>
              <w:rPr>
                <w:rFonts w:ascii="宋体" w:hAnsi="宋体"/>
                <w:kern w:val="0"/>
                <w:sz w:val="24"/>
                <w:szCs w:val="24"/>
              </w:rPr>
            </w:pPr>
            <w:r>
              <w:rPr>
                <w:rFonts w:ascii="宋体" w:hAnsi="宋体" w:cs="宋体"/>
                <w:kern w:val="0"/>
                <w:sz w:val="24"/>
                <w:szCs w:val="24"/>
              </w:rPr>
              <w:t>100%</w:t>
            </w:r>
            <w:r>
              <w:rPr>
                <w:rFonts w:hint="eastAsia" w:ascii="宋体" w:hAnsi="宋体" w:cs="宋体"/>
                <w:kern w:val="0"/>
                <w:sz w:val="24"/>
                <w:szCs w:val="24"/>
              </w:rPr>
              <w:t>以下（含）计满分，每超出</w:t>
            </w:r>
            <w:r>
              <w:rPr>
                <w:rFonts w:ascii="宋体" w:hAnsi="宋体" w:cs="宋体"/>
                <w:kern w:val="0"/>
                <w:sz w:val="24"/>
                <w:szCs w:val="24"/>
              </w:rPr>
              <w:t>1%</w:t>
            </w:r>
            <w:r>
              <w:rPr>
                <w:rFonts w:hint="eastAsia" w:ascii="宋体" w:hAnsi="宋体" w:cs="宋体"/>
                <w:kern w:val="0"/>
                <w:sz w:val="24"/>
                <w:szCs w:val="24"/>
              </w:rPr>
              <w:t>扣</w:t>
            </w:r>
            <w:r>
              <w:rPr>
                <w:rFonts w:ascii="宋体" w:hAnsi="宋体" w:cs="宋体"/>
                <w:kern w:val="0"/>
                <w:sz w:val="24"/>
                <w:szCs w:val="24"/>
              </w:rPr>
              <w:t>1</w:t>
            </w:r>
            <w:r>
              <w:rPr>
                <w:rFonts w:hint="eastAsia" w:ascii="宋体" w:hAnsi="宋体" w:cs="宋体"/>
                <w:kern w:val="0"/>
                <w:sz w:val="24"/>
                <w:szCs w:val="24"/>
              </w:rPr>
              <w:t>分，扣完为止。</w:t>
            </w:r>
          </w:p>
        </w:tc>
        <w:tc>
          <w:tcPr>
            <w:tcW w:w="3312" w:type="dxa"/>
            <w:tcBorders>
              <w:top w:val="nil"/>
              <w:left w:val="nil"/>
              <w:bottom w:val="single" w:color="auto" w:sz="4" w:space="0"/>
              <w:right w:val="single" w:color="auto" w:sz="4" w:space="0"/>
            </w:tcBorders>
            <w:vAlign w:val="center"/>
          </w:tcPr>
          <w:p>
            <w:pPr>
              <w:widowControl/>
              <w:spacing w:line="300" w:lineRule="exact"/>
              <w:jc w:val="left"/>
              <w:rPr>
                <w:rFonts w:ascii="宋体" w:hAnsi="宋体"/>
                <w:kern w:val="0"/>
                <w:sz w:val="24"/>
                <w:szCs w:val="24"/>
              </w:rPr>
            </w:pPr>
            <w:r>
              <w:rPr>
                <w:rFonts w:hint="eastAsia" w:ascii="宋体" w:hAnsi="宋体" w:cs="宋体"/>
                <w:kern w:val="0"/>
                <w:sz w:val="24"/>
                <w:szCs w:val="24"/>
              </w:rPr>
              <w:t>“三公经费”控制率</w:t>
            </w:r>
            <w:r>
              <w:rPr>
                <w:rFonts w:ascii="宋体" w:hAnsi="宋体" w:cs="宋体"/>
                <w:kern w:val="0"/>
                <w:sz w:val="24"/>
                <w:szCs w:val="24"/>
              </w:rPr>
              <w:t>-</w:t>
            </w:r>
            <w:r>
              <w:rPr>
                <w:rFonts w:hint="eastAsia" w:ascii="宋体" w:hAnsi="宋体" w:cs="宋体"/>
                <w:kern w:val="0"/>
                <w:sz w:val="24"/>
                <w:szCs w:val="24"/>
              </w:rPr>
              <w:t>（“三公经费”实际支出数</w:t>
            </w:r>
            <w:r>
              <w:rPr>
                <w:rFonts w:ascii="宋体" w:hAnsi="宋体" w:cs="宋体"/>
                <w:kern w:val="0"/>
                <w:sz w:val="24"/>
                <w:szCs w:val="24"/>
              </w:rPr>
              <w:t>/</w:t>
            </w:r>
            <w:r>
              <w:rPr>
                <w:rFonts w:hint="eastAsia" w:ascii="宋体" w:hAnsi="宋体" w:cs="宋体"/>
                <w:kern w:val="0"/>
                <w:sz w:val="24"/>
                <w:szCs w:val="24"/>
              </w:rPr>
              <w:t>“三公经费”预算安排数）×</w:t>
            </w:r>
            <w:r>
              <w:rPr>
                <w:rFonts w:ascii="宋体" w:hAnsi="宋体" w:cs="宋体"/>
                <w:kern w:val="0"/>
                <w:sz w:val="24"/>
                <w:szCs w:val="24"/>
              </w:rPr>
              <w:t>100%</w:t>
            </w:r>
            <w:r>
              <w:rPr>
                <w:rFonts w:hint="eastAsia" w:ascii="宋体" w:hAnsi="宋体" w:cs="宋体"/>
                <w:kern w:val="0"/>
                <w:sz w:val="24"/>
                <w:szCs w:val="24"/>
              </w:rPr>
              <w:t>。</w:t>
            </w:r>
          </w:p>
        </w:tc>
        <w:tc>
          <w:tcPr>
            <w:tcW w:w="622" w:type="dxa"/>
            <w:tcBorders>
              <w:top w:val="nil"/>
              <w:left w:val="nil"/>
              <w:bottom w:val="single" w:color="auto" w:sz="4" w:space="0"/>
              <w:right w:val="single" w:color="auto" w:sz="4" w:space="0"/>
            </w:tcBorders>
            <w:vAlign w:val="center"/>
          </w:tcPr>
          <w:p>
            <w:pPr>
              <w:widowControl/>
              <w:spacing w:line="300" w:lineRule="exact"/>
              <w:jc w:val="left"/>
              <w:rPr>
                <w:rFonts w:ascii="宋体" w:hAnsi="宋体"/>
                <w:kern w:val="0"/>
                <w:sz w:val="24"/>
                <w:szCs w:val="24"/>
              </w:rPr>
            </w:pPr>
            <w:r>
              <w:rPr>
                <w:rFonts w:hint="eastAsia" w:ascii="宋体" w:hAnsi="宋体" w:cs="宋体"/>
                <w:kern w:val="0"/>
                <w:sz w:val="24"/>
                <w:szCs w:val="24"/>
              </w:rPr>
              <w:t>　</w:t>
            </w:r>
            <w:r>
              <w:rPr>
                <w:rFonts w:ascii="宋体" w:hAnsi="宋体" w:cs="宋体"/>
                <w:kern w:val="0"/>
                <w:sz w:val="24"/>
                <w:szCs w:val="24"/>
              </w:rPr>
              <w:t>8</w:t>
            </w:r>
          </w:p>
        </w:tc>
      </w:tr>
      <w:tr>
        <w:tblPrEx>
          <w:tblCellMar>
            <w:top w:w="0" w:type="dxa"/>
            <w:left w:w="108" w:type="dxa"/>
            <w:bottom w:w="0" w:type="dxa"/>
            <w:right w:w="108" w:type="dxa"/>
          </w:tblCellMar>
        </w:tblPrEx>
        <w:trPr>
          <w:trHeight w:val="1085" w:hRule="atLeast"/>
          <w:jc w:val="center"/>
        </w:trPr>
        <w:tc>
          <w:tcPr>
            <w:tcW w:w="678"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kern w:val="0"/>
                <w:sz w:val="24"/>
                <w:szCs w:val="24"/>
              </w:rPr>
            </w:pPr>
          </w:p>
        </w:tc>
        <w:tc>
          <w:tcPr>
            <w:tcW w:w="5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hAnsi="宋体"/>
                <w:kern w:val="0"/>
                <w:sz w:val="24"/>
                <w:szCs w:val="24"/>
              </w:rPr>
            </w:pPr>
          </w:p>
        </w:tc>
        <w:tc>
          <w:tcPr>
            <w:tcW w:w="659"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宋体" w:hAnsi="宋体"/>
                <w:kern w:val="0"/>
                <w:sz w:val="24"/>
                <w:szCs w:val="24"/>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宋体" w:hAnsi="宋体"/>
                <w:kern w:val="0"/>
                <w:sz w:val="24"/>
                <w:szCs w:val="24"/>
              </w:rPr>
            </w:pPr>
          </w:p>
        </w:tc>
        <w:tc>
          <w:tcPr>
            <w:tcW w:w="1074" w:type="dxa"/>
            <w:tcBorders>
              <w:top w:val="nil"/>
              <w:left w:val="nil"/>
              <w:bottom w:val="single" w:color="auto" w:sz="4" w:space="0"/>
              <w:right w:val="single" w:color="auto" w:sz="4" w:space="0"/>
            </w:tcBorders>
            <w:vAlign w:val="center"/>
          </w:tcPr>
          <w:p>
            <w:pPr>
              <w:widowControl/>
              <w:spacing w:line="300" w:lineRule="exact"/>
              <w:jc w:val="left"/>
              <w:rPr>
                <w:rFonts w:ascii="宋体" w:hAnsi="宋体"/>
                <w:kern w:val="0"/>
                <w:sz w:val="24"/>
                <w:szCs w:val="24"/>
              </w:rPr>
            </w:pPr>
            <w:r>
              <w:rPr>
                <w:rFonts w:hint="eastAsia" w:ascii="宋体" w:hAnsi="宋体" w:cs="宋体"/>
                <w:kern w:val="0"/>
                <w:sz w:val="24"/>
                <w:szCs w:val="24"/>
              </w:rPr>
              <w:t>政府采购执行率</w:t>
            </w:r>
          </w:p>
        </w:tc>
        <w:tc>
          <w:tcPr>
            <w:tcW w:w="516" w:type="dxa"/>
            <w:tcBorders>
              <w:top w:val="nil"/>
              <w:left w:val="nil"/>
              <w:bottom w:val="single" w:color="auto" w:sz="4" w:space="0"/>
              <w:right w:val="single" w:color="auto" w:sz="4" w:space="0"/>
            </w:tcBorders>
            <w:vAlign w:val="center"/>
          </w:tcPr>
          <w:p>
            <w:pPr>
              <w:widowControl/>
              <w:spacing w:line="300" w:lineRule="exact"/>
              <w:jc w:val="center"/>
              <w:rPr>
                <w:rFonts w:ascii="宋体" w:hAnsi="宋体"/>
                <w:kern w:val="0"/>
                <w:sz w:val="24"/>
                <w:szCs w:val="24"/>
              </w:rPr>
            </w:pPr>
            <w:r>
              <w:rPr>
                <w:rFonts w:ascii="宋体" w:hAnsi="宋体" w:cs="宋体"/>
                <w:kern w:val="0"/>
                <w:sz w:val="24"/>
                <w:szCs w:val="24"/>
              </w:rPr>
              <w:t>6</w:t>
            </w:r>
          </w:p>
        </w:tc>
        <w:tc>
          <w:tcPr>
            <w:tcW w:w="2878" w:type="dxa"/>
            <w:tcBorders>
              <w:top w:val="nil"/>
              <w:left w:val="nil"/>
              <w:bottom w:val="single" w:color="auto" w:sz="4" w:space="0"/>
              <w:right w:val="single" w:color="auto" w:sz="4" w:space="0"/>
            </w:tcBorders>
            <w:vAlign w:val="center"/>
          </w:tcPr>
          <w:p>
            <w:pPr>
              <w:widowControl/>
              <w:spacing w:line="300" w:lineRule="exact"/>
              <w:jc w:val="left"/>
              <w:rPr>
                <w:rFonts w:ascii="宋体" w:hAnsi="宋体"/>
                <w:kern w:val="0"/>
                <w:sz w:val="24"/>
                <w:szCs w:val="24"/>
              </w:rPr>
            </w:pPr>
            <w:r>
              <w:rPr>
                <w:rFonts w:ascii="宋体" w:hAnsi="宋体" w:cs="宋体"/>
                <w:kern w:val="0"/>
                <w:sz w:val="24"/>
                <w:szCs w:val="24"/>
              </w:rPr>
              <w:t>100%</w:t>
            </w:r>
            <w:r>
              <w:rPr>
                <w:rFonts w:hint="eastAsia" w:ascii="宋体" w:hAnsi="宋体" w:cs="宋体"/>
                <w:kern w:val="0"/>
                <w:sz w:val="24"/>
                <w:szCs w:val="24"/>
              </w:rPr>
              <w:t>计满分，每超过（降低）</w:t>
            </w:r>
            <w:r>
              <w:rPr>
                <w:rFonts w:ascii="宋体" w:hAnsi="宋体" w:cs="宋体"/>
                <w:kern w:val="0"/>
                <w:sz w:val="24"/>
                <w:szCs w:val="24"/>
              </w:rPr>
              <w:t>5%</w:t>
            </w:r>
            <w:r>
              <w:rPr>
                <w:rFonts w:hint="eastAsia" w:ascii="宋体" w:hAnsi="宋体" w:cs="宋体"/>
                <w:kern w:val="0"/>
                <w:sz w:val="24"/>
                <w:szCs w:val="24"/>
              </w:rPr>
              <w:t>扣</w:t>
            </w:r>
            <w:r>
              <w:rPr>
                <w:rFonts w:ascii="宋体" w:hAnsi="宋体" w:cs="宋体"/>
                <w:kern w:val="0"/>
                <w:sz w:val="24"/>
                <w:szCs w:val="24"/>
              </w:rPr>
              <w:t>2</w:t>
            </w:r>
            <w:r>
              <w:rPr>
                <w:rFonts w:hint="eastAsia" w:ascii="宋体" w:hAnsi="宋体" w:cs="宋体"/>
                <w:kern w:val="0"/>
                <w:sz w:val="24"/>
                <w:szCs w:val="24"/>
              </w:rPr>
              <w:t>分。扣完为止。</w:t>
            </w:r>
          </w:p>
        </w:tc>
        <w:tc>
          <w:tcPr>
            <w:tcW w:w="3312" w:type="dxa"/>
            <w:tcBorders>
              <w:top w:val="nil"/>
              <w:left w:val="nil"/>
              <w:bottom w:val="single" w:color="auto" w:sz="4" w:space="0"/>
              <w:right w:val="single" w:color="auto" w:sz="4" w:space="0"/>
            </w:tcBorders>
            <w:vAlign w:val="center"/>
          </w:tcPr>
          <w:p>
            <w:pPr>
              <w:widowControl/>
              <w:spacing w:line="300" w:lineRule="exact"/>
              <w:jc w:val="left"/>
              <w:rPr>
                <w:rFonts w:ascii="宋体" w:hAnsi="宋体"/>
                <w:kern w:val="0"/>
                <w:sz w:val="24"/>
                <w:szCs w:val="24"/>
              </w:rPr>
            </w:pPr>
            <w:r>
              <w:rPr>
                <w:rFonts w:hint="eastAsia" w:ascii="宋体" w:hAnsi="宋体" w:cs="宋体"/>
                <w:kern w:val="0"/>
                <w:sz w:val="24"/>
                <w:szCs w:val="24"/>
              </w:rPr>
              <w:t>政府采购执行率</w:t>
            </w:r>
            <w:r>
              <w:rPr>
                <w:rFonts w:ascii="宋体" w:hAnsi="宋体" w:cs="宋体"/>
                <w:kern w:val="0"/>
                <w:sz w:val="24"/>
                <w:szCs w:val="24"/>
              </w:rPr>
              <w:t>=</w:t>
            </w:r>
            <w:r>
              <w:rPr>
                <w:rFonts w:hint="eastAsia" w:ascii="宋体" w:hAnsi="宋体" w:cs="宋体"/>
                <w:kern w:val="0"/>
                <w:sz w:val="24"/>
                <w:szCs w:val="24"/>
              </w:rPr>
              <w:t>（实际政府采购金额</w:t>
            </w:r>
            <w:r>
              <w:rPr>
                <w:rFonts w:ascii="宋体" w:hAnsi="宋体" w:cs="宋体"/>
                <w:kern w:val="0"/>
                <w:sz w:val="24"/>
                <w:szCs w:val="24"/>
              </w:rPr>
              <w:t>/</w:t>
            </w:r>
            <w:r>
              <w:rPr>
                <w:rFonts w:hint="eastAsia" w:ascii="宋体" w:hAnsi="宋体" w:cs="宋体"/>
                <w:kern w:val="0"/>
                <w:sz w:val="24"/>
                <w:szCs w:val="24"/>
              </w:rPr>
              <w:t>政府采购预算数）×</w:t>
            </w:r>
            <w:r>
              <w:rPr>
                <w:rFonts w:ascii="宋体" w:hAnsi="宋体" w:cs="宋体"/>
                <w:kern w:val="0"/>
                <w:sz w:val="24"/>
                <w:szCs w:val="24"/>
              </w:rPr>
              <w:t>100%</w:t>
            </w:r>
          </w:p>
        </w:tc>
        <w:tc>
          <w:tcPr>
            <w:tcW w:w="622" w:type="dxa"/>
            <w:tcBorders>
              <w:top w:val="nil"/>
              <w:left w:val="nil"/>
              <w:bottom w:val="single" w:color="auto" w:sz="4" w:space="0"/>
              <w:right w:val="single" w:color="auto" w:sz="4" w:space="0"/>
            </w:tcBorders>
            <w:vAlign w:val="center"/>
          </w:tcPr>
          <w:p>
            <w:pPr>
              <w:widowControl/>
              <w:spacing w:line="300" w:lineRule="exact"/>
              <w:jc w:val="left"/>
              <w:rPr>
                <w:rFonts w:ascii="宋体" w:hAnsi="宋体"/>
                <w:kern w:val="0"/>
                <w:sz w:val="24"/>
                <w:szCs w:val="24"/>
              </w:rPr>
            </w:pPr>
            <w:r>
              <w:rPr>
                <w:rFonts w:hint="eastAsia" w:ascii="宋体" w:hAnsi="宋体" w:cs="宋体"/>
                <w:kern w:val="0"/>
                <w:sz w:val="24"/>
                <w:szCs w:val="24"/>
              </w:rPr>
              <w:t>　</w:t>
            </w:r>
            <w:r>
              <w:rPr>
                <w:rFonts w:ascii="宋体" w:hAnsi="宋体" w:cs="宋体"/>
                <w:kern w:val="0"/>
                <w:sz w:val="24"/>
                <w:szCs w:val="24"/>
              </w:rPr>
              <w:t>6</w:t>
            </w:r>
          </w:p>
        </w:tc>
      </w:tr>
      <w:tr>
        <w:tblPrEx>
          <w:tblCellMar>
            <w:top w:w="0" w:type="dxa"/>
            <w:left w:w="108" w:type="dxa"/>
            <w:bottom w:w="0" w:type="dxa"/>
            <w:right w:w="108" w:type="dxa"/>
          </w:tblCellMar>
        </w:tblPrEx>
        <w:trPr>
          <w:jc w:val="center"/>
        </w:trPr>
        <w:tc>
          <w:tcPr>
            <w:tcW w:w="678" w:type="dxa"/>
            <w:vMerge w:val="restart"/>
            <w:tcBorders>
              <w:top w:val="single" w:color="auto" w:sz="4" w:space="0"/>
              <w:left w:val="single" w:color="auto" w:sz="4" w:space="0"/>
              <w:bottom w:val="single" w:color="000000" w:sz="4" w:space="0"/>
              <w:right w:val="single" w:color="auto" w:sz="4" w:space="0"/>
            </w:tcBorders>
            <w:vAlign w:val="center"/>
          </w:tcPr>
          <w:p>
            <w:pPr>
              <w:spacing w:line="280" w:lineRule="exact"/>
              <w:jc w:val="left"/>
              <w:rPr>
                <w:rFonts w:ascii="宋体" w:hAnsi="宋体"/>
                <w:kern w:val="0"/>
                <w:sz w:val="24"/>
                <w:szCs w:val="24"/>
              </w:rPr>
            </w:pPr>
            <w:r>
              <w:rPr>
                <w:rFonts w:hint="eastAsia" w:ascii="宋体" w:hAnsi="宋体" w:cs="宋体"/>
                <w:kern w:val="0"/>
                <w:sz w:val="24"/>
                <w:szCs w:val="24"/>
              </w:rPr>
              <w:t>过程</w:t>
            </w:r>
          </w:p>
        </w:tc>
        <w:tc>
          <w:tcPr>
            <w:tcW w:w="516" w:type="dxa"/>
            <w:vMerge w:val="restart"/>
            <w:tcBorders>
              <w:top w:val="single" w:color="auto" w:sz="4" w:space="0"/>
              <w:left w:val="single" w:color="auto" w:sz="4" w:space="0"/>
              <w:bottom w:val="single" w:color="000000" w:sz="4" w:space="0"/>
              <w:right w:val="single" w:color="auto" w:sz="4" w:space="0"/>
            </w:tcBorders>
            <w:vAlign w:val="center"/>
          </w:tcPr>
          <w:p>
            <w:pPr>
              <w:spacing w:line="280" w:lineRule="exact"/>
              <w:jc w:val="left"/>
              <w:rPr>
                <w:rFonts w:ascii="宋体" w:hAnsi="宋体"/>
                <w:kern w:val="0"/>
                <w:sz w:val="24"/>
                <w:szCs w:val="24"/>
              </w:rPr>
            </w:pPr>
            <w:r>
              <w:rPr>
                <w:rFonts w:ascii="宋体" w:hAnsi="宋体" w:cs="宋体"/>
                <w:kern w:val="0"/>
                <w:sz w:val="24"/>
                <w:szCs w:val="24"/>
              </w:rPr>
              <w:t>61</w:t>
            </w:r>
          </w:p>
        </w:tc>
        <w:tc>
          <w:tcPr>
            <w:tcW w:w="659" w:type="dxa"/>
            <w:vMerge w:val="restart"/>
            <w:tcBorders>
              <w:top w:val="nil"/>
              <w:left w:val="nil"/>
              <w:bottom w:val="single" w:color="auto" w:sz="4" w:space="0"/>
              <w:right w:val="single" w:color="auto" w:sz="4" w:space="0"/>
            </w:tcBorders>
            <w:vAlign w:val="center"/>
          </w:tcPr>
          <w:p>
            <w:pPr>
              <w:widowControl/>
              <w:spacing w:line="280" w:lineRule="exact"/>
              <w:jc w:val="left"/>
              <w:rPr>
                <w:rFonts w:ascii="宋体" w:hAnsi="宋体"/>
                <w:kern w:val="0"/>
                <w:sz w:val="24"/>
                <w:szCs w:val="24"/>
              </w:rPr>
            </w:pPr>
            <w:r>
              <w:rPr>
                <w:rFonts w:hint="eastAsia" w:ascii="宋体" w:hAnsi="宋体" w:cs="宋体"/>
                <w:kern w:val="0"/>
                <w:sz w:val="24"/>
                <w:szCs w:val="24"/>
              </w:rPr>
              <w:t>预算管理</w:t>
            </w: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hAnsi="宋体"/>
                <w:kern w:val="0"/>
                <w:sz w:val="24"/>
                <w:szCs w:val="24"/>
              </w:rPr>
            </w:pPr>
          </w:p>
        </w:tc>
        <w:tc>
          <w:tcPr>
            <w:tcW w:w="1074" w:type="dxa"/>
            <w:tcBorders>
              <w:top w:val="nil"/>
              <w:left w:val="nil"/>
              <w:bottom w:val="single" w:color="auto" w:sz="4" w:space="0"/>
              <w:right w:val="single" w:color="auto" w:sz="4" w:space="0"/>
            </w:tcBorders>
            <w:vAlign w:val="center"/>
          </w:tcPr>
          <w:p>
            <w:pPr>
              <w:widowControl/>
              <w:spacing w:line="280" w:lineRule="exact"/>
              <w:jc w:val="left"/>
              <w:rPr>
                <w:rFonts w:ascii="宋体" w:hAnsi="宋体"/>
                <w:kern w:val="0"/>
                <w:sz w:val="24"/>
                <w:szCs w:val="24"/>
              </w:rPr>
            </w:pPr>
            <w:r>
              <w:rPr>
                <w:rFonts w:hint="eastAsia" w:ascii="宋体" w:hAnsi="宋体" w:cs="宋体"/>
                <w:kern w:val="0"/>
                <w:sz w:val="24"/>
                <w:szCs w:val="24"/>
              </w:rPr>
              <w:t>管理制度健全性</w:t>
            </w:r>
          </w:p>
        </w:tc>
        <w:tc>
          <w:tcPr>
            <w:tcW w:w="516" w:type="dxa"/>
            <w:tcBorders>
              <w:top w:val="nil"/>
              <w:left w:val="nil"/>
              <w:bottom w:val="single" w:color="auto" w:sz="4" w:space="0"/>
              <w:right w:val="single" w:color="auto" w:sz="4" w:space="0"/>
            </w:tcBorders>
            <w:vAlign w:val="center"/>
          </w:tcPr>
          <w:p>
            <w:pPr>
              <w:widowControl/>
              <w:spacing w:line="280" w:lineRule="exact"/>
              <w:jc w:val="center"/>
              <w:rPr>
                <w:rFonts w:ascii="宋体" w:hAnsi="宋体"/>
                <w:kern w:val="0"/>
                <w:sz w:val="24"/>
                <w:szCs w:val="24"/>
              </w:rPr>
            </w:pPr>
            <w:r>
              <w:rPr>
                <w:rFonts w:ascii="宋体" w:hAnsi="宋体" w:cs="宋体"/>
                <w:kern w:val="0"/>
                <w:sz w:val="24"/>
                <w:szCs w:val="24"/>
              </w:rPr>
              <w:t>8</w:t>
            </w:r>
          </w:p>
        </w:tc>
        <w:tc>
          <w:tcPr>
            <w:tcW w:w="2878" w:type="dxa"/>
            <w:tcBorders>
              <w:top w:val="nil"/>
              <w:left w:val="nil"/>
              <w:bottom w:val="single" w:color="auto" w:sz="4" w:space="0"/>
              <w:right w:val="single" w:color="auto" w:sz="4" w:space="0"/>
            </w:tcBorders>
            <w:vAlign w:val="center"/>
          </w:tcPr>
          <w:p>
            <w:pPr>
              <w:widowControl/>
              <w:spacing w:line="280" w:lineRule="exact"/>
              <w:jc w:val="left"/>
              <w:rPr>
                <w:rFonts w:ascii="宋体" w:hAnsi="宋体"/>
                <w:kern w:val="0"/>
                <w:sz w:val="24"/>
                <w:szCs w:val="24"/>
              </w:rPr>
            </w:pPr>
            <w:r>
              <w:rPr>
                <w:rFonts w:hint="eastAsia" w:ascii="宋体" w:hAnsi="宋体" w:cs="宋体"/>
                <w:kern w:val="0"/>
                <w:sz w:val="24"/>
                <w:szCs w:val="24"/>
              </w:rPr>
              <w:t>①有内部财务管理制度、会计核算制度等管理制度，</w:t>
            </w:r>
            <w:r>
              <w:rPr>
                <w:rFonts w:ascii="宋体" w:hAnsi="宋体" w:cs="宋体"/>
                <w:kern w:val="0"/>
                <w:sz w:val="24"/>
                <w:szCs w:val="24"/>
              </w:rPr>
              <w:t>2</w:t>
            </w:r>
            <w:r>
              <w:rPr>
                <w:rFonts w:hint="eastAsia" w:ascii="宋体" w:hAnsi="宋体" w:cs="宋体"/>
                <w:kern w:val="0"/>
                <w:sz w:val="24"/>
                <w:szCs w:val="24"/>
              </w:rPr>
              <w:t>分；</w:t>
            </w:r>
            <w:r>
              <w:rPr>
                <w:rFonts w:ascii="宋体" w:hAnsi="宋体"/>
                <w:kern w:val="0"/>
                <w:sz w:val="24"/>
                <w:szCs w:val="24"/>
              </w:rPr>
              <w:br w:type="textWrapping"/>
            </w:r>
            <w:r>
              <w:rPr>
                <w:rFonts w:hint="eastAsia" w:ascii="宋体" w:hAnsi="宋体" w:cs="宋体"/>
                <w:kern w:val="0"/>
                <w:sz w:val="24"/>
                <w:szCs w:val="24"/>
              </w:rPr>
              <w:t>②有本部门厉行节约制度</w:t>
            </w:r>
            <w:r>
              <w:rPr>
                <w:rFonts w:ascii="宋体" w:hAnsi="宋体" w:cs="宋体"/>
                <w:kern w:val="0"/>
                <w:sz w:val="24"/>
                <w:szCs w:val="24"/>
              </w:rPr>
              <w:t>,2</w:t>
            </w:r>
            <w:r>
              <w:rPr>
                <w:rFonts w:hint="eastAsia" w:ascii="宋体" w:hAnsi="宋体" w:cs="宋体"/>
                <w:kern w:val="0"/>
                <w:sz w:val="24"/>
                <w:szCs w:val="24"/>
              </w:rPr>
              <w:t>分；</w:t>
            </w:r>
            <w:r>
              <w:rPr>
                <w:rFonts w:ascii="宋体" w:hAnsi="宋体"/>
                <w:kern w:val="0"/>
                <w:sz w:val="24"/>
                <w:szCs w:val="24"/>
              </w:rPr>
              <w:br w:type="textWrapping"/>
            </w:r>
            <w:r>
              <w:rPr>
                <w:rFonts w:hint="eastAsia" w:ascii="宋体" w:hAnsi="宋体" w:cs="宋体"/>
                <w:kern w:val="0"/>
                <w:sz w:val="24"/>
                <w:szCs w:val="24"/>
              </w:rPr>
              <w:t>③相关管理制度合法、合规、完整，</w:t>
            </w:r>
            <w:r>
              <w:rPr>
                <w:rFonts w:ascii="宋体" w:hAnsi="宋体" w:cs="宋体"/>
                <w:kern w:val="0"/>
                <w:sz w:val="24"/>
                <w:szCs w:val="24"/>
              </w:rPr>
              <w:t>2</w:t>
            </w:r>
            <w:r>
              <w:rPr>
                <w:rFonts w:hint="eastAsia" w:ascii="宋体" w:hAnsi="宋体" w:cs="宋体"/>
                <w:kern w:val="0"/>
                <w:sz w:val="24"/>
                <w:szCs w:val="24"/>
              </w:rPr>
              <w:t>分；④相关管理制度得到有效执行，</w:t>
            </w:r>
            <w:r>
              <w:rPr>
                <w:rFonts w:ascii="宋体" w:hAnsi="宋体" w:cs="宋体"/>
                <w:kern w:val="0"/>
                <w:sz w:val="24"/>
                <w:szCs w:val="24"/>
              </w:rPr>
              <w:t>2</w:t>
            </w:r>
            <w:r>
              <w:rPr>
                <w:rFonts w:hint="eastAsia" w:ascii="宋体" w:hAnsi="宋体" w:cs="宋体"/>
                <w:kern w:val="0"/>
                <w:sz w:val="24"/>
                <w:szCs w:val="24"/>
              </w:rPr>
              <w:t>分。</w:t>
            </w:r>
          </w:p>
        </w:tc>
        <w:tc>
          <w:tcPr>
            <w:tcW w:w="3312" w:type="dxa"/>
            <w:tcBorders>
              <w:top w:val="nil"/>
              <w:left w:val="nil"/>
              <w:bottom w:val="single" w:color="auto" w:sz="4" w:space="0"/>
              <w:right w:val="single" w:color="auto" w:sz="4" w:space="0"/>
            </w:tcBorders>
            <w:vAlign w:val="center"/>
          </w:tcPr>
          <w:p>
            <w:pPr>
              <w:widowControl/>
              <w:spacing w:line="280" w:lineRule="exact"/>
              <w:jc w:val="left"/>
              <w:rPr>
                <w:rFonts w:ascii="宋体" w:hAnsi="宋体"/>
                <w:kern w:val="0"/>
                <w:sz w:val="24"/>
                <w:szCs w:val="24"/>
              </w:rPr>
            </w:pPr>
            <w:r>
              <w:rPr>
                <w:rFonts w:hint="eastAsia" w:ascii="宋体" w:hAnsi="宋体" w:cs="宋体"/>
                <w:kern w:val="0"/>
                <w:sz w:val="24"/>
                <w:szCs w:val="24"/>
              </w:rPr>
              <w:t>　</w:t>
            </w:r>
          </w:p>
        </w:tc>
        <w:tc>
          <w:tcPr>
            <w:tcW w:w="622" w:type="dxa"/>
            <w:tcBorders>
              <w:top w:val="nil"/>
              <w:left w:val="nil"/>
              <w:bottom w:val="single" w:color="auto" w:sz="4" w:space="0"/>
              <w:right w:val="single" w:color="auto" w:sz="4" w:space="0"/>
            </w:tcBorders>
            <w:vAlign w:val="center"/>
          </w:tcPr>
          <w:p>
            <w:pPr>
              <w:widowControl/>
              <w:spacing w:line="300" w:lineRule="exact"/>
              <w:jc w:val="left"/>
              <w:rPr>
                <w:rFonts w:ascii="宋体" w:hAnsi="宋体"/>
                <w:kern w:val="0"/>
                <w:sz w:val="24"/>
                <w:szCs w:val="24"/>
              </w:rPr>
            </w:pPr>
            <w:r>
              <w:rPr>
                <w:rFonts w:ascii="宋体" w:hAnsi="宋体" w:cs="宋体"/>
                <w:kern w:val="0"/>
                <w:sz w:val="24"/>
                <w:szCs w:val="24"/>
              </w:rPr>
              <w:t>8</w:t>
            </w:r>
            <w:r>
              <w:rPr>
                <w:rFonts w:hint="eastAsia" w:ascii="宋体" w:hAnsi="宋体" w:cs="宋体"/>
                <w:kern w:val="0"/>
                <w:sz w:val="24"/>
                <w:szCs w:val="24"/>
              </w:rPr>
              <w:t>　</w:t>
            </w:r>
          </w:p>
        </w:tc>
      </w:tr>
      <w:tr>
        <w:tblPrEx>
          <w:tblCellMar>
            <w:top w:w="0" w:type="dxa"/>
            <w:left w:w="108" w:type="dxa"/>
            <w:bottom w:w="0" w:type="dxa"/>
            <w:right w:w="108" w:type="dxa"/>
          </w:tblCellMar>
        </w:tblPrEx>
        <w:trPr>
          <w:jc w:val="center"/>
        </w:trPr>
        <w:tc>
          <w:tcPr>
            <w:tcW w:w="678"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hAnsi="宋体"/>
                <w:kern w:val="0"/>
                <w:sz w:val="24"/>
                <w:szCs w:val="24"/>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hAnsi="宋体"/>
                <w:kern w:val="0"/>
                <w:sz w:val="24"/>
                <w:szCs w:val="24"/>
              </w:rPr>
            </w:pPr>
          </w:p>
        </w:tc>
        <w:tc>
          <w:tcPr>
            <w:tcW w:w="659" w:type="dxa"/>
            <w:vMerge w:val="continue"/>
            <w:tcBorders>
              <w:top w:val="nil"/>
              <w:left w:val="nil"/>
              <w:bottom w:val="single" w:color="auto" w:sz="4" w:space="0"/>
              <w:right w:val="single" w:color="auto" w:sz="4" w:space="0"/>
            </w:tcBorders>
            <w:vAlign w:val="center"/>
          </w:tcPr>
          <w:p>
            <w:pPr>
              <w:widowControl/>
              <w:spacing w:line="280" w:lineRule="exact"/>
              <w:jc w:val="left"/>
              <w:rPr>
                <w:rFonts w:ascii="宋体" w:hAnsi="宋体"/>
                <w:kern w:val="0"/>
                <w:sz w:val="24"/>
                <w:szCs w:val="24"/>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hAnsi="宋体"/>
                <w:kern w:val="0"/>
                <w:sz w:val="24"/>
                <w:szCs w:val="24"/>
              </w:rPr>
            </w:pPr>
          </w:p>
        </w:tc>
        <w:tc>
          <w:tcPr>
            <w:tcW w:w="1074" w:type="dxa"/>
            <w:tcBorders>
              <w:top w:val="nil"/>
              <w:left w:val="nil"/>
              <w:bottom w:val="single" w:color="auto" w:sz="4" w:space="0"/>
              <w:right w:val="single" w:color="auto" w:sz="4" w:space="0"/>
            </w:tcBorders>
            <w:vAlign w:val="center"/>
          </w:tcPr>
          <w:p>
            <w:pPr>
              <w:widowControl/>
              <w:spacing w:line="280" w:lineRule="exact"/>
              <w:jc w:val="left"/>
              <w:rPr>
                <w:rFonts w:ascii="宋体" w:hAnsi="宋体"/>
                <w:kern w:val="0"/>
                <w:sz w:val="24"/>
                <w:szCs w:val="24"/>
              </w:rPr>
            </w:pPr>
            <w:r>
              <w:rPr>
                <w:rFonts w:hint="eastAsia" w:ascii="宋体" w:hAnsi="宋体" w:cs="宋体"/>
                <w:kern w:val="0"/>
                <w:sz w:val="24"/>
                <w:szCs w:val="24"/>
              </w:rPr>
              <w:t>资金使用合规性</w:t>
            </w:r>
          </w:p>
        </w:tc>
        <w:tc>
          <w:tcPr>
            <w:tcW w:w="516" w:type="dxa"/>
            <w:tcBorders>
              <w:top w:val="nil"/>
              <w:left w:val="nil"/>
              <w:bottom w:val="single" w:color="auto" w:sz="4" w:space="0"/>
              <w:right w:val="single" w:color="auto" w:sz="4" w:space="0"/>
            </w:tcBorders>
            <w:vAlign w:val="center"/>
          </w:tcPr>
          <w:p>
            <w:pPr>
              <w:widowControl/>
              <w:spacing w:line="280" w:lineRule="exact"/>
              <w:jc w:val="center"/>
              <w:rPr>
                <w:rFonts w:ascii="宋体" w:hAnsi="宋体"/>
                <w:kern w:val="0"/>
                <w:sz w:val="24"/>
                <w:szCs w:val="24"/>
              </w:rPr>
            </w:pPr>
            <w:r>
              <w:rPr>
                <w:rFonts w:ascii="宋体" w:hAnsi="宋体" w:cs="宋体"/>
                <w:kern w:val="0"/>
                <w:sz w:val="24"/>
                <w:szCs w:val="24"/>
              </w:rPr>
              <w:t>6</w:t>
            </w:r>
          </w:p>
        </w:tc>
        <w:tc>
          <w:tcPr>
            <w:tcW w:w="2878" w:type="dxa"/>
            <w:tcBorders>
              <w:top w:val="nil"/>
              <w:left w:val="nil"/>
              <w:bottom w:val="single" w:color="auto" w:sz="4" w:space="0"/>
              <w:right w:val="single" w:color="auto" w:sz="4" w:space="0"/>
            </w:tcBorders>
            <w:vAlign w:val="center"/>
          </w:tcPr>
          <w:p>
            <w:pPr>
              <w:widowControl/>
              <w:spacing w:line="280" w:lineRule="exact"/>
              <w:jc w:val="left"/>
              <w:rPr>
                <w:rFonts w:ascii="宋体" w:hAnsi="宋体"/>
                <w:kern w:val="0"/>
                <w:sz w:val="24"/>
                <w:szCs w:val="24"/>
              </w:rPr>
            </w:pPr>
            <w:r>
              <w:rPr>
                <w:rFonts w:hint="eastAsia" w:ascii="宋体" w:hAnsi="宋体" w:cs="宋体"/>
                <w:kern w:val="0"/>
                <w:sz w:val="24"/>
                <w:szCs w:val="24"/>
              </w:rPr>
              <w:t>①支出符合国家财经法规和财务管理制度规定以及有关专项资金管理办法的规定；②资金拨付有完整的审批程序和手续；③项目支出按规定经过评估论证；④支出符合部门预算批复的用途；⑤资金使用无截留、挤占、挪用、虚列支出等情况。</w:t>
            </w:r>
            <w:r>
              <w:rPr>
                <w:rFonts w:ascii="宋体" w:hAnsi="宋体"/>
                <w:kern w:val="0"/>
                <w:sz w:val="24"/>
                <w:szCs w:val="24"/>
              </w:rPr>
              <w:br w:type="textWrapping"/>
            </w:r>
            <w:r>
              <w:rPr>
                <w:rFonts w:hint="eastAsia" w:ascii="宋体" w:hAnsi="宋体" w:cs="宋体"/>
                <w:kern w:val="0"/>
                <w:sz w:val="24"/>
                <w:szCs w:val="24"/>
              </w:rPr>
              <w:t>以上情况每出现一例不符合要求的扣</w:t>
            </w:r>
            <w:r>
              <w:rPr>
                <w:rFonts w:ascii="宋体" w:hAnsi="宋体" w:cs="宋体"/>
                <w:kern w:val="0"/>
                <w:sz w:val="24"/>
                <w:szCs w:val="24"/>
              </w:rPr>
              <w:t>1</w:t>
            </w:r>
            <w:r>
              <w:rPr>
                <w:rFonts w:hint="eastAsia" w:ascii="宋体" w:hAnsi="宋体" w:cs="宋体"/>
                <w:kern w:val="0"/>
                <w:sz w:val="24"/>
                <w:szCs w:val="24"/>
              </w:rPr>
              <w:t>分，扣完为止。</w:t>
            </w:r>
          </w:p>
        </w:tc>
        <w:tc>
          <w:tcPr>
            <w:tcW w:w="3312" w:type="dxa"/>
            <w:tcBorders>
              <w:top w:val="nil"/>
              <w:left w:val="nil"/>
              <w:bottom w:val="single" w:color="auto" w:sz="4" w:space="0"/>
              <w:right w:val="single" w:color="auto" w:sz="4" w:space="0"/>
            </w:tcBorders>
            <w:vAlign w:val="center"/>
          </w:tcPr>
          <w:p>
            <w:pPr>
              <w:widowControl/>
              <w:spacing w:line="280" w:lineRule="exact"/>
              <w:jc w:val="left"/>
              <w:rPr>
                <w:rFonts w:ascii="宋体" w:hAnsi="宋体"/>
                <w:kern w:val="0"/>
                <w:sz w:val="24"/>
                <w:szCs w:val="24"/>
              </w:rPr>
            </w:pPr>
            <w:r>
              <w:rPr>
                <w:rFonts w:hint="eastAsia" w:ascii="宋体" w:hAnsi="宋体" w:cs="宋体"/>
                <w:kern w:val="0"/>
                <w:sz w:val="24"/>
                <w:szCs w:val="24"/>
              </w:rPr>
              <w:t>　</w:t>
            </w:r>
          </w:p>
        </w:tc>
        <w:tc>
          <w:tcPr>
            <w:tcW w:w="622" w:type="dxa"/>
            <w:tcBorders>
              <w:top w:val="nil"/>
              <w:left w:val="nil"/>
              <w:bottom w:val="single" w:color="auto" w:sz="4" w:space="0"/>
              <w:right w:val="single" w:color="auto" w:sz="4" w:space="0"/>
            </w:tcBorders>
            <w:vAlign w:val="center"/>
          </w:tcPr>
          <w:p>
            <w:pPr>
              <w:widowControl/>
              <w:spacing w:line="300" w:lineRule="exact"/>
              <w:jc w:val="left"/>
              <w:rPr>
                <w:rFonts w:ascii="宋体" w:hAnsi="宋体"/>
                <w:kern w:val="0"/>
                <w:sz w:val="24"/>
                <w:szCs w:val="24"/>
              </w:rPr>
            </w:pPr>
            <w:r>
              <w:rPr>
                <w:rFonts w:hint="eastAsia" w:ascii="宋体" w:hAnsi="宋体" w:cs="宋体"/>
                <w:kern w:val="0"/>
                <w:sz w:val="24"/>
                <w:szCs w:val="24"/>
              </w:rPr>
              <w:t>　</w:t>
            </w:r>
            <w:r>
              <w:rPr>
                <w:rFonts w:ascii="宋体" w:hAnsi="宋体" w:cs="宋体"/>
                <w:kern w:val="0"/>
                <w:sz w:val="24"/>
                <w:szCs w:val="24"/>
              </w:rPr>
              <w:t>6</w:t>
            </w:r>
          </w:p>
        </w:tc>
      </w:tr>
      <w:tr>
        <w:tblPrEx>
          <w:tblCellMar>
            <w:top w:w="0" w:type="dxa"/>
            <w:left w:w="108" w:type="dxa"/>
            <w:bottom w:w="0" w:type="dxa"/>
            <w:right w:w="108" w:type="dxa"/>
          </w:tblCellMar>
        </w:tblPrEx>
        <w:trPr>
          <w:jc w:val="center"/>
        </w:trPr>
        <w:tc>
          <w:tcPr>
            <w:tcW w:w="678"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hAnsi="宋体"/>
                <w:kern w:val="0"/>
                <w:sz w:val="24"/>
                <w:szCs w:val="24"/>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hAnsi="宋体"/>
                <w:kern w:val="0"/>
                <w:sz w:val="24"/>
                <w:szCs w:val="24"/>
              </w:rPr>
            </w:pPr>
          </w:p>
        </w:tc>
        <w:tc>
          <w:tcPr>
            <w:tcW w:w="659" w:type="dxa"/>
            <w:vMerge w:val="continue"/>
            <w:tcBorders>
              <w:top w:val="nil"/>
              <w:left w:val="nil"/>
              <w:bottom w:val="single" w:color="auto" w:sz="4" w:space="0"/>
              <w:right w:val="single" w:color="auto" w:sz="4" w:space="0"/>
            </w:tcBorders>
            <w:vAlign w:val="center"/>
          </w:tcPr>
          <w:p>
            <w:pPr>
              <w:widowControl/>
              <w:spacing w:line="280" w:lineRule="exact"/>
              <w:jc w:val="left"/>
              <w:rPr>
                <w:rFonts w:ascii="宋体" w:hAnsi="宋体"/>
                <w:kern w:val="0"/>
                <w:sz w:val="24"/>
                <w:szCs w:val="24"/>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hAnsi="宋体"/>
                <w:kern w:val="0"/>
                <w:sz w:val="24"/>
                <w:szCs w:val="24"/>
              </w:rPr>
            </w:pPr>
          </w:p>
        </w:tc>
        <w:tc>
          <w:tcPr>
            <w:tcW w:w="1074" w:type="dxa"/>
            <w:tcBorders>
              <w:top w:val="nil"/>
              <w:left w:val="nil"/>
              <w:bottom w:val="single" w:color="auto" w:sz="4" w:space="0"/>
              <w:right w:val="single" w:color="auto" w:sz="4" w:space="0"/>
            </w:tcBorders>
            <w:vAlign w:val="center"/>
          </w:tcPr>
          <w:p>
            <w:pPr>
              <w:widowControl/>
              <w:spacing w:line="280" w:lineRule="exact"/>
              <w:jc w:val="left"/>
              <w:rPr>
                <w:rFonts w:ascii="宋体" w:hAnsi="宋体"/>
                <w:kern w:val="0"/>
                <w:sz w:val="24"/>
                <w:szCs w:val="24"/>
              </w:rPr>
            </w:pPr>
            <w:r>
              <w:rPr>
                <w:rFonts w:hint="eastAsia" w:ascii="宋体" w:hAnsi="宋体" w:cs="宋体"/>
                <w:kern w:val="0"/>
                <w:sz w:val="24"/>
                <w:szCs w:val="24"/>
              </w:rPr>
              <w:t>预决算信息公开性</w:t>
            </w:r>
          </w:p>
        </w:tc>
        <w:tc>
          <w:tcPr>
            <w:tcW w:w="516" w:type="dxa"/>
            <w:tcBorders>
              <w:top w:val="nil"/>
              <w:left w:val="nil"/>
              <w:bottom w:val="single" w:color="auto" w:sz="4" w:space="0"/>
              <w:right w:val="single" w:color="auto" w:sz="4" w:space="0"/>
            </w:tcBorders>
            <w:vAlign w:val="center"/>
          </w:tcPr>
          <w:p>
            <w:pPr>
              <w:widowControl/>
              <w:spacing w:line="280" w:lineRule="exact"/>
              <w:jc w:val="center"/>
              <w:rPr>
                <w:rFonts w:ascii="宋体" w:hAnsi="宋体"/>
                <w:kern w:val="0"/>
                <w:sz w:val="24"/>
                <w:szCs w:val="24"/>
              </w:rPr>
            </w:pPr>
            <w:r>
              <w:rPr>
                <w:rFonts w:ascii="宋体" w:hAnsi="宋体" w:cs="宋体"/>
                <w:kern w:val="0"/>
                <w:sz w:val="24"/>
                <w:szCs w:val="24"/>
              </w:rPr>
              <w:t>5</w:t>
            </w:r>
          </w:p>
        </w:tc>
        <w:tc>
          <w:tcPr>
            <w:tcW w:w="2878" w:type="dxa"/>
            <w:tcBorders>
              <w:top w:val="nil"/>
              <w:left w:val="nil"/>
              <w:bottom w:val="single" w:color="auto" w:sz="4" w:space="0"/>
              <w:right w:val="single" w:color="auto" w:sz="4" w:space="0"/>
            </w:tcBorders>
            <w:vAlign w:val="center"/>
          </w:tcPr>
          <w:p>
            <w:pPr>
              <w:widowControl/>
              <w:spacing w:line="280" w:lineRule="exact"/>
              <w:jc w:val="left"/>
              <w:rPr>
                <w:rFonts w:ascii="宋体" w:hAnsi="宋体"/>
                <w:kern w:val="0"/>
                <w:sz w:val="24"/>
                <w:szCs w:val="24"/>
              </w:rPr>
            </w:pPr>
            <w:r>
              <w:rPr>
                <w:rFonts w:hint="eastAsia" w:ascii="宋体" w:hAnsi="宋体" w:cs="宋体"/>
                <w:kern w:val="0"/>
                <w:sz w:val="24"/>
                <w:szCs w:val="24"/>
              </w:rPr>
              <w:t>①按规定内容公开预决算信息，</w:t>
            </w:r>
            <w:r>
              <w:rPr>
                <w:rFonts w:ascii="宋体" w:hAnsi="宋体" w:cs="宋体"/>
                <w:kern w:val="0"/>
                <w:sz w:val="24"/>
                <w:szCs w:val="24"/>
              </w:rPr>
              <w:t>1</w:t>
            </w:r>
            <w:r>
              <w:rPr>
                <w:rFonts w:hint="eastAsia" w:ascii="宋体" w:hAnsi="宋体" w:cs="宋体"/>
                <w:kern w:val="0"/>
                <w:sz w:val="24"/>
                <w:szCs w:val="24"/>
              </w:rPr>
              <w:t>分；②按规定时限公开预决算信息，</w:t>
            </w:r>
            <w:r>
              <w:rPr>
                <w:rFonts w:ascii="宋体" w:hAnsi="宋体" w:cs="宋体"/>
                <w:kern w:val="0"/>
                <w:sz w:val="24"/>
                <w:szCs w:val="24"/>
              </w:rPr>
              <w:t>1</w:t>
            </w:r>
            <w:r>
              <w:rPr>
                <w:rFonts w:hint="eastAsia" w:ascii="宋体" w:hAnsi="宋体" w:cs="宋体"/>
                <w:kern w:val="0"/>
                <w:sz w:val="24"/>
                <w:szCs w:val="24"/>
              </w:rPr>
              <w:t>分；③基础数据信息和会计信息资料真实，</w:t>
            </w:r>
            <w:r>
              <w:rPr>
                <w:rFonts w:ascii="宋体" w:hAnsi="宋体" w:cs="宋体"/>
                <w:kern w:val="0"/>
                <w:sz w:val="24"/>
                <w:szCs w:val="24"/>
              </w:rPr>
              <w:t>1</w:t>
            </w:r>
            <w:r>
              <w:rPr>
                <w:rFonts w:hint="eastAsia" w:ascii="宋体" w:hAnsi="宋体" w:cs="宋体"/>
                <w:kern w:val="0"/>
                <w:sz w:val="24"/>
                <w:szCs w:val="24"/>
              </w:rPr>
              <w:t>分；④基础数据信息和会计信息资料完整，</w:t>
            </w:r>
            <w:r>
              <w:rPr>
                <w:rFonts w:ascii="宋体" w:hAnsi="宋体" w:cs="宋体"/>
                <w:kern w:val="0"/>
                <w:sz w:val="24"/>
                <w:szCs w:val="24"/>
              </w:rPr>
              <w:t>1</w:t>
            </w:r>
            <w:r>
              <w:rPr>
                <w:rFonts w:hint="eastAsia" w:ascii="宋体" w:hAnsi="宋体" w:cs="宋体"/>
                <w:kern w:val="0"/>
                <w:sz w:val="24"/>
                <w:szCs w:val="24"/>
              </w:rPr>
              <w:t>分；⑤基础数据信息和汇集信息资料准确，</w:t>
            </w:r>
            <w:r>
              <w:rPr>
                <w:rFonts w:ascii="宋体" w:hAnsi="宋体" w:cs="宋体"/>
                <w:kern w:val="0"/>
                <w:sz w:val="24"/>
                <w:szCs w:val="24"/>
              </w:rPr>
              <w:t>1</w:t>
            </w:r>
            <w:r>
              <w:rPr>
                <w:rFonts w:hint="eastAsia" w:ascii="宋体" w:hAnsi="宋体" w:cs="宋体"/>
                <w:kern w:val="0"/>
                <w:sz w:val="24"/>
                <w:szCs w:val="24"/>
              </w:rPr>
              <w:t>分。</w:t>
            </w:r>
          </w:p>
        </w:tc>
        <w:tc>
          <w:tcPr>
            <w:tcW w:w="3312" w:type="dxa"/>
            <w:tcBorders>
              <w:top w:val="nil"/>
              <w:left w:val="nil"/>
              <w:bottom w:val="single" w:color="auto" w:sz="4" w:space="0"/>
              <w:right w:val="single" w:color="auto" w:sz="4" w:space="0"/>
            </w:tcBorders>
            <w:vAlign w:val="center"/>
          </w:tcPr>
          <w:p>
            <w:pPr>
              <w:widowControl/>
              <w:spacing w:line="280" w:lineRule="exact"/>
              <w:jc w:val="left"/>
              <w:rPr>
                <w:rFonts w:ascii="宋体" w:hAnsi="宋体"/>
                <w:kern w:val="0"/>
                <w:sz w:val="24"/>
                <w:szCs w:val="24"/>
              </w:rPr>
            </w:pPr>
            <w:r>
              <w:rPr>
                <w:rFonts w:hint="eastAsia" w:ascii="宋体" w:hAnsi="宋体" w:cs="宋体"/>
                <w:kern w:val="0"/>
                <w:sz w:val="24"/>
                <w:szCs w:val="24"/>
              </w:rPr>
              <w:t>预决算信息是指与部门预算、执行、决算、监督、绩效等管理相关的信息。</w:t>
            </w:r>
          </w:p>
        </w:tc>
        <w:tc>
          <w:tcPr>
            <w:tcW w:w="622" w:type="dxa"/>
            <w:tcBorders>
              <w:top w:val="nil"/>
              <w:left w:val="nil"/>
              <w:bottom w:val="single" w:color="auto" w:sz="4" w:space="0"/>
              <w:right w:val="single" w:color="auto" w:sz="4" w:space="0"/>
            </w:tcBorders>
            <w:vAlign w:val="center"/>
          </w:tcPr>
          <w:p>
            <w:pPr>
              <w:widowControl/>
              <w:spacing w:line="300" w:lineRule="exact"/>
              <w:jc w:val="left"/>
              <w:rPr>
                <w:rFonts w:ascii="宋体" w:hAnsi="宋体"/>
                <w:kern w:val="0"/>
                <w:sz w:val="24"/>
                <w:szCs w:val="24"/>
              </w:rPr>
            </w:pPr>
            <w:r>
              <w:rPr>
                <w:rFonts w:hint="eastAsia" w:ascii="宋体" w:hAnsi="宋体" w:cs="宋体"/>
                <w:kern w:val="0"/>
                <w:sz w:val="24"/>
                <w:szCs w:val="24"/>
              </w:rPr>
              <w:t>　</w:t>
            </w:r>
            <w:r>
              <w:rPr>
                <w:rFonts w:ascii="宋体" w:hAnsi="宋体" w:cs="宋体"/>
                <w:kern w:val="0"/>
                <w:sz w:val="24"/>
                <w:szCs w:val="24"/>
              </w:rPr>
              <w:t>5</w:t>
            </w:r>
          </w:p>
        </w:tc>
      </w:tr>
      <w:tr>
        <w:tblPrEx>
          <w:tblCellMar>
            <w:top w:w="0" w:type="dxa"/>
            <w:left w:w="108" w:type="dxa"/>
            <w:bottom w:w="0" w:type="dxa"/>
            <w:right w:w="108" w:type="dxa"/>
          </w:tblCellMar>
        </w:tblPrEx>
        <w:trPr>
          <w:jc w:val="center"/>
        </w:trPr>
        <w:tc>
          <w:tcPr>
            <w:tcW w:w="678"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宋体"/>
                <w:kern w:val="0"/>
                <w:sz w:val="24"/>
                <w:szCs w:val="24"/>
              </w:rPr>
            </w:pPr>
            <w:r>
              <w:rPr>
                <w:rFonts w:hint="eastAsia" w:ascii="宋体" w:hAnsi="宋体" w:cs="宋体"/>
                <w:kern w:val="0"/>
                <w:sz w:val="24"/>
                <w:szCs w:val="24"/>
              </w:rPr>
              <w:t>产出及效率</w:t>
            </w:r>
          </w:p>
        </w:tc>
        <w:tc>
          <w:tcPr>
            <w:tcW w:w="516"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宋体"/>
                <w:kern w:val="0"/>
                <w:sz w:val="24"/>
                <w:szCs w:val="24"/>
              </w:rPr>
            </w:pPr>
            <w:r>
              <w:rPr>
                <w:rFonts w:ascii="宋体" w:hAnsi="宋体" w:cs="宋体"/>
                <w:kern w:val="0"/>
                <w:sz w:val="24"/>
                <w:szCs w:val="24"/>
              </w:rPr>
              <w:t>26</w:t>
            </w:r>
          </w:p>
        </w:tc>
        <w:tc>
          <w:tcPr>
            <w:tcW w:w="659" w:type="dxa"/>
            <w:tcBorders>
              <w:top w:val="nil"/>
              <w:left w:val="nil"/>
              <w:bottom w:val="single" w:color="auto" w:sz="4" w:space="0"/>
              <w:right w:val="single" w:color="auto" w:sz="4" w:space="0"/>
            </w:tcBorders>
            <w:vAlign w:val="center"/>
          </w:tcPr>
          <w:p>
            <w:pPr>
              <w:widowControl/>
              <w:spacing w:line="280" w:lineRule="exact"/>
              <w:jc w:val="center"/>
              <w:rPr>
                <w:rFonts w:ascii="宋体"/>
                <w:kern w:val="0"/>
                <w:sz w:val="24"/>
                <w:szCs w:val="24"/>
              </w:rPr>
            </w:pPr>
            <w:r>
              <w:rPr>
                <w:rFonts w:hint="eastAsia" w:ascii="宋体" w:hAnsi="宋体" w:cs="宋体"/>
                <w:kern w:val="0"/>
                <w:sz w:val="24"/>
                <w:szCs w:val="24"/>
              </w:rPr>
              <w:t>职责履行</w:t>
            </w:r>
          </w:p>
        </w:tc>
        <w:tc>
          <w:tcPr>
            <w:tcW w:w="516" w:type="dxa"/>
            <w:tcBorders>
              <w:top w:val="nil"/>
              <w:left w:val="nil"/>
              <w:bottom w:val="single" w:color="auto" w:sz="4" w:space="0"/>
              <w:right w:val="single" w:color="auto" w:sz="4" w:space="0"/>
            </w:tcBorders>
            <w:vAlign w:val="center"/>
          </w:tcPr>
          <w:p>
            <w:pPr>
              <w:widowControl/>
              <w:spacing w:line="280" w:lineRule="exact"/>
              <w:jc w:val="center"/>
              <w:rPr>
                <w:rFonts w:ascii="宋体"/>
                <w:kern w:val="0"/>
                <w:sz w:val="24"/>
                <w:szCs w:val="24"/>
              </w:rPr>
            </w:pPr>
            <w:r>
              <w:rPr>
                <w:rFonts w:ascii="宋体" w:hAnsi="宋体" w:cs="宋体"/>
                <w:kern w:val="0"/>
                <w:sz w:val="24"/>
                <w:szCs w:val="24"/>
              </w:rPr>
              <w:t>8</w:t>
            </w:r>
          </w:p>
        </w:tc>
        <w:tc>
          <w:tcPr>
            <w:tcW w:w="1074" w:type="dxa"/>
            <w:tcBorders>
              <w:top w:val="nil"/>
              <w:left w:val="nil"/>
              <w:bottom w:val="nil"/>
              <w:right w:val="single" w:color="auto" w:sz="4" w:space="0"/>
            </w:tcBorders>
            <w:vAlign w:val="center"/>
          </w:tcPr>
          <w:p>
            <w:pPr>
              <w:widowControl/>
              <w:spacing w:line="280" w:lineRule="exact"/>
              <w:jc w:val="left"/>
              <w:rPr>
                <w:rFonts w:ascii="宋体"/>
                <w:kern w:val="0"/>
                <w:sz w:val="24"/>
                <w:szCs w:val="24"/>
              </w:rPr>
            </w:pPr>
            <w:r>
              <w:rPr>
                <w:rFonts w:hint="eastAsia" w:ascii="宋体" w:hAnsi="宋体" w:cs="宋体"/>
                <w:kern w:val="0"/>
                <w:sz w:val="24"/>
                <w:szCs w:val="24"/>
              </w:rPr>
              <w:t>重点工作实际完成率</w:t>
            </w:r>
          </w:p>
        </w:tc>
        <w:tc>
          <w:tcPr>
            <w:tcW w:w="516" w:type="dxa"/>
            <w:tcBorders>
              <w:top w:val="nil"/>
              <w:left w:val="nil"/>
              <w:bottom w:val="single" w:color="auto" w:sz="4" w:space="0"/>
              <w:right w:val="single" w:color="auto" w:sz="4" w:space="0"/>
            </w:tcBorders>
            <w:vAlign w:val="center"/>
          </w:tcPr>
          <w:p>
            <w:pPr>
              <w:widowControl/>
              <w:spacing w:line="280" w:lineRule="exact"/>
              <w:jc w:val="center"/>
              <w:rPr>
                <w:rFonts w:ascii="宋体"/>
                <w:kern w:val="0"/>
                <w:sz w:val="24"/>
                <w:szCs w:val="24"/>
              </w:rPr>
            </w:pPr>
            <w:r>
              <w:rPr>
                <w:rFonts w:ascii="宋体" w:hAnsi="宋体" w:cs="宋体"/>
                <w:kern w:val="0"/>
                <w:sz w:val="24"/>
                <w:szCs w:val="24"/>
              </w:rPr>
              <w:t>8</w:t>
            </w:r>
          </w:p>
        </w:tc>
        <w:tc>
          <w:tcPr>
            <w:tcW w:w="2878" w:type="dxa"/>
            <w:tcBorders>
              <w:top w:val="nil"/>
              <w:left w:val="nil"/>
              <w:bottom w:val="single" w:color="auto" w:sz="4" w:space="0"/>
              <w:right w:val="single" w:color="auto" w:sz="4" w:space="0"/>
            </w:tcBorders>
            <w:vAlign w:val="center"/>
          </w:tcPr>
          <w:p>
            <w:pPr>
              <w:widowControl/>
              <w:spacing w:line="280" w:lineRule="exact"/>
              <w:jc w:val="left"/>
              <w:rPr>
                <w:rFonts w:ascii="宋体"/>
                <w:kern w:val="0"/>
                <w:sz w:val="24"/>
                <w:szCs w:val="24"/>
              </w:rPr>
            </w:pPr>
            <w:r>
              <w:rPr>
                <w:rFonts w:hint="eastAsia" w:ascii="宋体" w:hAnsi="宋体" w:cs="宋体"/>
                <w:kern w:val="0"/>
                <w:sz w:val="24"/>
                <w:szCs w:val="24"/>
              </w:rPr>
              <w:t>根据绩效办</w:t>
            </w:r>
            <w:r>
              <w:rPr>
                <w:rFonts w:ascii="宋体" w:hAnsi="宋体" w:cs="宋体"/>
                <w:kern w:val="0"/>
                <w:sz w:val="24"/>
                <w:szCs w:val="24"/>
              </w:rPr>
              <w:t>2015</w:t>
            </w:r>
            <w:r>
              <w:rPr>
                <w:rFonts w:hint="eastAsia" w:ascii="宋体" w:hAnsi="宋体" w:cs="宋体"/>
                <w:kern w:val="0"/>
                <w:sz w:val="24"/>
                <w:szCs w:val="24"/>
              </w:rPr>
              <w:t>年对各部门为民办实事和部门重点工程与重点工作考核分数折算。</w:t>
            </w:r>
            <w:r>
              <w:rPr>
                <w:rFonts w:ascii="宋体"/>
                <w:kern w:val="0"/>
                <w:sz w:val="24"/>
                <w:szCs w:val="24"/>
              </w:rPr>
              <w:br w:type="textWrapping"/>
            </w:r>
            <w:r>
              <w:rPr>
                <w:rFonts w:hint="eastAsia" w:ascii="宋体" w:hAnsi="宋体" w:cs="宋体"/>
                <w:kern w:val="0"/>
                <w:sz w:val="24"/>
                <w:szCs w:val="24"/>
              </w:rPr>
              <w:t>该项得分</w:t>
            </w:r>
            <w:r>
              <w:rPr>
                <w:rFonts w:ascii="宋体" w:hAnsi="宋体" w:cs="宋体"/>
                <w:kern w:val="0"/>
                <w:sz w:val="24"/>
                <w:szCs w:val="24"/>
              </w:rPr>
              <w:t>=</w:t>
            </w:r>
            <w:r>
              <w:rPr>
                <w:rFonts w:hint="eastAsia" w:ascii="宋体" w:hAnsi="宋体" w:cs="宋体"/>
                <w:kern w:val="0"/>
                <w:sz w:val="24"/>
                <w:szCs w:val="24"/>
              </w:rPr>
              <w:t>（绩效办对应部分考核得分</w:t>
            </w:r>
            <w:r>
              <w:rPr>
                <w:rFonts w:ascii="宋体" w:hAnsi="宋体" w:cs="宋体"/>
                <w:kern w:val="0"/>
                <w:sz w:val="24"/>
                <w:szCs w:val="24"/>
              </w:rPr>
              <w:t>/500</w:t>
            </w:r>
            <w:r>
              <w:rPr>
                <w:rFonts w:hint="eastAsia" w:ascii="宋体" w:hAnsi="宋体" w:cs="宋体"/>
                <w:kern w:val="0"/>
                <w:sz w:val="24"/>
                <w:szCs w:val="24"/>
              </w:rPr>
              <w:t>）</w:t>
            </w:r>
            <w:r>
              <w:rPr>
                <w:rFonts w:ascii="宋体" w:hAnsi="宋体" w:cs="宋体"/>
                <w:kern w:val="0"/>
                <w:sz w:val="24"/>
                <w:szCs w:val="24"/>
              </w:rPr>
              <w:t>*8</w:t>
            </w:r>
          </w:p>
        </w:tc>
        <w:tc>
          <w:tcPr>
            <w:tcW w:w="3312" w:type="dxa"/>
            <w:tcBorders>
              <w:top w:val="nil"/>
              <w:left w:val="nil"/>
              <w:bottom w:val="single" w:color="auto" w:sz="4" w:space="0"/>
              <w:right w:val="single" w:color="auto" w:sz="4" w:space="0"/>
            </w:tcBorders>
            <w:vAlign w:val="center"/>
          </w:tcPr>
          <w:p>
            <w:pPr>
              <w:widowControl/>
              <w:spacing w:line="280" w:lineRule="exact"/>
              <w:jc w:val="left"/>
              <w:rPr>
                <w:rFonts w:ascii="宋体"/>
                <w:kern w:val="0"/>
                <w:sz w:val="24"/>
                <w:szCs w:val="24"/>
              </w:rPr>
            </w:pPr>
            <w:r>
              <w:rPr>
                <w:rFonts w:hint="eastAsia" w:ascii="宋体" w:hAnsi="宋体" w:cs="宋体"/>
                <w:kern w:val="0"/>
                <w:sz w:val="24"/>
                <w:szCs w:val="24"/>
              </w:rPr>
              <w:t>　</w:t>
            </w:r>
          </w:p>
        </w:tc>
        <w:tc>
          <w:tcPr>
            <w:tcW w:w="622" w:type="dxa"/>
            <w:tcBorders>
              <w:top w:val="nil"/>
              <w:left w:val="nil"/>
              <w:bottom w:val="single" w:color="auto" w:sz="4" w:space="0"/>
              <w:right w:val="single" w:color="auto" w:sz="4" w:space="0"/>
            </w:tcBorders>
            <w:vAlign w:val="center"/>
          </w:tcPr>
          <w:p>
            <w:pPr>
              <w:widowControl/>
              <w:spacing w:line="300" w:lineRule="exact"/>
              <w:jc w:val="left"/>
              <w:rPr>
                <w:rFonts w:ascii="宋体"/>
                <w:kern w:val="0"/>
                <w:sz w:val="24"/>
                <w:szCs w:val="24"/>
              </w:rPr>
            </w:pPr>
            <w:r>
              <w:rPr>
                <w:rFonts w:hint="eastAsia" w:ascii="宋体" w:hAnsi="宋体" w:cs="宋体"/>
                <w:kern w:val="0"/>
                <w:sz w:val="24"/>
                <w:szCs w:val="24"/>
              </w:rPr>
              <w:t>　</w:t>
            </w:r>
            <w:r>
              <w:rPr>
                <w:rFonts w:ascii="宋体" w:hAnsi="宋体" w:cs="宋体"/>
                <w:kern w:val="0"/>
                <w:sz w:val="24"/>
                <w:szCs w:val="24"/>
              </w:rPr>
              <w:t>8</w:t>
            </w:r>
          </w:p>
        </w:tc>
      </w:tr>
      <w:tr>
        <w:tblPrEx>
          <w:tblCellMar>
            <w:top w:w="0" w:type="dxa"/>
            <w:left w:w="108" w:type="dxa"/>
            <w:bottom w:w="0" w:type="dxa"/>
            <w:right w:w="108" w:type="dxa"/>
          </w:tblCellMar>
        </w:tblPrEx>
        <w:trPr>
          <w:jc w:val="center"/>
        </w:trPr>
        <w:tc>
          <w:tcPr>
            <w:tcW w:w="678"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kern w:val="0"/>
                <w:sz w:val="24"/>
                <w:szCs w:val="24"/>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kern w:val="0"/>
                <w:sz w:val="24"/>
                <w:szCs w:val="24"/>
              </w:rPr>
            </w:pPr>
          </w:p>
        </w:tc>
        <w:tc>
          <w:tcPr>
            <w:tcW w:w="659"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宋体"/>
                <w:kern w:val="0"/>
                <w:sz w:val="24"/>
                <w:szCs w:val="24"/>
              </w:rPr>
            </w:pPr>
            <w:r>
              <w:rPr>
                <w:rFonts w:hint="eastAsia" w:ascii="宋体" w:hAnsi="宋体" w:cs="宋体"/>
                <w:kern w:val="0"/>
                <w:sz w:val="24"/>
                <w:szCs w:val="24"/>
              </w:rPr>
              <w:t>履职效益</w:t>
            </w:r>
          </w:p>
        </w:tc>
        <w:tc>
          <w:tcPr>
            <w:tcW w:w="516"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宋体"/>
                <w:kern w:val="0"/>
                <w:sz w:val="24"/>
                <w:szCs w:val="24"/>
              </w:rPr>
            </w:pPr>
            <w:r>
              <w:rPr>
                <w:rFonts w:ascii="宋体" w:hAnsi="宋体" w:cs="宋体"/>
                <w:kern w:val="0"/>
                <w:sz w:val="24"/>
                <w:szCs w:val="24"/>
              </w:rPr>
              <w:t>6</w:t>
            </w:r>
          </w:p>
        </w:tc>
        <w:tc>
          <w:tcPr>
            <w:tcW w:w="1074"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ascii="宋体"/>
                <w:kern w:val="0"/>
                <w:sz w:val="24"/>
                <w:szCs w:val="24"/>
              </w:rPr>
            </w:pPr>
            <w:r>
              <w:rPr>
                <w:rFonts w:hint="eastAsia" w:ascii="宋体" w:hAnsi="宋体" w:cs="宋体"/>
                <w:kern w:val="0"/>
                <w:sz w:val="24"/>
                <w:szCs w:val="24"/>
              </w:rPr>
              <w:t>经济效益</w:t>
            </w:r>
          </w:p>
        </w:tc>
        <w:tc>
          <w:tcPr>
            <w:tcW w:w="516" w:type="dxa"/>
            <w:vMerge w:val="restart"/>
            <w:tcBorders>
              <w:top w:val="nil"/>
              <w:left w:val="single" w:color="auto" w:sz="4" w:space="0"/>
              <w:bottom w:val="nil"/>
              <w:right w:val="single" w:color="auto" w:sz="4" w:space="0"/>
            </w:tcBorders>
            <w:vAlign w:val="center"/>
          </w:tcPr>
          <w:p>
            <w:pPr>
              <w:widowControl/>
              <w:spacing w:line="280" w:lineRule="exact"/>
              <w:jc w:val="center"/>
              <w:rPr>
                <w:rFonts w:ascii="宋体"/>
                <w:kern w:val="0"/>
                <w:sz w:val="24"/>
                <w:szCs w:val="24"/>
              </w:rPr>
            </w:pPr>
            <w:r>
              <w:rPr>
                <w:rFonts w:ascii="宋体" w:hAnsi="宋体" w:cs="宋体"/>
                <w:kern w:val="0"/>
                <w:sz w:val="24"/>
                <w:szCs w:val="24"/>
              </w:rPr>
              <w:t>6</w:t>
            </w:r>
          </w:p>
        </w:tc>
        <w:tc>
          <w:tcPr>
            <w:tcW w:w="6190" w:type="dxa"/>
            <w:gridSpan w:val="2"/>
            <w:vMerge w:val="restart"/>
            <w:tcBorders>
              <w:top w:val="single" w:color="auto" w:sz="4" w:space="0"/>
              <w:left w:val="single" w:color="auto" w:sz="4" w:space="0"/>
              <w:bottom w:val="nil"/>
              <w:right w:val="single" w:color="000000" w:sz="4" w:space="0"/>
            </w:tcBorders>
            <w:vAlign w:val="center"/>
          </w:tcPr>
          <w:p>
            <w:pPr>
              <w:widowControl/>
              <w:spacing w:line="280" w:lineRule="exact"/>
              <w:jc w:val="left"/>
              <w:rPr>
                <w:rFonts w:ascii="宋体"/>
                <w:kern w:val="0"/>
                <w:sz w:val="24"/>
                <w:szCs w:val="24"/>
              </w:rPr>
            </w:pPr>
            <w:r>
              <w:rPr>
                <w:rFonts w:hint="eastAsia" w:ascii="宋体" w:hAnsi="宋体" w:cs="宋体"/>
                <w:kern w:val="0"/>
                <w:sz w:val="24"/>
                <w:szCs w:val="24"/>
              </w:rPr>
              <w:t>此两项指标为设置部门整体支出绩效评价指标时必须考虑的共性要素，可根据部门实际情况有选择的进行设置，并将其细化为相应的个性化指标。</w:t>
            </w:r>
          </w:p>
        </w:tc>
        <w:tc>
          <w:tcPr>
            <w:tcW w:w="622" w:type="dxa"/>
            <w:tcBorders>
              <w:top w:val="nil"/>
              <w:left w:val="nil"/>
              <w:bottom w:val="nil"/>
              <w:right w:val="single" w:color="auto" w:sz="4" w:space="0"/>
            </w:tcBorders>
            <w:vAlign w:val="center"/>
          </w:tcPr>
          <w:p>
            <w:pPr>
              <w:widowControl/>
              <w:spacing w:line="300" w:lineRule="exact"/>
              <w:jc w:val="left"/>
              <w:rPr>
                <w:rFonts w:ascii="宋体"/>
                <w:kern w:val="0"/>
                <w:sz w:val="24"/>
                <w:szCs w:val="24"/>
              </w:rPr>
            </w:pPr>
            <w:r>
              <w:rPr>
                <w:rFonts w:hint="eastAsia" w:ascii="宋体" w:hAnsi="宋体" w:cs="宋体"/>
                <w:kern w:val="0"/>
                <w:sz w:val="24"/>
                <w:szCs w:val="24"/>
              </w:rPr>
              <w:t>　</w:t>
            </w:r>
            <w:r>
              <w:rPr>
                <w:rFonts w:ascii="宋体" w:hAnsi="宋体" w:cs="宋体"/>
                <w:kern w:val="0"/>
                <w:sz w:val="24"/>
                <w:szCs w:val="24"/>
              </w:rPr>
              <w:t>3</w:t>
            </w:r>
          </w:p>
        </w:tc>
      </w:tr>
      <w:tr>
        <w:tblPrEx>
          <w:tblCellMar>
            <w:top w:w="0" w:type="dxa"/>
            <w:left w:w="108" w:type="dxa"/>
            <w:bottom w:w="0" w:type="dxa"/>
            <w:right w:w="108" w:type="dxa"/>
          </w:tblCellMar>
        </w:tblPrEx>
        <w:trPr>
          <w:trHeight w:val="758" w:hRule="atLeast"/>
          <w:jc w:val="center"/>
        </w:trPr>
        <w:tc>
          <w:tcPr>
            <w:tcW w:w="678"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kern w:val="0"/>
                <w:sz w:val="24"/>
                <w:szCs w:val="24"/>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kern w:val="0"/>
                <w:sz w:val="24"/>
                <w:szCs w:val="24"/>
              </w:rPr>
            </w:pPr>
          </w:p>
        </w:tc>
        <w:tc>
          <w:tcPr>
            <w:tcW w:w="659"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kern w:val="0"/>
                <w:sz w:val="24"/>
                <w:szCs w:val="24"/>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kern w:val="0"/>
                <w:sz w:val="24"/>
                <w:szCs w:val="24"/>
              </w:rPr>
            </w:pPr>
          </w:p>
        </w:tc>
        <w:tc>
          <w:tcPr>
            <w:tcW w:w="1074" w:type="dxa"/>
            <w:tcBorders>
              <w:top w:val="nil"/>
              <w:left w:val="nil"/>
              <w:bottom w:val="single" w:color="auto" w:sz="4" w:space="0"/>
              <w:right w:val="single" w:color="auto" w:sz="4" w:space="0"/>
            </w:tcBorders>
            <w:vAlign w:val="center"/>
          </w:tcPr>
          <w:p>
            <w:pPr>
              <w:widowControl/>
              <w:spacing w:line="280" w:lineRule="exact"/>
              <w:jc w:val="center"/>
              <w:rPr>
                <w:rFonts w:ascii="宋体"/>
                <w:kern w:val="0"/>
                <w:sz w:val="24"/>
                <w:szCs w:val="24"/>
              </w:rPr>
            </w:pPr>
            <w:r>
              <w:rPr>
                <w:rFonts w:hint="eastAsia" w:ascii="宋体" w:hAnsi="宋体" w:cs="宋体"/>
                <w:kern w:val="0"/>
                <w:sz w:val="24"/>
                <w:szCs w:val="24"/>
              </w:rPr>
              <w:t>社会效益</w:t>
            </w:r>
          </w:p>
        </w:tc>
        <w:tc>
          <w:tcPr>
            <w:tcW w:w="516" w:type="dxa"/>
            <w:vMerge w:val="continue"/>
            <w:tcBorders>
              <w:top w:val="nil"/>
              <w:left w:val="single" w:color="auto" w:sz="4" w:space="0"/>
              <w:bottom w:val="nil"/>
              <w:right w:val="single" w:color="auto" w:sz="4" w:space="0"/>
            </w:tcBorders>
            <w:vAlign w:val="center"/>
          </w:tcPr>
          <w:p>
            <w:pPr>
              <w:widowControl/>
              <w:spacing w:line="280" w:lineRule="exact"/>
              <w:jc w:val="left"/>
              <w:rPr>
                <w:rFonts w:ascii="宋体"/>
                <w:kern w:val="0"/>
                <w:sz w:val="24"/>
                <w:szCs w:val="24"/>
              </w:rPr>
            </w:pPr>
          </w:p>
        </w:tc>
        <w:tc>
          <w:tcPr>
            <w:tcW w:w="6190" w:type="dxa"/>
            <w:gridSpan w:val="2"/>
            <w:vMerge w:val="continue"/>
            <w:tcBorders>
              <w:top w:val="single" w:color="auto" w:sz="4" w:space="0"/>
              <w:left w:val="single" w:color="auto" w:sz="4" w:space="0"/>
              <w:bottom w:val="nil"/>
              <w:right w:val="single" w:color="000000" w:sz="4" w:space="0"/>
            </w:tcBorders>
            <w:vAlign w:val="center"/>
          </w:tcPr>
          <w:p>
            <w:pPr>
              <w:widowControl/>
              <w:spacing w:line="280" w:lineRule="exact"/>
              <w:jc w:val="left"/>
              <w:rPr>
                <w:rFonts w:ascii="宋体"/>
                <w:kern w:val="0"/>
                <w:sz w:val="24"/>
                <w:szCs w:val="24"/>
              </w:rPr>
            </w:pPr>
          </w:p>
        </w:tc>
        <w:tc>
          <w:tcPr>
            <w:tcW w:w="622" w:type="dxa"/>
            <w:tcBorders>
              <w:top w:val="nil"/>
              <w:left w:val="nil"/>
              <w:bottom w:val="nil"/>
              <w:right w:val="single" w:color="auto" w:sz="4" w:space="0"/>
            </w:tcBorders>
            <w:vAlign w:val="center"/>
          </w:tcPr>
          <w:p>
            <w:pPr>
              <w:widowControl/>
              <w:spacing w:line="300" w:lineRule="exact"/>
              <w:jc w:val="left"/>
              <w:rPr>
                <w:rFonts w:ascii="宋体"/>
                <w:kern w:val="0"/>
                <w:sz w:val="24"/>
                <w:szCs w:val="24"/>
              </w:rPr>
            </w:pPr>
            <w:r>
              <w:rPr>
                <w:rFonts w:hint="eastAsia" w:ascii="宋体" w:hAnsi="宋体" w:cs="宋体"/>
                <w:kern w:val="0"/>
                <w:sz w:val="24"/>
                <w:szCs w:val="24"/>
              </w:rPr>
              <w:t>　</w:t>
            </w:r>
            <w:r>
              <w:rPr>
                <w:rFonts w:ascii="宋体" w:hAnsi="宋体" w:cs="宋体"/>
                <w:kern w:val="0"/>
                <w:sz w:val="24"/>
                <w:szCs w:val="24"/>
              </w:rPr>
              <w:t>3</w:t>
            </w:r>
          </w:p>
        </w:tc>
      </w:tr>
      <w:tr>
        <w:tblPrEx>
          <w:tblCellMar>
            <w:top w:w="0" w:type="dxa"/>
            <w:left w:w="108" w:type="dxa"/>
            <w:bottom w:w="0" w:type="dxa"/>
            <w:right w:w="108" w:type="dxa"/>
          </w:tblCellMar>
        </w:tblPrEx>
        <w:trPr>
          <w:jc w:val="center"/>
        </w:trPr>
        <w:tc>
          <w:tcPr>
            <w:tcW w:w="678"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kern w:val="0"/>
                <w:sz w:val="24"/>
                <w:szCs w:val="24"/>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kern w:val="0"/>
                <w:sz w:val="24"/>
                <w:szCs w:val="24"/>
              </w:rPr>
            </w:pPr>
          </w:p>
        </w:tc>
        <w:tc>
          <w:tcPr>
            <w:tcW w:w="659"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kern w:val="0"/>
                <w:sz w:val="24"/>
                <w:szCs w:val="24"/>
              </w:rPr>
            </w:pPr>
          </w:p>
        </w:tc>
        <w:tc>
          <w:tcPr>
            <w:tcW w:w="516"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宋体"/>
                <w:kern w:val="0"/>
                <w:sz w:val="24"/>
                <w:szCs w:val="24"/>
              </w:rPr>
            </w:pPr>
            <w:r>
              <w:rPr>
                <w:rFonts w:ascii="宋体" w:hAnsi="宋体" w:cs="宋体"/>
                <w:kern w:val="0"/>
                <w:sz w:val="24"/>
                <w:szCs w:val="24"/>
              </w:rPr>
              <w:t>12</w:t>
            </w:r>
          </w:p>
        </w:tc>
        <w:tc>
          <w:tcPr>
            <w:tcW w:w="1074" w:type="dxa"/>
            <w:tcBorders>
              <w:top w:val="nil"/>
              <w:left w:val="nil"/>
              <w:bottom w:val="single" w:color="auto" w:sz="4" w:space="0"/>
              <w:right w:val="single" w:color="auto" w:sz="4" w:space="0"/>
            </w:tcBorders>
            <w:vAlign w:val="center"/>
          </w:tcPr>
          <w:p>
            <w:pPr>
              <w:widowControl/>
              <w:spacing w:line="280" w:lineRule="exact"/>
              <w:jc w:val="left"/>
              <w:rPr>
                <w:rFonts w:ascii="宋体"/>
                <w:kern w:val="0"/>
                <w:sz w:val="24"/>
                <w:szCs w:val="24"/>
              </w:rPr>
            </w:pPr>
            <w:r>
              <w:rPr>
                <w:rFonts w:hint="eastAsia" w:ascii="宋体" w:hAnsi="宋体" w:cs="宋体"/>
                <w:kern w:val="0"/>
                <w:sz w:val="24"/>
                <w:szCs w:val="24"/>
              </w:rPr>
              <w:t>行政效能</w:t>
            </w:r>
          </w:p>
        </w:tc>
        <w:tc>
          <w:tcPr>
            <w:tcW w:w="516"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ascii="宋体"/>
                <w:kern w:val="0"/>
                <w:sz w:val="24"/>
                <w:szCs w:val="24"/>
              </w:rPr>
            </w:pPr>
            <w:r>
              <w:rPr>
                <w:rFonts w:ascii="宋体" w:hAnsi="宋体" w:cs="宋体"/>
                <w:kern w:val="0"/>
                <w:sz w:val="24"/>
                <w:szCs w:val="24"/>
              </w:rPr>
              <w:t>6</w:t>
            </w:r>
          </w:p>
        </w:tc>
        <w:tc>
          <w:tcPr>
            <w:tcW w:w="2878"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宋体"/>
                <w:kern w:val="0"/>
                <w:sz w:val="24"/>
                <w:szCs w:val="24"/>
              </w:rPr>
            </w:pPr>
            <w:r>
              <w:rPr>
                <w:rFonts w:hint="eastAsia" w:ascii="宋体" w:hAnsi="宋体" w:cs="宋体"/>
                <w:kern w:val="0"/>
                <w:sz w:val="24"/>
                <w:szCs w:val="24"/>
              </w:rPr>
              <w:t>促进部门改进文风会风，加强经费及资产管理，推动网上办事，提高行政效率，降低行政成本效果较好的计</w:t>
            </w:r>
            <w:r>
              <w:rPr>
                <w:rFonts w:ascii="宋体" w:hAnsi="宋体" w:cs="宋体"/>
                <w:kern w:val="0"/>
                <w:sz w:val="24"/>
                <w:szCs w:val="24"/>
              </w:rPr>
              <w:t>6</w:t>
            </w:r>
            <w:r>
              <w:rPr>
                <w:rFonts w:hint="eastAsia" w:ascii="宋体" w:hAnsi="宋体" w:cs="宋体"/>
                <w:kern w:val="0"/>
                <w:sz w:val="24"/>
                <w:szCs w:val="24"/>
              </w:rPr>
              <w:t>分；一般</w:t>
            </w:r>
            <w:r>
              <w:rPr>
                <w:rFonts w:ascii="宋体" w:hAnsi="宋体" w:cs="宋体"/>
                <w:kern w:val="0"/>
                <w:sz w:val="24"/>
                <w:szCs w:val="24"/>
              </w:rPr>
              <w:t>3</w:t>
            </w:r>
            <w:r>
              <w:rPr>
                <w:rFonts w:hint="eastAsia" w:ascii="宋体" w:hAnsi="宋体" w:cs="宋体"/>
                <w:kern w:val="0"/>
                <w:sz w:val="24"/>
                <w:szCs w:val="24"/>
              </w:rPr>
              <w:t>分；无效果或者效果不明显</w:t>
            </w:r>
            <w:r>
              <w:rPr>
                <w:rFonts w:ascii="宋体" w:cs="宋体"/>
                <w:kern w:val="0"/>
                <w:sz w:val="24"/>
                <w:szCs w:val="24"/>
              </w:rPr>
              <w:t>0</w:t>
            </w:r>
            <w:r>
              <w:rPr>
                <w:rFonts w:hint="eastAsia" w:ascii="宋体" w:hAnsi="宋体" w:cs="宋体"/>
                <w:kern w:val="0"/>
                <w:sz w:val="24"/>
                <w:szCs w:val="24"/>
              </w:rPr>
              <w:t>分。</w:t>
            </w:r>
          </w:p>
        </w:tc>
        <w:tc>
          <w:tcPr>
            <w:tcW w:w="3312"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宋体"/>
                <w:kern w:val="0"/>
                <w:sz w:val="24"/>
                <w:szCs w:val="24"/>
              </w:rPr>
            </w:pPr>
            <w:r>
              <w:rPr>
                <w:rFonts w:hint="eastAsia" w:ascii="宋体" w:hAnsi="宋体" w:cs="宋体"/>
                <w:kern w:val="0"/>
                <w:sz w:val="24"/>
                <w:szCs w:val="24"/>
              </w:rPr>
              <w:t>根据部门自评材料评定。</w:t>
            </w:r>
          </w:p>
        </w:tc>
        <w:tc>
          <w:tcPr>
            <w:tcW w:w="622" w:type="dxa"/>
            <w:tcBorders>
              <w:top w:val="single" w:color="auto" w:sz="4" w:space="0"/>
              <w:left w:val="nil"/>
              <w:bottom w:val="single" w:color="auto" w:sz="4" w:space="0"/>
              <w:right w:val="single" w:color="auto" w:sz="4" w:space="0"/>
            </w:tcBorders>
            <w:vAlign w:val="center"/>
          </w:tcPr>
          <w:p>
            <w:pPr>
              <w:widowControl/>
              <w:spacing w:line="300" w:lineRule="exact"/>
              <w:jc w:val="left"/>
              <w:rPr>
                <w:rFonts w:ascii="宋体"/>
                <w:kern w:val="0"/>
                <w:sz w:val="24"/>
                <w:szCs w:val="24"/>
              </w:rPr>
            </w:pPr>
            <w:r>
              <w:rPr>
                <w:rFonts w:hint="eastAsia" w:ascii="宋体" w:hAnsi="宋体" w:cs="宋体"/>
                <w:kern w:val="0"/>
                <w:sz w:val="24"/>
                <w:szCs w:val="24"/>
              </w:rPr>
              <w:t>　</w:t>
            </w:r>
            <w:r>
              <w:rPr>
                <w:rFonts w:ascii="宋体" w:hAnsi="宋体" w:cs="宋体"/>
                <w:kern w:val="0"/>
                <w:sz w:val="24"/>
                <w:szCs w:val="24"/>
              </w:rPr>
              <w:t>6</w:t>
            </w:r>
          </w:p>
        </w:tc>
      </w:tr>
      <w:tr>
        <w:tblPrEx>
          <w:tblCellMar>
            <w:top w:w="0" w:type="dxa"/>
            <w:left w:w="108" w:type="dxa"/>
            <w:bottom w:w="0" w:type="dxa"/>
            <w:right w:w="108" w:type="dxa"/>
          </w:tblCellMar>
        </w:tblPrEx>
        <w:trPr>
          <w:jc w:val="center"/>
        </w:trPr>
        <w:tc>
          <w:tcPr>
            <w:tcW w:w="678"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kern w:val="0"/>
                <w:sz w:val="24"/>
                <w:szCs w:val="24"/>
              </w:rPr>
            </w:pPr>
          </w:p>
        </w:tc>
        <w:tc>
          <w:tcPr>
            <w:tcW w:w="516"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kern w:val="0"/>
                <w:sz w:val="24"/>
                <w:szCs w:val="24"/>
              </w:rPr>
            </w:pPr>
          </w:p>
        </w:tc>
        <w:tc>
          <w:tcPr>
            <w:tcW w:w="659"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kern w:val="0"/>
                <w:sz w:val="24"/>
                <w:szCs w:val="24"/>
              </w:rPr>
            </w:pPr>
          </w:p>
        </w:tc>
        <w:tc>
          <w:tcPr>
            <w:tcW w:w="516"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kern w:val="0"/>
                <w:sz w:val="24"/>
                <w:szCs w:val="24"/>
              </w:rPr>
            </w:pPr>
          </w:p>
        </w:tc>
        <w:tc>
          <w:tcPr>
            <w:tcW w:w="1074" w:type="dxa"/>
            <w:tcBorders>
              <w:top w:val="nil"/>
              <w:left w:val="nil"/>
              <w:bottom w:val="single" w:color="auto" w:sz="4" w:space="0"/>
              <w:right w:val="single" w:color="auto" w:sz="4" w:space="0"/>
            </w:tcBorders>
            <w:vAlign w:val="center"/>
          </w:tcPr>
          <w:p>
            <w:pPr>
              <w:widowControl/>
              <w:spacing w:line="280" w:lineRule="exact"/>
              <w:jc w:val="left"/>
              <w:rPr>
                <w:rFonts w:ascii="宋体"/>
                <w:kern w:val="0"/>
                <w:sz w:val="24"/>
                <w:szCs w:val="24"/>
              </w:rPr>
            </w:pPr>
            <w:r>
              <w:rPr>
                <w:rFonts w:hint="eastAsia" w:ascii="宋体" w:hAnsi="宋体" w:cs="宋体"/>
                <w:kern w:val="0"/>
                <w:sz w:val="24"/>
                <w:szCs w:val="24"/>
              </w:rPr>
              <w:t>社会公众或服务对象满意度</w:t>
            </w:r>
          </w:p>
        </w:tc>
        <w:tc>
          <w:tcPr>
            <w:tcW w:w="516" w:type="dxa"/>
            <w:tcBorders>
              <w:top w:val="nil"/>
              <w:left w:val="nil"/>
              <w:bottom w:val="single" w:color="auto" w:sz="4" w:space="0"/>
              <w:right w:val="single" w:color="auto" w:sz="4" w:space="0"/>
            </w:tcBorders>
            <w:vAlign w:val="center"/>
          </w:tcPr>
          <w:p>
            <w:pPr>
              <w:widowControl/>
              <w:spacing w:line="280" w:lineRule="exact"/>
              <w:jc w:val="center"/>
              <w:rPr>
                <w:rFonts w:ascii="宋体"/>
                <w:kern w:val="0"/>
                <w:sz w:val="24"/>
                <w:szCs w:val="24"/>
              </w:rPr>
            </w:pPr>
            <w:r>
              <w:rPr>
                <w:rFonts w:ascii="宋体" w:hAnsi="宋体" w:cs="宋体"/>
                <w:kern w:val="0"/>
                <w:sz w:val="24"/>
                <w:szCs w:val="24"/>
              </w:rPr>
              <w:t>6</w:t>
            </w:r>
          </w:p>
        </w:tc>
        <w:tc>
          <w:tcPr>
            <w:tcW w:w="2878" w:type="dxa"/>
            <w:tcBorders>
              <w:top w:val="nil"/>
              <w:left w:val="nil"/>
              <w:bottom w:val="single" w:color="auto" w:sz="4" w:space="0"/>
              <w:right w:val="single" w:color="auto" w:sz="4" w:space="0"/>
            </w:tcBorders>
            <w:vAlign w:val="center"/>
          </w:tcPr>
          <w:p>
            <w:pPr>
              <w:widowControl/>
              <w:spacing w:line="280" w:lineRule="exact"/>
              <w:jc w:val="left"/>
              <w:rPr>
                <w:rFonts w:ascii="宋体"/>
                <w:kern w:val="0"/>
                <w:sz w:val="24"/>
                <w:szCs w:val="24"/>
              </w:rPr>
            </w:pPr>
            <w:r>
              <w:rPr>
                <w:rFonts w:ascii="宋体" w:hAnsi="宋体" w:cs="宋体"/>
                <w:kern w:val="0"/>
                <w:sz w:val="24"/>
                <w:szCs w:val="24"/>
              </w:rPr>
              <w:t>90%</w:t>
            </w:r>
            <w:r>
              <w:rPr>
                <w:rFonts w:hint="eastAsia" w:ascii="宋体" w:hAnsi="宋体" w:cs="宋体"/>
                <w:kern w:val="0"/>
                <w:sz w:val="24"/>
                <w:szCs w:val="24"/>
              </w:rPr>
              <w:t>（含）以上计</w:t>
            </w:r>
            <w:r>
              <w:rPr>
                <w:rFonts w:ascii="宋体" w:hAnsi="宋体" w:cs="宋体"/>
                <w:kern w:val="0"/>
                <w:sz w:val="24"/>
                <w:szCs w:val="24"/>
              </w:rPr>
              <w:t>6</w:t>
            </w:r>
            <w:r>
              <w:rPr>
                <w:rFonts w:hint="eastAsia" w:ascii="宋体" w:hAnsi="宋体" w:cs="宋体"/>
                <w:kern w:val="0"/>
                <w:sz w:val="24"/>
                <w:szCs w:val="24"/>
              </w:rPr>
              <w:t>分；</w:t>
            </w:r>
            <w:r>
              <w:rPr>
                <w:rFonts w:ascii="宋体"/>
                <w:kern w:val="0"/>
                <w:sz w:val="24"/>
                <w:szCs w:val="24"/>
              </w:rPr>
              <w:br w:type="textWrapping"/>
            </w:r>
            <w:r>
              <w:rPr>
                <w:rFonts w:ascii="宋体" w:hAnsi="宋体" w:cs="宋体"/>
                <w:kern w:val="0"/>
                <w:sz w:val="24"/>
                <w:szCs w:val="24"/>
              </w:rPr>
              <w:t>80%</w:t>
            </w:r>
            <w:r>
              <w:rPr>
                <w:rFonts w:hint="eastAsia" w:ascii="宋体" w:hAnsi="宋体" w:cs="宋体"/>
                <w:kern w:val="0"/>
                <w:sz w:val="24"/>
                <w:szCs w:val="24"/>
              </w:rPr>
              <w:t>（含）</w:t>
            </w:r>
            <w:r>
              <w:rPr>
                <w:rFonts w:ascii="宋体" w:hAnsi="宋体" w:cs="宋体"/>
                <w:kern w:val="0"/>
                <w:sz w:val="24"/>
                <w:szCs w:val="24"/>
              </w:rPr>
              <w:t>-90%</w:t>
            </w:r>
            <w:r>
              <w:rPr>
                <w:rFonts w:hint="eastAsia" w:ascii="宋体" w:hAnsi="宋体" w:cs="宋体"/>
                <w:kern w:val="0"/>
                <w:sz w:val="24"/>
                <w:szCs w:val="24"/>
              </w:rPr>
              <w:t>，计</w:t>
            </w:r>
            <w:r>
              <w:rPr>
                <w:rFonts w:ascii="宋体" w:hAnsi="宋体" w:cs="宋体"/>
                <w:kern w:val="0"/>
                <w:sz w:val="24"/>
                <w:szCs w:val="24"/>
              </w:rPr>
              <w:t>4</w:t>
            </w:r>
            <w:r>
              <w:rPr>
                <w:rFonts w:hint="eastAsia" w:ascii="宋体" w:hAnsi="宋体" w:cs="宋体"/>
                <w:kern w:val="0"/>
                <w:sz w:val="24"/>
                <w:szCs w:val="24"/>
              </w:rPr>
              <w:t>分；</w:t>
            </w:r>
            <w:r>
              <w:rPr>
                <w:rFonts w:ascii="宋体"/>
                <w:kern w:val="0"/>
                <w:sz w:val="24"/>
                <w:szCs w:val="24"/>
              </w:rPr>
              <w:br w:type="textWrapping"/>
            </w:r>
            <w:r>
              <w:rPr>
                <w:rFonts w:ascii="宋体" w:hAnsi="宋体" w:cs="宋体"/>
                <w:kern w:val="0"/>
                <w:sz w:val="24"/>
                <w:szCs w:val="24"/>
              </w:rPr>
              <w:t>70%</w:t>
            </w:r>
            <w:r>
              <w:rPr>
                <w:rFonts w:hint="eastAsia" w:ascii="宋体" w:hAnsi="宋体" w:cs="宋体"/>
                <w:kern w:val="0"/>
                <w:sz w:val="24"/>
                <w:szCs w:val="24"/>
              </w:rPr>
              <w:t>（含）</w:t>
            </w:r>
            <w:r>
              <w:rPr>
                <w:rFonts w:ascii="宋体" w:hAnsi="宋体" w:cs="宋体"/>
                <w:kern w:val="0"/>
                <w:sz w:val="24"/>
                <w:szCs w:val="24"/>
              </w:rPr>
              <w:t>-80%</w:t>
            </w:r>
            <w:r>
              <w:rPr>
                <w:rFonts w:hint="eastAsia" w:ascii="宋体" w:hAnsi="宋体" w:cs="宋体"/>
                <w:kern w:val="0"/>
                <w:sz w:val="24"/>
                <w:szCs w:val="24"/>
              </w:rPr>
              <w:t>，计</w:t>
            </w:r>
            <w:r>
              <w:rPr>
                <w:rFonts w:ascii="宋体" w:hAnsi="宋体" w:cs="宋体"/>
                <w:kern w:val="0"/>
                <w:sz w:val="24"/>
                <w:szCs w:val="24"/>
              </w:rPr>
              <w:t>2</w:t>
            </w:r>
            <w:r>
              <w:rPr>
                <w:rFonts w:hint="eastAsia" w:ascii="宋体" w:hAnsi="宋体" w:cs="宋体"/>
                <w:kern w:val="0"/>
                <w:sz w:val="24"/>
                <w:szCs w:val="24"/>
              </w:rPr>
              <w:t>分；</w:t>
            </w:r>
            <w:r>
              <w:rPr>
                <w:rFonts w:ascii="宋体"/>
                <w:kern w:val="0"/>
                <w:sz w:val="24"/>
                <w:szCs w:val="24"/>
              </w:rPr>
              <w:br w:type="textWrapping"/>
            </w:r>
            <w:r>
              <w:rPr>
                <w:rFonts w:hint="eastAsia" w:ascii="宋体" w:hAnsi="宋体" w:cs="宋体"/>
                <w:kern w:val="0"/>
                <w:sz w:val="24"/>
                <w:szCs w:val="24"/>
              </w:rPr>
              <w:t>低于</w:t>
            </w:r>
            <w:r>
              <w:rPr>
                <w:rFonts w:ascii="宋体" w:hAnsi="宋体" w:cs="宋体"/>
                <w:kern w:val="0"/>
                <w:sz w:val="24"/>
                <w:szCs w:val="24"/>
              </w:rPr>
              <w:t>70%</w:t>
            </w:r>
            <w:r>
              <w:rPr>
                <w:rFonts w:hint="eastAsia" w:ascii="宋体" w:hAnsi="宋体" w:cs="宋体"/>
                <w:kern w:val="0"/>
                <w:sz w:val="24"/>
                <w:szCs w:val="24"/>
              </w:rPr>
              <w:t>计</w:t>
            </w:r>
            <w:r>
              <w:rPr>
                <w:rFonts w:ascii="宋体" w:cs="宋体"/>
                <w:kern w:val="0"/>
                <w:sz w:val="24"/>
                <w:szCs w:val="24"/>
              </w:rPr>
              <w:t>0</w:t>
            </w:r>
            <w:r>
              <w:rPr>
                <w:rFonts w:hint="eastAsia" w:ascii="宋体" w:hAnsi="宋体" w:cs="宋体"/>
                <w:kern w:val="0"/>
                <w:sz w:val="24"/>
                <w:szCs w:val="24"/>
              </w:rPr>
              <w:t>分。</w:t>
            </w:r>
          </w:p>
        </w:tc>
        <w:tc>
          <w:tcPr>
            <w:tcW w:w="3312" w:type="dxa"/>
            <w:tcBorders>
              <w:top w:val="nil"/>
              <w:left w:val="nil"/>
              <w:bottom w:val="single" w:color="auto" w:sz="4" w:space="0"/>
              <w:right w:val="single" w:color="auto" w:sz="4" w:space="0"/>
            </w:tcBorders>
            <w:vAlign w:val="center"/>
          </w:tcPr>
          <w:p>
            <w:pPr>
              <w:widowControl/>
              <w:spacing w:line="280" w:lineRule="exact"/>
              <w:jc w:val="left"/>
              <w:rPr>
                <w:rFonts w:ascii="宋体"/>
                <w:kern w:val="0"/>
                <w:sz w:val="24"/>
                <w:szCs w:val="24"/>
              </w:rPr>
            </w:pPr>
            <w:r>
              <w:rPr>
                <w:rFonts w:hint="eastAsia" w:ascii="宋体" w:hAnsi="宋体" w:cs="宋体"/>
                <w:kern w:val="0"/>
                <w:sz w:val="24"/>
                <w:szCs w:val="24"/>
              </w:rPr>
              <w:t>社会公众或服务对象是指部门（单位）履行职责而影响到的部门、群体或个人，一般采取社会调查的方式。</w:t>
            </w:r>
          </w:p>
        </w:tc>
        <w:tc>
          <w:tcPr>
            <w:tcW w:w="622" w:type="dxa"/>
            <w:tcBorders>
              <w:top w:val="nil"/>
              <w:left w:val="nil"/>
              <w:bottom w:val="single" w:color="auto" w:sz="4" w:space="0"/>
              <w:right w:val="single" w:color="auto" w:sz="4" w:space="0"/>
            </w:tcBorders>
            <w:vAlign w:val="center"/>
          </w:tcPr>
          <w:p>
            <w:pPr>
              <w:widowControl/>
              <w:spacing w:line="300" w:lineRule="exact"/>
              <w:jc w:val="left"/>
              <w:rPr>
                <w:rFonts w:ascii="宋体"/>
                <w:kern w:val="0"/>
                <w:sz w:val="24"/>
                <w:szCs w:val="24"/>
              </w:rPr>
            </w:pPr>
            <w:r>
              <w:rPr>
                <w:rFonts w:hint="eastAsia" w:ascii="宋体" w:hAnsi="宋体" w:cs="宋体"/>
                <w:kern w:val="0"/>
                <w:sz w:val="24"/>
                <w:szCs w:val="24"/>
              </w:rPr>
              <w:t>　</w:t>
            </w:r>
            <w:r>
              <w:rPr>
                <w:rFonts w:ascii="宋体" w:hAnsi="宋体" w:cs="宋体"/>
                <w:kern w:val="0"/>
                <w:sz w:val="24"/>
                <w:szCs w:val="24"/>
              </w:rPr>
              <w:t>6</w:t>
            </w:r>
          </w:p>
        </w:tc>
      </w:tr>
      <w:tr>
        <w:tblPrEx>
          <w:tblCellMar>
            <w:top w:w="0" w:type="dxa"/>
            <w:left w:w="108" w:type="dxa"/>
            <w:bottom w:w="0" w:type="dxa"/>
            <w:right w:w="108" w:type="dxa"/>
          </w:tblCellMar>
        </w:tblPrEx>
        <w:trPr>
          <w:jc w:val="center"/>
        </w:trPr>
        <w:tc>
          <w:tcPr>
            <w:tcW w:w="678"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kern w:val="0"/>
                <w:sz w:val="24"/>
                <w:szCs w:val="24"/>
              </w:rPr>
            </w:pPr>
            <w:r>
              <w:rPr>
                <w:rFonts w:hint="eastAsia" w:ascii="宋体" w:hAnsi="宋体" w:cs="宋体"/>
                <w:kern w:val="0"/>
                <w:sz w:val="24"/>
                <w:szCs w:val="24"/>
              </w:rPr>
              <w:t>合计</w:t>
            </w:r>
          </w:p>
        </w:tc>
        <w:tc>
          <w:tcPr>
            <w:tcW w:w="516"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kern w:val="0"/>
                <w:sz w:val="18"/>
                <w:szCs w:val="18"/>
              </w:rPr>
            </w:pPr>
            <w:r>
              <w:rPr>
                <w:rFonts w:ascii="宋体" w:hAnsi="宋体" w:cs="宋体"/>
                <w:kern w:val="0"/>
                <w:sz w:val="18"/>
                <w:szCs w:val="18"/>
              </w:rPr>
              <w:t>100</w:t>
            </w:r>
          </w:p>
        </w:tc>
        <w:tc>
          <w:tcPr>
            <w:tcW w:w="65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kern w:val="0"/>
                <w:sz w:val="18"/>
                <w:szCs w:val="18"/>
              </w:rPr>
            </w:pPr>
          </w:p>
        </w:tc>
        <w:tc>
          <w:tcPr>
            <w:tcW w:w="516"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kern w:val="0"/>
                <w:sz w:val="18"/>
                <w:szCs w:val="18"/>
              </w:rPr>
            </w:pPr>
            <w:r>
              <w:rPr>
                <w:rFonts w:ascii="宋体" w:hAnsi="宋体" w:cs="宋体"/>
                <w:kern w:val="0"/>
                <w:sz w:val="18"/>
                <w:szCs w:val="18"/>
              </w:rPr>
              <w:t>100</w:t>
            </w:r>
          </w:p>
        </w:tc>
        <w:tc>
          <w:tcPr>
            <w:tcW w:w="1074"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宋体"/>
                <w:kern w:val="0"/>
                <w:sz w:val="18"/>
                <w:szCs w:val="18"/>
              </w:rPr>
            </w:pPr>
          </w:p>
        </w:tc>
        <w:tc>
          <w:tcPr>
            <w:tcW w:w="516"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ascii="宋体"/>
                <w:kern w:val="0"/>
                <w:sz w:val="18"/>
                <w:szCs w:val="18"/>
              </w:rPr>
            </w:pPr>
            <w:r>
              <w:rPr>
                <w:rFonts w:ascii="宋体" w:hAnsi="宋体" w:cs="宋体"/>
                <w:kern w:val="0"/>
                <w:sz w:val="18"/>
                <w:szCs w:val="18"/>
              </w:rPr>
              <w:t>100</w:t>
            </w:r>
          </w:p>
        </w:tc>
        <w:tc>
          <w:tcPr>
            <w:tcW w:w="2878"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宋体"/>
                <w:kern w:val="0"/>
                <w:sz w:val="24"/>
                <w:szCs w:val="24"/>
              </w:rPr>
            </w:pPr>
          </w:p>
        </w:tc>
        <w:tc>
          <w:tcPr>
            <w:tcW w:w="3312"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宋体"/>
                <w:kern w:val="0"/>
                <w:sz w:val="24"/>
                <w:szCs w:val="24"/>
              </w:rPr>
            </w:pPr>
          </w:p>
        </w:tc>
        <w:tc>
          <w:tcPr>
            <w:tcW w:w="622" w:type="dxa"/>
            <w:tcBorders>
              <w:top w:val="single" w:color="auto" w:sz="4" w:space="0"/>
              <w:left w:val="nil"/>
              <w:bottom w:val="single" w:color="auto" w:sz="4" w:space="0"/>
              <w:right w:val="single" w:color="auto" w:sz="4" w:space="0"/>
            </w:tcBorders>
            <w:vAlign w:val="center"/>
          </w:tcPr>
          <w:p>
            <w:pPr>
              <w:widowControl/>
              <w:spacing w:line="300" w:lineRule="exact"/>
              <w:jc w:val="left"/>
              <w:rPr>
                <w:rFonts w:ascii="宋体"/>
                <w:kern w:val="0"/>
                <w:sz w:val="24"/>
                <w:szCs w:val="24"/>
              </w:rPr>
            </w:pPr>
            <w:r>
              <w:rPr>
                <w:rFonts w:hint="eastAsia" w:ascii="宋体" w:hAnsi="宋体" w:cs="宋体"/>
                <w:kern w:val="0"/>
                <w:sz w:val="24"/>
                <w:szCs w:val="24"/>
              </w:rPr>
              <w:t>96</w:t>
            </w:r>
          </w:p>
        </w:tc>
      </w:tr>
    </w:tbl>
    <w:p>
      <w:pPr>
        <w:spacing w:line="560" w:lineRule="exact"/>
        <w:jc w:val="center"/>
        <w:rPr>
          <w:rFonts w:ascii="宋体"/>
          <w:b/>
          <w:bCs/>
          <w:kern w:val="0"/>
          <w:sz w:val="30"/>
          <w:szCs w:val="30"/>
        </w:rPr>
      </w:pPr>
    </w:p>
    <w:p>
      <w:pPr>
        <w:spacing w:line="560" w:lineRule="exact"/>
        <w:jc w:val="center"/>
        <w:rPr>
          <w:rFonts w:ascii="宋体"/>
          <w:b/>
          <w:bCs/>
          <w:kern w:val="0"/>
          <w:sz w:val="30"/>
          <w:szCs w:val="30"/>
        </w:rPr>
      </w:pPr>
    </w:p>
    <w:p>
      <w:pPr>
        <w:spacing w:line="560" w:lineRule="exact"/>
        <w:jc w:val="center"/>
        <w:rPr>
          <w:rFonts w:ascii="宋体"/>
          <w:b/>
          <w:bCs/>
          <w:kern w:val="0"/>
          <w:sz w:val="30"/>
          <w:szCs w:val="30"/>
        </w:rPr>
      </w:pPr>
    </w:p>
    <w:p>
      <w:pPr>
        <w:spacing w:line="560" w:lineRule="exact"/>
        <w:jc w:val="center"/>
        <w:rPr>
          <w:rFonts w:ascii="宋体"/>
          <w:b/>
          <w:bCs/>
          <w:kern w:val="0"/>
          <w:sz w:val="30"/>
          <w:szCs w:val="30"/>
        </w:rPr>
      </w:pPr>
    </w:p>
    <w:p>
      <w:pPr>
        <w:spacing w:line="560" w:lineRule="exact"/>
        <w:rPr>
          <w:rFonts w:asciiTheme="majorEastAsia" w:hAnsiTheme="majorEastAsia" w:eastAsiaTheme="majorEastAsia" w:cstheme="majorEastAsia"/>
          <w:b/>
          <w:bCs/>
          <w:kern w:val="0"/>
          <w:sz w:val="36"/>
          <w:szCs w:val="36"/>
        </w:rPr>
      </w:pPr>
    </w:p>
    <w:sectPr>
      <w:headerReference r:id="rId3" w:type="default"/>
      <w:footerReference r:id="rId4" w:type="default"/>
      <w:pgSz w:w="11906" w:h="16838"/>
      <w:pgMar w:top="1361" w:right="1418" w:bottom="141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pPr>
    <w:r>
      <w:fldChar w:fldCharType="begin"/>
    </w:r>
    <w:r>
      <w:instrText xml:space="preserve"> PAGE   \* MERGEFORMAT </w:instrText>
    </w:r>
    <w:r>
      <w:fldChar w:fldCharType="separate"/>
    </w:r>
    <w:r>
      <w:rPr>
        <w:lang w:val="zh-CN"/>
      </w:rPr>
      <w:t>1</w:t>
    </w:r>
    <w:r>
      <w:rPr>
        <w:lang w:val="zh-CN"/>
      </w:rP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810D1"/>
    <w:multiLevelType w:val="multilevel"/>
    <w:tmpl w:val="11A810D1"/>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k5ODM0YmMxOWJiYWQyNDU4MGIzYWRmYTA0ZmI5NDcifQ=="/>
  </w:docVars>
  <w:rsids>
    <w:rsidRoot w:val="007974AB"/>
    <w:rsid w:val="0000298E"/>
    <w:rsid w:val="00002AE4"/>
    <w:rsid w:val="0002235E"/>
    <w:rsid w:val="0003050A"/>
    <w:rsid w:val="00031747"/>
    <w:rsid w:val="0003456A"/>
    <w:rsid w:val="00037035"/>
    <w:rsid w:val="000469BA"/>
    <w:rsid w:val="000516DC"/>
    <w:rsid w:val="00053F71"/>
    <w:rsid w:val="00054317"/>
    <w:rsid w:val="000552F3"/>
    <w:rsid w:val="00067842"/>
    <w:rsid w:val="00070B5F"/>
    <w:rsid w:val="00074239"/>
    <w:rsid w:val="000747B8"/>
    <w:rsid w:val="00075715"/>
    <w:rsid w:val="00083406"/>
    <w:rsid w:val="00085A99"/>
    <w:rsid w:val="00087EA5"/>
    <w:rsid w:val="00091B80"/>
    <w:rsid w:val="00092609"/>
    <w:rsid w:val="000A6E3A"/>
    <w:rsid w:val="000B1FC2"/>
    <w:rsid w:val="000B4DD3"/>
    <w:rsid w:val="000B731B"/>
    <w:rsid w:val="000D6179"/>
    <w:rsid w:val="000E240C"/>
    <w:rsid w:val="000F21D6"/>
    <w:rsid w:val="000F61BE"/>
    <w:rsid w:val="000F73AE"/>
    <w:rsid w:val="001062E8"/>
    <w:rsid w:val="00107BAB"/>
    <w:rsid w:val="00112EB7"/>
    <w:rsid w:val="00114AFB"/>
    <w:rsid w:val="001167EB"/>
    <w:rsid w:val="00121B82"/>
    <w:rsid w:val="00122D73"/>
    <w:rsid w:val="00126F08"/>
    <w:rsid w:val="0013478D"/>
    <w:rsid w:val="001415B7"/>
    <w:rsid w:val="00145A6A"/>
    <w:rsid w:val="0014663A"/>
    <w:rsid w:val="0014687B"/>
    <w:rsid w:val="001536DE"/>
    <w:rsid w:val="001554F6"/>
    <w:rsid w:val="00156827"/>
    <w:rsid w:val="00160267"/>
    <w:rsid w:val="0016425E"/>
    <w:rsid w:val="00167BE7"/>
    <w:rsid w:val="00180DA0"/>
    <w:rsid w:val="00181657"/>
    <w:rsid w:val="00182289"/>
    <w:rsid w:val="00190E24"/>
    <w:rsid w:val="00191FD7"/>
    <w:rsid w:val="0019209D"/>
    <w:rsid w:val="00197BA7"/>
    <w:rsid w:val="001A5697"/>
    <w:rsid w:val="001A64A0"/>
    <w:rsid w:val="001A7BCA"/>
    <w:rsid w:val="001B465B"/>
    <w:rsid w:val="001C12AA"/>
    <w:rsid w:val="001C15DF"/>
    <w:rsid w:val="001C7486"/>
    <w:rsid w:val="001D0ECC"/>
    <w:rsid w:val="001D4E15"/>
    <w:rsid w:val="001D65E5"/>
    <w:rsid w:val="001D6602"/>
    <w:rsid w:val="001E4F39"/>
    <w:rsid w:val="001E5B80"/>
    <w:rsid w:val="001E6BFE"/>
    <w:rsid w:val="001F6D73"/>
    <w:rsid w:val="001F766E"/>
    <w:rsid w:val="001F7E71"/>
    <w:rsid w:val="00202F69"/>
    <w:rsid w:val="00205440"/>
    <w:rsid w:val="002102DB"/>
    <w:rsid w:val="002129C1"/>
    <w:rsid w:val="00214D7C"/>
    <w:rsid w:val="00221432"/>
    <w:rsid w:val="00221B76"/>
    <w:rsid w:val="00222B27"/>
    <w:rsid w:val="00222E30"/>
    <w:rsid w:val="00225256"/>
    <w:rsid w:val="002305A2"/>
    <w:rsid w:val="00231C6E"/>
    <w:rsid w:val="00232F9D"/>
    <w:rsid w:val="00234653"/>
    <w:rsid w:val="0023666C"/>
    <w:rsid w:val="002367FF"/>
    <w:rsid w:val="00245BA5"/>
    <w:rsid w:val="00254482"/>
    <w:rsid w:val="00261A82"/>
    <w:rsid w:val="0026227A"/>
    <w:rsid w:val="00273F87"/>
    <w:rsid w:val="00286A75"/>
    <w:rsid w:val="00291511"/>
    <w:rsid w:val="00292E06"/>
    <w:rsid w:val="002955CC"/>
    <w:rsid w:val="002A1611"/>
    <w:rsid w:val="002A336C"/>
    <w:rsid w:val="002A3ED2"/>
    <w:rsid w:val="002A4788"/>
    <w:rsid w:val="002B1E16"/>
    <w:rsid w:val="002B2BEF"/>
    <w:rsid w:val="002B778F"/>
    <w:rsid w:val="002C064D"/>
    <w:rsid w:val="002C6CB0"/>
    <w:rsid w:val="002D6D4A"/>
    <w:rsid w:val="002E1DF4"/>
    <w:rsid w:val="002F612E"/>
    <w:rsid w:val="002F7643"/>
    <w:rsid w:val="00303890"/>
    <w:rsid w:val="003053A5"/>
    <w:rsid w:val="0031038E"/>
    <w:rsid w:val="00312736"/>
    <w:rsid w:val="003134F7"/>
    <w:rsid w:val="00313CA6"/>
    <w:rsid w:val="00315036"/>
    <w:rsid w:val="00317AB2"/>
    <w:rsid w:val="00324952"/>
    <w:rsid w:val="00332598"/>
    <w:rsid w:val="00341012"/>
    <w:rsid w:val="00342BE8"/>
    <w:rsid w:val="00344BD5"/>
    <w:rsid w:val="00344CA7"/>
    <w:rsid w:val="00345181"/>
    <w:rsid w:val="00345B18"/>
    <w:rsid w:val="00346169"/>
    <w:rsid w:val="003478B2"/>
    <w:rsid w:val="00351E0E"/>
    <w:rsid w:val="00362473"/>
    <w:rsid w:val="00362E31"/>
    <w:rsid w:val="00372621"/>
    <w:rsid w:val="00373DD9"/>
    <w:rsid w:val="00374987"/>
    <w:rsid w:val="00377B71"/>
    <w:rsid w:val="0038212B"/>
    <w:rsid w:val="00383377"/>
    <w:rsid w:val="00383992"/>
    <w:rsid w:val="00383D6A"/>
    <w:rsid w:val="00392B58"/>
    <w:rsid w:val="00394ABB"/>
    <w:rsid w:val="003A4ACA"/>
    <w:rsid w:val="003A7FDD"/>
    <w:rsid w:val="003B23EB"/>
    <w:rsid w:val="003B2F4F"/>
    <w:rsid w:val="003B7FA2"/>
    <w:rsid w:val="003C5232"/>
    <w:rsid w:val="003D4854"/>
    <w:rsid w:val="003E3CB2"/>
    <w:rsid w:val="003E45F8"/>
    <w:rsid w:val="003E52E4"/>
    <w:rsid w:val="003E7F3D"/>
    <w:rsid w:val="00400BCF"/>
    <w:rsid w:val="00402211"/>
    <w:rsid w:val="00403A98"/>
    <w:rsid w:val="00404BE5"/>
    <w:rsid w:val="00410AE1"/>
    <w:rsid w:val="00410FF6"/>
    <w:rsid w:val="00411330"/>
    <w:rsid w:val="00412456"/>
    <w:rsid w:val="004140EF"/>
    <w:rsid w:val="00415D60"/>
    <w:rsid w:val="00417BC1"/>
    <w:rsid w:val="0042330A"/>
    <w:rsid w:val="00427D9D"/>
    <w:rsid w:val="00431F52"/>
    <w:rsid w:val="00434B10"/>
    <w:rsid w:val="00446CFB"/>
    <w:rsid w:val="004503A8"/>
    <w:rsid w:val="004506ED"/>
    <w:rsid w:val="004527DA"/>
    <w:rsid w:val="004561C6"/>
    <w:rsid w:val="00457A5D"/>
    <w:rsid w:val="004621CC"/>
    <w:rsid w:val="00464EC8"/>
    <w:rsid w:val="00473D54"/>
    <w:rsid w:val="00477A24"/>
    <w:rsid w:val="00477B78"/>
    <w:rsid w:val="00481926"/>
    <w:rsid w:val="0048366A"/>
    <w:rsid w:val="00483F92"/>
    <w:rsid w:val="004948B2"/>
    <w:rsid w:val="00496F6D"/>
    <w:rsid w:val="004A0757"/>
    <w:rsid w:val="004A2104"/>
    <w:rsid w:val="004B09F8"/>
    <w:rsid w:val="004B4B8D"/>
    <w:rsid w:val="004C10B1"/>
    <w:rsid w:val="004C2AEE"/>
    <w:rsid w:val="004D5F90"/>
    <w:rsid w:val="004E1AF5"/>
    <w:rsid w:val="004E2593"/>
    <w:rsid w:val="004E394D"/>
    <w:rsid w:val="004E6235"/>
    <w:rsid w:val="004E6E44"/>
    <w:rsid w:val="004F40BB"/>
    <w:rsid w:val="004F4E0C"/>
    <w:rsid w:val="004F53C1"/>
    <w:rsid w:val="00500075"/>
    <w:rsid w:val="00503CDE"/>
    <w:rsid w:val="00505F55"/>
    <w:rsid w:val="00507BC7"/>
    <w:rsid w:val="00510B86"/>
    <w:rsid w:val="0051405C"/>
    <w:rsid w:val="00514E72"/>
    <w:rsid w:val="00536A21"/>
    <w:rsid w:val="005377C3"/>
    <w:rsid w:val="0054315D"/>
    <w:rsid w:val="005438D0"/>
    <w:rsid w:val="0054486C"/>
    <w:rsid w:val="005473E0"/>
    <w:rsid w:val="0055022D"/>
    <w:rsid w:val="00550C9A"/>
    <w:rsid w:val="00553BA4"/>
    <w:rsid w:val="0057789D"/>
    <w:rsid w:val="00585BED"/>
    <w:rsid w:val="005916AB"/>
    <w:rsid w:val="00592496"/>
    <w:rsid w:val="00593595"/>
    <w:rsid w:val="005A1B71"/>
    <w:rsid w:val="005A3424"/>
    <w:rsid w:val="005A4779"/>
    <w:rsid w:val="005A5887"/>
    <w:rsid w:val="005A662C"/>
    <w:rsid w:val="005A6E3C"/>
    <w:rsid w:val="005B537E"/>
    <w:rsid w:val="005B70C2"/>
    <w:rsid w:val="005C1C09"/>
    <w:rsid w:val="005C488D"/>
    <w:rsid w:val="005C60E3"/>
    <w:rsid w:val="005C6D48"/>
    <w:rsid w:val="005C778B"/>
    <w:rsid w:val="005D5007"/>
    <w:rsid w:val="005D50CB"/>
    <w:rsid w:val="005E0ACC"/>
    <w:rsid w:val="005E0C80"/>
    <w:rsid w:val="005E63A3"/>
    <w:rsid w:val="005F1452"/>
    <w:rsid w:val="005F1576"/>
    <w:rsid w:val="005F247D"/>
    <w:rsid w:val="005F2E6C"/>
    <w:rsid w:val="006024A8"/>
    <w:rsid w:val="0061181B"/>
    <w:rsid w:val="0061768E"/>
    <w:rsid w:val="006204B4"/>
    <w:rsid w:val="00620930"/>
    <w:rsid w:val="00636CF9"/>
    <w:rsid w:val="00640E29"/>
    <w:rsid w:val="006412C9"/>
    <w:rsid w:val="00651EB6"/>
    <w:rsid w:val="00654D96"/>
    <w:rsid w:val="00655F15"/>
    <w:rsid w:val="00661AED"/>
    <w:rsid w:val="0066304C"/>
    <w:rsid w:val="00664139"/>
    <w:rsid w:val="00666EBB"/>
    <w:rsid w:val="00671561"/>
    <w:rsid w:val="00672718"/>
    <w:rsid w:val="006769A7"/>
    <w:rsid w:val="00676BCC"/>
    <w:rsid w:val="0067774C"/>
    <w:rsid w:val="00682EDF"/>
    <w:rsid w:val="006858E7"/>
    <w:rsid w:val="00686123"/>
    <w:rsid w:val="00687554"/>
    <w:rsid w:val="00693448"/>
    <w:rsid w:val="00695008"/>
    <w:rsid w:val="006A3A89"/>
    <w:rsid w:val="006A6FDC"/>
    <w:rsid w:val="006A737B"/>
    <w:rsid w:val="006C3E4B"/>
    <w:rsid w:val="006C5D54"/>
    <w:rsid w:val="006C6956"/>
    <w:rsid w:val="006D0B0B"/>
    <w:rsid w:val="006D0B89"/>
    <w:rsid w:val="006E4E54"/>
    <w:rsid w:val="006F1419"/>
    <w:rsid w:val="006F2A6F"/>
    <w:rsid w:val="006F3485"/>
    <w:rsid w:val="00700CD4"/>
    <w:rsid w:val="00701DF4"/>
    <w:rsid w:val="00704174"/>
    <w:rsid w:val="00704536"/>
    <w:rsid w:val="0071201B"/>
    <w:rsid w:val="00723417"/>
    <w:rsid w:val="00725B1D"/>
    <w:rsid w:val="0073058B"/>
    <w:rsid w:val="007349D4"/>
    <w:rsid w:val="00737891"/>
    <w:rsid w:val="00754120"/>
    <w:rsid w:val="00756B93"/>
    <w:rsid w:val="0076124E"/>
    <w:rsid w:val="007642C8"/>
    <w:rsid w:val="00766862"/>
    <w:rsid w:val="00767ED7"/>
    <w:rsid w:val="007707CC"/>
    <w:rsid w:val="00770932"/>
    <w:rsid w:val="0077217D"/>
    <w:rsid w:val="00783F85"/>
    <w:rsid w:val="00784182"/>
    <w:rsid w:val="00786728"/>
    <w:rsid w:val="00793BCC"/>
    <w:rsid w:val="007955C8"/>
    <w:rsid w:val="007974AB"/>
    <w:rsid w:val="007A0A4C"/>
    <w:rsid w:val="007B039C"/>
    <w:rsid w:val="007B13FA"/>
    <w:rsid w:val="007B46F9"/>
    <w:rsid w:val="007B4DD3"/>
    <w:rsid w:val="007B4F12"/>
    <w:rsid w:val="007B57E2"/>
    <w:rsid w:val="007B6F8C"/>
    <w:rsid w:val="007C0768"/>
    <w:rsid w:val="007C536F"/>
    <w:rsid w:val="007D16E0"/>
    <w:rsid w:val="007D5CA1"/>
    <w:rsid w:val="007D637D"/>
    <w:rsid w:val="007E01EC"/>
    <w:rsid w:val="007E3B70"/>
    <w:rsid w:val="007E493C"/>
    <w:rsid w:val="007F05A2"/>
    <w:rsid w:val="007F175B"/>
    <w:rsid w:val="007F1ED1"/>
    <w:rsid w:val="007F7875"/>
    <w:rsid w:val="008008F3"/>
    <w:rsid w:val="00800AE0"/>
    <w:rsid w:val="0082298A"/>
    <w:rsid w:val="00827E67"/>
    <w:rsid w:val="00832102"/>
    <w:rsid w:val="00833FA8"/>
    <w:rsid w:val="0084564C"/>
    <w:rsid w:val="00850144"/>
    <w:rsid w:val="00851F1E"/>
    <w:rsid w:val="00853362"/>
    <w:rsid w:val="008662AB"/>
    <w:rsid w:val="00867DE4"/>
    <w:rsid w:val="00885497"/>
    <w:rsid w:val="008862A7"/>
    <w:rsid w:val="0088633A"/>
    <w:rsid w:val="00892869"/>
    <w:rsid w:val="008A3FCC"/>
    <w:rsid w:val="008B03AA"/>
    <w:rsid w:val="008B1FF5"/>
    <w:rsid w:val="008B33CC"/>
    <w:rsid w:val="008B3530"/>
    <w:rsid w:val="008D36D8"/>
    <w:rsid w:val="008D5806"/>
    <w:rsid w:val="008D614F"/>
    <w:rsid w:val="008D7CE8"/>
    <w:rsid w:val="008E5488"/>
    <w:rsid w:val="008E6AF7"/>
    <w:rsid w:val="008E7DED"/>
    <w:rsid w:val="008E7F9D"/>
    <w:rsid w:val="008F0E86"/>
    <w:rsid w:val="0090366D"/>
    <w:rsid w:val="00905011"/>
    <w:rsid w:val="00905280"/>
    <w:rsid w:val="00911DD8"/>
    <w:rsid w:val="00917770"/>
    <w:rsid w:val="00917BD6"/>
    <w:rsid w:val="00921D22"/>
    <w:rsid w:val="00921EF0"/>
    <w:rsid w:val="00931AA0"/>
    <w:rsid w:val="00934CAB"/>
    <w:rsid w:val="00940031"/>
    <w:rsid w:val="0094137E"/>
    <w:rsid w:val="00943B87"/>
    <w:rsid w:val="009442C5"/>
    <w:rsid w:val="0094685F"/>
    <w:rsid w:val="00954435"/>
    <w:rsid w:val="0095529F"/>
    <w:rsid w:val="00956048"/>
    <w:rsid w:val="00961BF1"/>
    <w:rsid w:val="0096338E"/>
    <w:rsid w:val="009709F2"/>
    <w:rsid w:val="00971562"/>
    <w:rsid w:val="009720AF"/>
    <w:rsid w:val="009731BD"/>
    <w:rsid w:val="0097377E"/>
    <w:rsid w:val="0097487E"/>
    <w:rsid w:val="00977060"/>
    <w:rsid w:val="00980482"/>
    <w:rsid w:val="0098378E"/>
    <w:rsid w:val="00986F29"/>
    <w:rsid w:val="009901AD"/>
    <w:rsid w:val="00991EA4"/>
    <w:rsid w:val="009943A8"/>
    <w:rsid w:val="009947D3"/>
    <w:rsid w:val="009965AB"/>
    <w:rsid w:val="009A55AE"/>
    <w:rsid w:val="009B0D0F"/>
    <w:rsid w:val="009B1EA6"/>
    <w:rsid w:val="009B2AC1"/>
    <w:rsid w:val="009B5011"/>
    <w:rsid w:val="009B5851"/>
    <w:rsid w:val="009C09EB"/>
    <w:rsid w:val="009C406D"/>
    <w:rsid w:val="009C5DDA"/>
    <w:rsid w:val="009D6DA7"/>
    <w:rsid w:val="009E02A8"/>
    <w:rsid w:val="009E265C"/>
    <w:rsid w:val="009E5869"/>
    <w:rsid w:val="009E5A22"/>
    <w:rsid w:val="009F404C"/>
    <w:rsid w:val="00A00330"/>
    <w:rsid w:val="00A031DE"/>
    <w:rsid w:val="00A113D8"/>
    <w:rsid w:val="00A14698"/>
    <w:rsid w:val="00A15119"/>
    <w:rsid w:val="00A219F9"/>
    <w:rsid w:val="00A225D2"/>
    <w:rsid w:val="00A304AE"/>
    <w:rsid w:val="00A31FCC"/>
    <w:rsid w:val="00A36DBC"/>
    <w:rsid w:val="00A413AD"/>
    <w:rsid w:val="00A42F44"/>
    <w:rsid w:val="00A430F4"/>
    <w:rsid w:val="00A43272"/>
    <w:rsid w:val="00A4398B"/>
    <w:rsid w:val="00A43B0D"/>
    <w:rsid w:val="00A44A41"/>
    <w:rsid w:val="00A50EDE"/>
    <w:rsid w:val="00A5307B"/>
    <w:rsid w:val="00A53396"/>
    <w:rsid w:val="00A57284"/>
    <w:rsid w:val="00A6409C"/>
    <w:rsid w:val="00A66B32"/>
    <w:rsid w:val="00A7247F"/>
    <w:rsid w:val="00A73805"/>
    <w:rsid w:val="00A747A4"/>
    <w:rsid w:val="00A76336"/>
    <w:rsid w:val="00A76E82"/>
    <w:rsid w:val="00A949AD"/>
    <w:rsid w:val="00AA1753"/>
    <w:rsid w:val="00AB11DB"/>
    <w:rsid w:val="00AC2C79"/>
    <w:rsid w:val="00AC3596"/>
    <w:rsid w:val="00AC5189"/>
    <w:rsid w:val="00AD0292"/>
    <w:rsid w:val="00AD09F4"/>
    <w:rsid w:val="00AD797A"/>
    <w:rsid w:val="00AE2DA1"/>
    <w:rsid w:val="00AE4204"/>
    <w:rsid w:val="00AE777B"/>
    <w:rsid w:val="00AF02BC"/>
    <w:rsid w:val="00AF1354"/>
    <w:rsid w:val="00B04987"/>
    <w:rsid w:val="00B0551B"/>
    <w:rsid w:val="00B067B2"/>
    <w:rsid w:val="00B07A1C"/>
    <w:rsid w:val="00B12151"/>
    <w:rsid w:val="00B13B33"/>
    <w:rsid w:val="00B13F7B"/>
    <w:rsid w:val="00B1669E"/>
    <w:rsid w:val="00B21F2B"/>
    <w:rsid w:val="00B23A19"/>
    <w:rsid w:val="00B23AE6"/>
    <w:rsid w:val="00B3064B"/>
    <w:rsid w:val="00B30E1F"/>
    <w:rsid w:val="00B32F56"/>
    <w:rsid w:val="00B4272F"/>
    <w:rsid w:val="00B5069E"/>
    <w:rsid w:val="00B54FA2"/>
    <w:rsid w:val="00B559AE"/>
    <w:rsid w:val="00B576D4"/>
    <w:rsid w:val="00B57CA9"/>
    <w:rsid w:val="00B605B4"/>
    <w:rsid w:val="00B65994"/>
    <w:rsid w:val="00B718B5"/>
    <w:rsid w:val="00B7695F"/>
    <w:rsid w:val="00B80C73"/>
    <w:rsid w:val="00B824FB"/>
    <w:rsid w:val="00B83A6B"/>
    <w:rsid w:val="00B8579B"/>
    <w:rsid w:val="00B85D54"/>
    <w:rsid w:val="00B86CDE"/>
    <w:rsid w:val="00B86E61"/>
    <w:rsid w:val="00B90483"/>
    <w:rsid w:val="00B90FCE"/>
    <w:rsid w:val="00B9269A"/>
    <w:rsid w:val="00B93DBC"/>
    <w:rsid w:val="00B97A2C"/>
    <w:rsid w:val="00BA21E0"/>
    <w:rsid w:val="00BA3557"/>
    <w:rsid w:val="00BB02A3"/>
    <w:rsid w:val="00BB0D8B"/>
    <w:rsid w:val="00BB7153"/>
    <w:rsid w:val="00BD1277"/>
    <w:rsid w:val="00BD2EA9"/>
    <w:rsid w:val="00BD600A"/>
    <w:rsid w:val="00BD7C07"/>
    <w:rsid w:val="00BE2E9A"/>
    <w:rsid w:val="00BE6894"/>
    <w:rsid w:val="00BE7B5D"/>
    <w:rsid w:val="00BF20DB"/>
    <w:rsid w:val="00BF73DD"/>
    <w:rsid w:val="00C0088E"/>
    <w:rsid w:val="00C02189"/>
    <w:rsid w:val="00C20029"/>
    <w:rsid w:val="00C30FDC"/>
    <w:rsid w:val="00C319C9"/>
    <w:rsid w:val="00C33895"/>
    <w:rsid w:val="00C3680C"/>
    <w:rsid w:val="00C44C07"/>
    <w:rsid w:val="00C4612E"/>
    <w:rsid w:val="00C54E49"/>
    <w:rsid w:val="00C5586C"/>
    <w:rsid w:val="00C573B5"/>
    <w:rsid w:val="00C60E03"/>
    <w:rsid w:val="00C62F43"/>
    <w:rsid w:val="00C63B42"/>
    <w:rsid w:val="00C72DCE"/>
    <w:rsid w:val="00C935BF"/>
    <w:rsid w:val="00CA0A79"/>
    <w:rsid w:val="00CA163D"/>
    <w:rsid w:val="00CA33BA"/>
    <w:rsid w:val="00CB5102"/>
    <w:rsid w:val="00CC0774"/>
    <w:rsid w:val="00CC3862"/>
    <w:rsid w:val="00CC4ADD"/>
    <w:rsid w:val="00CC6085"/>
    <w:rsid w:val="00CD2BBD"/>
    <w:rsid w:val="00CD35A0"/>
    <w:rsid w:val="00CE087F"/>
    <w:rsid w:val="00CE0DAB"/>
    <w:rsid w:val="00CE563D"/>
    <w:rsid w:val="00CF402D"/>
    <w:rsid w:val="00CF75DD"/>
    <w:rsid w:val="00CF7E02"/>
    <w:rsid w:val="00D05ACC"/>
    <w:rsid w:val="00D14DCC"/>
    <w:rsid w:val="00D204FD"/>
    <w:rsid w:val="00D251C2"/>
    <w:rsid w:val="00D258CC"/>
    <w:rsid w:val="00D30AEF"/>
    <w:rsid w:val="00D33649"/>
    <w:rsid w:val="00D4312A"/>
    <w:rsid w:val="00D4564B"/>
    <w:rsid w:val="00D464D3"/>
    <w:rsid w:val="00D52EEC"/>
    <w:rsid w:val="00D55FCF"/>
    <w:rsid w:val="00D60B6C"/>
    <w:rsid w:val="00D62E84"/>
    <w:rsid w:val="00D65095"/>
    <w:rsid w:val="00D67221"/>
    <w:rsid w:val="00D74FF7"/>
    <w:rsid w:val="00D809C7"/>
    <w:rsid w:val="00D903B2"/>
    <w:rsid w:val="00D90B0C"/>
    <w:rsid w:val="00D927CA"/>
    <w:rsid w:val="00DA1E2C"/>
    <w:rsid w:val="00DB79CE"/>
    <w:rsid w:val="00DD1471"/>
    <w:rsid w:val="00DD1B35"/>
    <w:rsid w:val="00DD65C0"/>
    <w:rsid w:val="00DD7E04"/>
    <w:rsid w:val="00DE04EC"/>
    <w:rsid w:val="00DE1D58"/>
    <w:rsid w:val="00DE53FD"/>
    <w:rsid w:val="00DE5A27"/>
    <w:rsid w:val="00DF0050"/>
    <w:rsid w:val="00DF192B"/>
    <w:rsid w:val="00DF3708"/>
    <w:rsid w:val="00DF422E"/>
    <w:rsid w:val="00DF5577"/>
    <w:rsid w:val="00E03F72"/>
    <w:rsid w:val="00E04C58"/>
    <w:rsid w:val="00E07FE4"/>
    <w:rsid w:val="00E1178C"/>
    <w:rsid w:val="00E12865"/>
    <w:rsid w:val="00E1598C"/>
    <w:rsid w:val="00E15E80"/>
    <w:rsid w:val="00E171D4"/>
    <w:rsid w:val="00E20D5A"/>
    <w:rsid w:val="00E2433A"/>
    <w:rsid w:val="00E25F25"/>
    <w:rsid w:val="00E275D0"/>
    <w:rsid w:val="00E35604"/>
    <w:rsid w:val="00E40FD3"/>
    <w:rsid w:val="00E46D74"/>
    <w:rsid w:val="00E510E7"/>
    <w:rsid w:val="00E54080"/>
    <w:rsid w:val="00E55CDD"/>
    <w:rsid w:val="00E5799B"/>
    <w:rsid w:val="00E63F09"/>
    <w:rsid w:val="00E67595"/>
    <w:rsid w:val="00E67C16"/>
    <w:rsid w:val="00E701BD"/>
    <w:rsid w:val="00E72030"/>
    <w:rsid w:val="00E774DF"/>
    <w:rsid w:val="00E7796F"/>
    <w:rsid w:val="00E80074"/>
    <w:rsid w:val="00E848A7"/>
    <w:rsid w:val="00E85548"/>
    <w:rsid w:val="00E94326"/>
    <w:rsid w:val="00E94979"/>
    <w:rsid w:val="00EA01AD"/>
    <w:rsid w:val="00EB0525"/>
    <w:rsid w:val="00EB0AF9"/>
    <w:rsid w:val="00EB20C3"/>
    <w:rsid w:val="00EC133C"/>
    <w:rsid w:val="00EC2A45"/>
    <w:rsid w:val="00EC6DC1"/>
    <w:rsid w:val="00ED459B"/>
    <w:rsid w:val="00ED57CB"/>
    <w:rsid w:val="00F0324A"/>
    <w:rsid w:val="00F033A8"/>
    <w:rsid w:val="00F07174"/>
    <w:rsid w:val="00F07FD8"/>
    <w:rsid w:val="00F15C5B"/>
    <w:rsid w:val="00F204D5"/>
    <w:rsid w:val="00F31077"/>
    <w:rsid w:val="00F3377F"/>
    <w:rsid w:val="00F34647"/>
    <w:rsid w:val="00F37A95"/>
    <w:rsid w:val="00F40D7F"/>
    <w:rsid w:val="00F41262"/>
    <w:rsid w:val="00F438FF"/>
    <w:rsid w:val="00F5082F"/>
    <w:rsid w:val="00F5169F"/>
    <w:rsid w:val="00F53D8C"/>
    <w:rsid w:val="00F5551B"/>
    <w:rsid w:val="00F62E20"/>
    <w:rsid w:val="00F631D3"/>
    <w:rsid w:val="00F64039"/>
    <w:rsid w:val="00F647D2"/>
    <w:rsid w:val="00F64A66"/>
    <w:rsid w:val="00F67480"/>
    <w:rsid w:val="00F67A2E"/>
    <w:rsid w:val="00F7046B"/>
    <w:rsid w:val="00F70AE0"/>
    <w:rsid w:val="00F71779"/>
    <w:rsid w:val="00F81E51"/>
    <w:rsid w:val="00F82738"/>
    <w:rsid w:val="00F921CA"/>
    <w:rsid w:val="00FA27F4"/>
    <w:rsid w:val="00FA5A76"/>
    <w:rsid w:val="00FB0000"/>
    <w:rsid w:val="00FB5CB5"/>
    <w:rsid w:val="00FD0185"/>
    <w:rsid w:val="00FD0186"/>
    <w:rsid w:val="00FD03F6"/>
    <w:rsid w:val="00FD1260"/>
    <w:rsid w:val="00FD4154"/>
    <w:rsid w:val="00FD47E3"/>
    <w:rsid w:val="00FE15F4"/>
    <w:rsid w:val="00FF2E41"/>
    <w:rsid w:val="00FF2FCA"/>
    <w:rsid w:val="00FF5CAC"/>
    <w:rsid w:val="0B5B5A73"/>
    <w:rsid w:val="17203872"/>
    <w:rsid w:val="20C51591"/>
    <w:rsid w:val="21C0738C"/>
    <w:rsid w:val="3B1C521F"/>
    <w:rsid w:val="47C02E62"/>
    <w:rsid w:val="569548CA"/>
    <w:rsid w:val="57E714CD"/>
    <w:rsid w:val="64CC7F2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qFormat="1" w:unhideWhenUsed="0" w:uiPriority="99" w:name="FollowedHyperlink"/>
    <w:lsdException w:qFormat="1" w:unhideWhenUsed="0" w:uiPriority="0" w:semiHidden="0" w:name="Strong" w:locked="1"/>
    <w:lsdException w:qFormat="1" w:unhideWhenUsed="0" w:uiPriority="99"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qFormat="1" w:unhideWhenUsed="0" w:uiPriority="99" w:name="HTML Address"/>
    <w:lsdException w:unhideWhenUsed="0" w:uiPriority="99" w:name="HTML Cite"/>
    <w:lsdException w:qFormat="1" w:unhideWhenUsed="0"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9"/>
    <w:qFormat/>
    <w:uiPriority w:val="99"/>
    <w:pPr>
      <w:widowControl/>
      <w:spacing w:before="100" w:beforeAutospacing="1" w:after="100" w:afterAutospacing="1"/>
      <w:jc w:val="left"/>
      <w:outlineLvl w:val="0"/>
    </w:pPr>
    <w:rPr>
      <w:rFonts w:ascii="宋体" w:hAnsi="宋体" w:cs="宋体"/>
      <w:kern w:val="36"/>
      <w:sz w:val="48"/>
      <w:szCs w:val="48"/>
    </w:rPr>
  </w:style>
  <w:style w:type="paragraph" w:styleId="3">
    <w:name w:val="heading 2"/>
    <w:basedOn w:val="1"/>
    <w:next w:val="1"/>
    <w:link w:val="20"/>
    <w:qFormat/>
    <w:uiPriority w:val="99"/>
    <w:pPr>
      <w:widowControl/>
      <w:spacing w:before="100" w:beforeAutospacing="1" w:after="100" w:afterAutospacing="1"/>
      <w:jc w:val="left"/>
      <w:outlineLvl w:val="1"/>
    </w:pPr>
    <w:rPr>
      <w:rFonts w:ascii="宋体" w:hAnsi="宋体" w:cs="宋体"/>
      <w:kern w:val="0"/>
      <w:sz w:val="36"/>
      <w:szCs w:val="36"/>
    </w:rPr>
  </w:style>
  <w:style w:type="paragraph" w:styleId="4">
    <w:name w:val="heading 3"/>
    <w:basedOn w:val="1"/>
    <w:next w:val="1"/>
    <w:link w:val="21"/>
    <w:qFormat/>
    <w:uiPriority w:val="99"/>
    <w:pPr>
      <w:widowControl/>
      <w:spacing w:before="100" w:beforeAutospacing="1" w:after="100" w:afterAutospacing="1"/>
      <w:jc w:val="left"/>
      <w:outlineLvl w:val="2"/>
    </w:pPr>
    <w:rPr>
      <w:rFonts w:ascii="宋体" w:hAnsi="宋体" w:cs="宋体"/>
      <w:kern w:val="0"/>
      <w:sz w:val="27"/>
      <w:szCs w:val="27"/>
    </w:rPr>
  </w:style>
  <w:style w:type="paragraph" w:styleId="5">
    <w:name w:val="heading 4"/>
    <w:basedOn w:val="1"/>
    <w:next w:val="1"/>
    <w:link w:val="22"/>
    <w:qFormat/>
    <w:uiPriority w:val="99"/>
    <w:pPr>
      <w:widowControl/>
      <w:spacing w:before="100" w:beforeAutospacing="1" w:after="100" w:afterAutospacing="1"/>
      <w:jc w:val="left"/>
      <w:outlineLvl w:val="3"/>
    </w:pPr>
    <w:rPr>
      <w:rFonts w:ascii="宋体" w:hAnsi="宋体" w:cs="宋体"/>
      <w:kern w:val="0"/>
      <w:sz w:val="24"/>
      <w:szCs w:val="24"/>
    </w:rPr>
  </w:style>
  <w:style w:type="paragraph" w:styleId="6">
    <w:name w:val="heading 5"/>
    <w:basedOn w:val="1"/>
    <w:next w:val="1"/>
    <w:link w:val="23"/>
    <w:qFormat/>
    <w:uiPriority w:val="99"/>
    <w:pPr>
      <w:widowControl/>
      <w:spacing w:before="100" w:beforeAutospacing="1" w:after="100" w:afterAutospacing="1"/>
      <w:jc w:val="left"/>
      <w:outlineLvl w:val="4"/>
    </w:pPr>
    <w:rPr>
      <w:rFonts w:ascii="宋体" w:hAnsi="宋体" w:cs="宋体"/>
      <w:kern w:val="0"/>
      <w:sz w:val="20"/>
      <w:szCs w:val="20"/>
    </w:rPr>
  </w:style>
  <w:style w:type="paragraph" w:styleId="7">
    <w:name w:val="heading 6"/>
    <w:basedOn w:val="1"/>
    <w:next w:val="1"/>
    <w:link w:val="24"/>
    <w:qFormat/>
    <w:uiPriority w:val="99"/>
    <w:pPr>
      <w:widowControl/>
      <w:spacing w:before="100" w:beforeAutospacing="1" w:after="100" w:afterAutospacing="1"/>
      <w:jc w:val="left"/>
      <w:outlineLvl w:val="5"/>
    </w:pPr>
    <w:rPr>
      <w:rFonts w:ascii="宋体" w:hAnsi="宋体" w:cs="宋体"/>
      <w:kern w:val="0"/>
      <w:sz w:val="15"/>
      <w:szCs w:val="15"/>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8">
    <w:name w:val="HTML Address"/>
    <w:basedOn w:val="1"/>
    <w:link w:val="25"/>
    <w:semiHidden/>
    <w:qFormat/>
    <w:uiPriority w:val="99"/>
    <w:pPr>
      <w:widowControl/>
      <w:jc w:val="left"/>
    </w:pPr>
    <w:rPr>
      <w:rFonts w:ascii="宋体" w:hAnsi="宋体" w:cs="宋体"/>
      <w:kern w:val="0"/>
      <w:sz w:val="24"/>
      <w:szCs w:val="24"/>
    </w:rPr>
  </w:style>
  <w:style w:type="paragraph" w:styleId="9">
    <w:name w:val="footer"/>
    <w:basedOn w:val="1"/>
    <w:link w:val="124"/>
    <w:qFormat/>
    <w:uiPriority w:val="99"/>
    <w:pPr>
      <w:tabs>
        <w:tab w:val="center" w:pos="4153"/>
        <w:tab w:val="right" w:pos="8306"/>
      </w:tabs>
      <w:snapToGrid w:val="0"/>
      <w:jc w:val="left"/>
    </w:pPr>
    <w:rPr>
      <w:sz w:val="18"/>
      <w:szCs w:val="18"/>
    </w:rPr>
  </w:style>
  <w:style w:type="paragraph" w:styleId="10">
    <w:name w:val="header"/>
    <w:basedOn w:val="1"/>
    <w:link w:val="123"/>
    <w:semiHidden/>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14">
    <w:name w:val="FollowedHyperlink"/>
    <w:basedOn w:val="13"/>
    <w:semiHidden/>
    <w:qFormat/>
    <w:uiPriority w:val="99"/>
    <w:rPr>
      <w:rFonts w:cs="Times New Roman"/>
      <w:color w:val="252525"/>
      <w:u w:val="none"/>
    </w:rPr>
  </w:style>
  <w:style w:type="character" w:styleId="15">
    <w:name w:val="Emphasis"/>
    <w:basedOn w:val="13"/>
    <w:qFormat/>
    <w:uiPriority w:val="99"/>
    <w:rPr>
      <w:rFonts w:cs="Times New Roman"/>
    </w:rPr>
  </w:style>
  <w:style w:type="character" w:styleId="16">
    <w:name w:val="Hyperlink"/>
    <w:basedOn w:val="13"/>
    <w:semiHidden/>
    <w:qFormat/>
    <w:uiPriority w:val="99"/>
    <w:rPr>
      <w:rFonts w:cs="Times New Roman"/>
      <w:color w:val="252525"/>
      <w:u w:val="none"/>
    </w:rPr>
  </w:style>
  <w:style w:type="character" w:styleId="17">
    <w:name w:val="HTML Code"/>
    <w:basedOn w:val="13"/>
    <w:semiHidden/>
    <w:qFormat/>
    <w:uiPriority w:val="99"/>
    <w:rPr>
      <w:rFonts w:ascii="宋体" w:hAnsi="宋体" w:eastAsia="宋体" w:cs="宋体"/>
      <w:sz w:val="24"/>
      <w:szCs w:val="24"/>
    </w:rPr>
  </w:style>
  <w:style w:type="character" w:styleId="18">
    <w:name w:val="HTML Cite"/>
    <w:basedOn w:val="13"/>
    <w:semiHidden/>
    <w:uiPriority w:val="99"/>
    <w:rPr>
      <w:rFonts w:cs="Times New Roman"/>
    </w:rPr>
  </w:style>
  <w:style w:type="character" w:customStyle="1" w:styleId="19">
    <w:name w:val="标题 1 Char"/>
    <w:basedOn w:val="13"/>
    <w:link w:val="2"/>
    <w:qFormat/>
    <w:locked/>
    <w:uiPriority w:val="99"/>
    <w:rPr>
      <w:rFonts w:ascii="宋体" w:hAnsi="宋体" w:eastAsia="宋体" w:cs="宋体"/>
      <w:kern w:val="36"/>
      <w:sz w:val="48"/>
      <w:szCs w:val="48"/>
    </w:rPr>
  </w:style>
  <w:style w:type="character" w:customStyle="1" w:styleId="20">
    <w:name w:val="标题 2 Char"/>
    <w:basedOn w:val="13"/>
    <w:link w:val="3"/>
    <w:qFormat/>
    <w:locked/>
    <w:uiPriority w:val="99"/>
    <w:rPr>
      <w:rFonts w:ascii="宋体" w:hAnsi="宋体" w:eastAsia="宋体" w:cs="宋体"/>
      <w:kern w:val="0"/>
      <w:sz w:val="36"/>
      <w:szCs w:val="36"/>
    </w:rPr>
  </w:style>
  <w:style w:type="character" w:customStyle="1" w:styleId="21">
    <w:name w:val="标题 3 Char"/>
    <w:basedOn w:val="13"/>
    <w:link w:val="4"/>
    <w:locked/>
    <w:uiPriority w:val="99"/>
    <w:rPr>
      <w:rFonts w:ascii="宋体" w:hAnsi="宋体" w:eastAsia="宋体" w:cs="宋体"/>
      <w:kern w:val="0"/>
      <w:sz w:val="27"/>
      <w:szCs w:val="27"/>
    </w:rPr>
  </w:style>
  <w:style w:type="character" w:customStyle="1" w:styleId="22">
    <w:name w:val="标题 4 Char"/>
    <w:basedOn w:val="13"/>
    <w:link w:val="5"/>
    <w:qFormat/>
    <w:locked/>
    <w:uiPriority w:val="99"/>
    <w:rPr>
      <w:rFonts w:ascii="宋体" w:hAnsi="宋体" w:eastAsia="宋体" w:cs="宋体"/>
      <w:kern w:val="0"/>
      <w:sz w:val="24"/>
      <w:szCs w:val="24"/>
    </w:rPr>
  </w:style>
  <w:style w:type="character" w:customStyle="1" w:styleId="23">
    <w:name w:val="标题 5 Char"/>
    <w:basedOn w:val="13"/>
    <w:link w:val="6"/>
    <w:qFormat/>
    <w:locked/>
    <w:uiPriority w:val="99"/>
    <w:rPr>
      <w:rFonts w:ascii="宋体" w:hAnsi="宋体" w:eastAsia="宋体" w:cs="宋体"/>
      <w:kern w:val="0"/>
      <w:sz w:val="20"/>
      <w:szCs w:val="20"/>
    </w:rPr>
  </w:style>
  <w:style w:type="character" w:customStyle="1" w:styleId="24">
    <w:name w:val="标题 6 Char"/>
    <w:basedOn w:val="13"/>
    <w:link w:val="7"/>
    <w:qFormat/>
    <w:locked/>
    <w:uiPriority w:val="99"/>
    <w:rPr>
      <w:rFonts w:ascii="宋体" w:hAnsi="宋体" w:eastAsia="宋体" w:cs="宋体"/>
      <w:kern w:val="0"/>
      <w:sz w:val="15"/>
      <w:szCs w:val="15"/>
    </w:rPr>
  </w:style>
  <w:style w:type="character" w:customStyle="1" w:styleId="25">
    <w:name w:val="HTML 地址 Char"/>
    <w:basedOn w:val="13"/>
    <w:link w:val="8"/>
    <w:semiHidden/>
    <w:qFormat/>
    <w:locked/>
    <w:uiPriority w:val="99"/>
    <w:rPr>
      <w:rFonts w:ascii="宋体" w:hAnsi="宋体" w:eastAsia="宋体" w:cs="宋体"/>
      <w:kern w:val="0"/>
      <w:sz w:val="24"/>
      <w:szCs w:val="24"/>
    </w:rPr>
  </w:style>
  <w:style w:type="paragraph" w:customStyle="1" w:styleId="26">
    <w:name w:val="fb"/>
    <w:basedOn w:val="1"/>
    <w:qFormat/>
    <w:uiPriority w:val="99"/>
    <w:pPr>
      <w:widowControl/>
      <w:spacing w:before="100" w:beforeAutospacing="1" w:after="100" w:afterAutospacing="1"/>
      <w:jc w:val="left"/>
    </w:pPr>
    <w:rPr>
      <w:rFonts w:ascii="宋体" w:hAnsi="宋体" w:cs="宋体"/>
      <w:b/>
      <w:bCs/>
      <w:kern w:val="0"/>
      <w:sz w:val="24"/>
      <w:szCs w:val="24"/>
    </w:rPr>
  </w:style>
  <w:style w:type="paragraph" w:customStyle="1" w:styleId="27">
    <w:name w:val="cwhite"/>
    <w:basedOn w:val="1"/>
    <w:qFormat/>
    <w:uiPriority w:val="99"/>
    <w:pPr>
      <w:widowControl/>
      <w:spacing w:before="100" w:beforeAutospacing="1" w:after="100" w:afterAutospacing="1"/>
      <w:jc w:val="left"/>
    </w:pPr>
    <w:rPr>
      <w:rFonts w:ascii="宋体" w:hAnsi="宋体" w:cs="宋体"/>
      <w:color w:val="FFFFFF"/>
      <w:kern w:val="0"/>
      <w:sz w:val="24"/>
      <w:szCs w:val="24"/>
    </w:rPr>
  </w:style>
  <w:style w:type="paragraph" w:customStyle="1" w:styleId="28">
    <w:name w:val="cgray"/>
    <w:basedOn w:val="1"/>
    <w:qFormat/>
    <w:uiPriority w:val="99"/>
    <w:pPr>
      <w:widowControl/>
      <w:spacing w:before="100" w:beforeAutospacing="1" w:after="100" w:afterAutospacing="1"/>
      <w:jc w:val="left"/>
    </w:pPr>
    <w:rPr>
      <w:rFonts w:ascii="宋体" w:hAnsi="宋体" w:cs="宋体"/>
      <w:color w:val="999999"/>
      <w:kern w:val="0"/>
      <w:sz w:val="24"/>
      <w:szCs w:val="24"/>
    </w:rPr>
  </w:style>
  <w:style w:type="paragraph" w:customStyle="1" w:styleId="29">
    <w:name w:val="cf14"/>
    <w:basedOn w:val="1"/>
    <w:qFormat/>
    <w:uiPriority w:val="99"/>
    <w:pPr>
      <w:widowControl/>
      <w:spacing w:before="100" w:beforeAutospacing="1" w:after="100" w:afterAutospacing="1"/>
      <w:jc w:val="left"/>
    </w:pPr>
    <w:rPr>
      <w:rFonts w:ascii="宋体" w:hAnsi="宋体" w:cs="宋体"/>
      <w:kern w:val="0"/>
      <w:szCs w:val="21"/>
    </w:rPr>
  </w:style>
  <w:style w:type="paragraph" w:customStyle="1" w:styleId="30">
    <w:name w:val="line"/>
    <w:basedOn w:val="1"/>
    <w:qFormat/>
    <w:uiPriority w:val="99"/>
    <w:pPr>
      <w:widowControl/>
      <w:pBdr>
        <w:top w:val="single" w:color="CCCCCC" w:sz="6" w:space="0"/>
        <w:left w:val="single" w:color="CCCCCC" w:sz="6" w:space="0"/>
        <w:bottom w:val="single" w:color="CCCCCC" w:sz="6" w:space="0"/>
        <w:right w:val="single" w:color="CCCCCC" w:sz="6" w:space="0"/>
      </w:pBdr>
      <w:spacing w:before="100" w:beforeAutospacing="1" w:after="100" w:afterAutospacing="1"/>
      <w:jc w:val="left"/>
    </w:pPr>
    <w:rPr>
      <w:rFonts w:ascii="宋体" w:hAnsi="宋体" w:cs="宋体"/>
      <w:kern w:val="0"/>
      <w:sz w:val="24"/>
      <w:szCs w:val="24"/>
    </w:rPr>
  </w:style>
  <w:style w:type="paragraph" w:customStyle="1" w:styleId="31">
    <w:name w:val="line2"/>
    <w:basedOn w:val="1"/>
    <w:qFormat/>
    <w:uiPriority w:val="99"/>
    <w:pPr>
      <w:widowControl/>
      <w:pBdr>
        <w:bottom w:val="dotted" w:color="CCCCCC" w:sz="6" w:space="0"/>
      </w:pBdr>
      <w:spacing w:before="100" w:beforeAutospacing="1" w:after="100" w:afterAutospacing="1"/>
      <w:jc w:val="left"/>
    </w:pPr>
    <w:rPr>
      <w:rFonts w:ascii="宋体" w:hAnsi="宋体" w:cs="宋体"/>
      <w:kern w:val="0"/>
      <w:sz w:val="24"/>
      <w:szCs w:val="24"/>
    </w:rPr>
  </w:style>
  <w:style w:type="paragraph" w:customStyle="1" w:styleId="32">
    <w:name w:val="top_tab"/>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33">
    <w:name w:val="bann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34">
    <w:name w:val="top_nav"/>
    <w:basedOn w:val="1"/>
    <w:qFormat/>
    <w:uiPriority w:val="99"/>
    <w:pPr>
      <w:widowControl/>
      <w:shd w:val="clear" w:color="auto" w:fill="CC1C1E"/>
      <w:spacing w:before="100" w:beforeAutospacing="1" w:after="100" w:afterAutospacing="1"/>
      <w:jc w:val="left"/>
    </w:pPr>
    <w:rPr>
      <w:rFonts w:ascii="宋体" w:hAnsi="宋体" w:cs="宋体"/>
      <w:kern w:val="0"/>
      <w:sz w:val="24"/>
      <w:szCs w:val="24"/>
    </w:rPr>
  </w:style>
  <w:style w:type="paragraph" w:customStyle="1" w:styleId="35">
    <w:name w:val="top_clear10"/>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36">
    <w:name w:val="nav"/>
    <w:basedOn w:val="1"/>
    <w:qFormat/>
    <w:uiPriority w:val="99"/>
    <w:pPr>
      <w:widowControl/>
      <w:spacing w:before="100" w:beforeAutospacing="1" w:after="100" w:afterAutospacing="1" w:line="495" w:lineRule="atLeast"/>
      <w:jc w:val="left"/>
    </w:pPr>
    <w:rPr>
      <w:rFonts w:ascii="宋体" w:hAnsi="宋体" w:cs="宋体"/>
      <w:color w:val="FFFFFF"/>
      <w:kern w:val="0"/>
      <w:szCs w:val="21"/>
    </w:rPr>
  </w:style>
  <w:style w:type="paragraph" w:customStyle="1" w:styleId="37">
    <w:name w:val="topinput"/>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38">
    <w:name w:val="topbtn"/>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39">
    <w:name w:val="btn02"/>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40">
    <w:name w:val="vm"/>
    <w:basedOn w:val="1"/>
    <w:qFormat/>
    <w:uiPriority w:val="99"/>
    <w:pPr>
      <w:widowControl/>
      <w:spacing w:before="100" w:beforeAutospacing="1" w:after="100" w:afterAutospacing="1"/>
      <w:jc w:val="left"/>
      <w:textAlignment w:val="center"/>
    </w:pPr>
    <w:rPr>
      <w:rFonts w:ascii="宋体" w:hAnsi="宋体" w:cs="宋体"/>
      <w:kern w:val="0"/>
      <w:sz w:val="24"/>
      <w:szCs w:val="24"/>
    </w:rPr>
  </w:style>
  <w:style w:type="paragraph" w:customStyle="1" w:styleId="41">
    <w:name w:val="navbox"/>
    <w:basedOn w:val="1"/>
    <w:qFormat/>
    <w:uiPriority w:val="99"/>
    <w:pPr>
      <w:widowControl/>
      <w:shd w:val="clear" w:color="auto" w:fill="CC1C1E"/>
      <w:spacing w:before="100" w:beforeAutospacing="1" w:after="100" w:afterAutospacing="1"/>
      <w:jc w:val="left"/>
    </w:pPr>
    <w:rPr>
      <w:rFonts w:ascii="宋体" w:hAnsi="宋体" w:cs="宋体"/>
      <w:kern w:val="0"/>
      <w:sz w:val="24"/>
      <w:szCs w:val="24"/>
    </w:rPr>
  </w:style>
  <w:style w:type="paragraph" w:customStyle="1" w:styleId="42">
    <w:name w:val="页眉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43">
    <w:name w:val="页脚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44">
    <w:name w:val="main"/>
    <w:basedOn w:val="1"/>
    <w:qFormat/>
    <w:uiPriority w:val="99"/>
    <w:pPr>
      <w:widowControl/>
      <w:shd w:val="clear" w:color="auto" w:fill="EBE9EA"/>
      <w:spacing w:before="100" w:beforeAutospacing="1" w:after="100" w:afterAutospacing="1"/>
      <w:jc w:val="left"/>
    </w:pPr>
    <w:rPr>
      <w:rFonts w:ascii="宋体" w:hAnsi="宋体" w:cs="宋体"/>
      <w:kern w:val="0"/>
      <w:sz w:val="24"/>
      <w:szCs w:val="24"/>
    </w:rPr>
  </w:style>
  <w:style w:type="paragraph" w:customStyle="1" w:styleId="45">
    <w:name w:val="newsbox"/>
    <w:basedOn w:val="1"/>
    <w:qFormat/>
    <w:uiPriority w:val="99"/>
    <w:pPr>
      <w:widowControl/>
      <w:shd w:val="clear" w:color="auto" w:fill="FFFFFF"/>
      <w:spacing w:before="100" w:beforeAutospacing="1" w:after="100" w:afterAutospacing="1"/>
      <w:jc w:val="left"/>
    </w:pPr>
    <w:rPr>
      <w:rFonts w:ascii="宋体" w:hAnsi="宋体" w:cs="宋体"/>
      <w:kern w:val="0"/>
      <w:sz w:val="24"/>
      <w:szCs w:val="24"/>
    </w:rPr>
  </w:style>
  <w:style w:type="paragraph" w:customStyle="1" w:styleId="46">
    <w:name w:val="newsconcent"/>
    <w:basedOn w:val="1"/>
    <w:qFormat/>
    <w:uiPriority w:val="99"/>
    <w:pPr>
      <w:widowControl/>
      <w:spacing w:before="150" w:after="100" w:afterAutospacing="1"/>
      <w:jc w:val="left"/>
    </w:pPr>
    <w:rPr>
      <w:rFonts w:ascii="宋体" w:hAnsi="宋体" w:cs="宋体"/>
      <w:kern w:val="0"/>
      <w:sz w:val="24"/>
      <w:szCs w:val="24"/>
    </w:rPr>
  </w:style>
  <w:style w:type="paragraph" w:customStyle="1" w:styleId="47">
    <w:name w:val="newstitle"/>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48">
    <w:name w:val="line_bottom_dotted"/>
    <w:basedOn w:val="1"/>
    <w:qFormat/>
    <w:uiPriority w:val="99"/>
    <w:pPr>
      <w:widowControl/>
      <w:pBdr>
        <w:bottom w:val="dotted" w:color="CCCCCC" w:sz="6" w:space="0"/>
      </w:pBdr>
      <w:spacing w:before="100" w:beforeAutospacing="1" w:after="100" w:afterAutospacing="1"/>
      <w:jc w:val="left"/>
    </w:pPr>
    <w:rPr>
      <w:rFonts w:ascii="宋体" w:hAnsi="宋体" w:cs="宋体"/>
      <w:kern w:val="0"/>
      <w:sz w:val="24"/>
      <w:szCs w:val="24"/>
    </w:rPr>
  </w:style>
  <w:style w:type="paragraph" w:customStyle="1" w:styleId="49">
    <w:name w:val="line_3_solid"/>
    <w:basedOn w:val="1"/>
    <w:qFormat/>
    <w:uiPriority w:val="99"/>
    <w:pPr>
      <w:widowControl/>
      <w:pBdr>
        <w:left w:val="single" w:color="CCCCCC" w:sz="6" w:space="0"/>
        <w:bottom w:val="single" w:color="CCCCCC" w:sz="6" w:space="0"/>
        <w:right w:val="single" w:color="CCCCCC" w:sz="6" w:space="0"/>
      </w:pBdr>
      <w:spacing w:before="100" w:beforeAutospacing="1" w:after="100" w:afterAutospacing="1"/>
      <w:jc w:val="left"/>
    </w:pPr>
    <w:rPr>
      <w:rFonts w:ascii="宋体" w:hAnsi="宋体" w:cs="宋体"/>
      <w:kern w:val="0"/>
      <w:sz w:val="24"/>
      <w:szCs w:val="24"/>
    </w:rPr>
  </w:style>
  <w:style w:type="paragraph" w:customStyle="1" w:styleId="50">
    <w:name w:val="line_top_red"/>
    <w:basedOn w:val="1"/>
    <w:qFormat/>
    <w:uiPriority w:val="99"/>
    <w:pPr>
      <w:widowControl/>
      <w:pBdr>
        <w:top w:val="single" w:color="CC0000" w:sz="12" w:space="0"/>
      </w:pBdr>
      <w:spacing w:before="100" w:beforeAutospacing="1" w:after="100" w:afterAutospacing="1"/>
      <w:jc w:val="left"/>
    </w:pPr>
    <w:rPr>
      <w:rFonts w:ascii="宋体" w:hAnsi="宋体" w:cs="宋体"/>
      <w:kern w:val="0"/>
      <w:sz w:val="24"/>
      <w:szCs w:val="24"/>
    </w:rPr>
  </w:style>
  <w:style w:type="paragraph" w:customStyle="1" w:styleId="51">
    <w:name w:val="line_bottom_red"/>
    <w:basedOn w:val="1"/>
    <w:qFormat/>
    <w:uiPriority w:val="99"/>
    <w:pPr>
      <w:widowControl/>
      <w:pBdr>
        <w:bottom w:val="single" w:color="CC0000" w:sz="12" w:space="0"/>
      </w:pBdr>
      <w:spacing w:before="100" w:beforeAutospacing="1" w:after="100" w:afterAutospacing="1"/>
      <w:jc w:val="left"/>
    </w:pPr>
    <w:rPr>
      <w:rFonts w:ascii="宋体" w:hAnsi="宋体" w:cs="宋体"/>
      <w:kern w:val="0"/>
      <w:sz w:val="24"/>
      <w:szCs w:val="24"/>
    </w:rPr>
  </w:style>
  <w:style w:type="paragraph" w:customStyle="1" w:styleId="52">
    <w:name w:val="newslist_red"/>
    <w:basedOn w:val="1"/>
    <w:qFormat/>
    <w:uiPriority w:val="99"/>
    <w:pPr>
      <w:widowControl/>
      <w:pBdr>
        <w:bottom w:val="single" w:color="CC0000" w:sz="12" w:space="0"/>
      </w:pBdr>
      <w:spacing w:before="100" w:beforeAutospacing="1" w:after="100" w:afterAutospacing="1" w:line="525" w:lineRule="atLeast"/>
      <w:jc w:val="center"/>
    </w:pPr>
    <w:rPr>
      <w:rFonts w:ascii="宋体" w:hAnsi="宋体" w:cs="宋体"/>
      <w:color w:val="AD0606"/>
      <w:kern w:val="0"/>
      <w:szCs w:val="21"/>
    </w:rPr>
  </w:style>
  <w:style w:type="paragraph" w:customStyle="1" w:styleId="53">
    <w:name w:val="newslist_black"/>
    <w:basedOn w:val="1"/>
    <w:qFormat/>
    <w:uiPriority w:val="99"/>
    <w:pPr>
      <w:widowControl/>
      <w:spacing w:before="100" w:beforeAutospacing="1" w:after="100" w:afterAutospacing="1" w:line="525" w:lineRule="atLeast"/>
      <w:jc w:val="center"/>
    </w:pPr>
    <w:rPr>
      <w:rFonts w:ascii="宋体" w:hAnsi="宋体" w:cs="宋体"/>
      <w:kern w:val="0"/>
      <w:szCs w:val="21"/>
    </w:rPr>
  </w:style>
  <w:style w:type="paragraph" w:customStyle="1" w:styleId="54">
    <w:name w:val="zwgk"/>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5">
    <w:name w:val="zwgk_top"/>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6">
    <w:name w:val="zwgk_top_tite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7">
    <w:name w:val="fwym_top_tite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8">
    <w:name w:val="bsfw_top_tite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9">
    <w:name w:val="hdfw_top_tite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60">
    <w:name w:val="ymzc_top_tite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61">
    <w:name w:val="martop9"/>
    <w:basedOn w:val="1"/>
    <w:qFormat/>
    <w:uiPriority w:val="99"/>
    <w:pPr>
      <w:widowControl/>
      <w:spacing w:before="135" w:after="100" w:afterAutospacing="1"/>
      <w:jc w:val="left"/>
    </w:pPr>
    <w:rPr>
      <w:rFonts w:ascii="宋体" w:hAnsi="宋体" w:cs="宋体"/>
      <w:kern w:val="0"/>
      <w:sz w:val="24"/>
      <w:szCs w:val="24"/>
    </w:rPr>
  </w:style>
  <w:style w:type="paragraph" w:customStyle="1" w:styleId="62">
    <w:name w:val="marleft20"/>
    <w:basedOn w:val="1"/>
    <w:qFormat/>
    <w:uiPriority w:val="99"/>
    <w:pPr>
      <w:widowControl/>
      <w:spacing w:before="100" w:beforeAutospacing="1" w:after="100" w:afterAutospacing="1"/>
      <w:ind w:left="300"/>
      <w:jc w:val="left"/>
    </w:pPr>
    <w:rPr>
      <w:rFonts w:ascii="宋体" w:hAnsi="宋体" w:cs="宋体"/>
      <w:kern w:val="0"/>
      <w:sz w:val="24"/>
      <w:szCs w:val="24"/>
    </w:rPr>
  </w:style>
  <w:style w:type="paragraph" w:customStyle="1" w:styleId="63">
    <w:name w:val="zwgk_left_top"/>
    <w:basedOn w:val="1"/>
    <w:qFormat/>
    <w:uiPriority w:val="99"/>
    <w:pPr>
      <w:widowControl/>
      <w:spacing w:before="100" w:beforeAutospacing="1" w:after="100" w:afterAutospacing="1" w:line="495" w:lineRule="atLeast"/>
      <w:jc w:val="left"/>
    </w:pPr>
    <w:rPr>
      <w:rFonts w:ascii="宋体" w:hAnsi="宋体" w:cs="宋体"/>
      <w:b/>
      <w:bCs/>
      <w:color w:val="CC0000"/>
      <w:kern w:val="0"/>
      <w:szCs w:val="21"/>
    </w:rPr>
  </w:style>
  <w:style w:type="paragraph" w:customStyle="1" w:styleId="64">
    <w:name w:val="zwgk_nav_span"/>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65">
    <w:name w:val="zwgk_nav1"/>
    <w:basedOn w:val="1"/>
    <w:qFormat/>
    <w:uiPriority w:val="99"/>
    <w:pPr>
      <w:widowControl/>
      <w:pBdr>
        <w:top w:val="single" w:color="CCCCCC" w:sz="6" w:space="0"/>
        <w:left w:val="single" w:color="CCCCCC" w:sz="6" w:space="0"/>
        <w:bottom w:val="single" w:color="CCCCCC" w:sz="6" w:space="0"/>
        <w:right w:val="single" w:color="CCCCCC" w:sz="6" w:space="0"/>
      </w:pBdr>
      <w:spacing w:before="100" w:beforeAutospacing="1" w:after="105" w:line="570" w:lineRule="atLeast"/>
      <w:jc w:val="left"/>
    </w:pPr>
    <w:rPr>
      <w:rFonts w:ascii="宋体" w:hAnsi="宋体" w:cs="宋体"/>
      <w:kern w:val="0"/>
      <w:sz w:val="24"/>
      <w:szCs w:val="24"/>
    </w:rPr>
  </w:style>
  <w:style w:type="paragraph" w:customStyle="1" w:styleId="66">
    <w:name w:val="zwgk_nav2"/>
    <w:basedOn w:val="1"/>
    <w:qFormat/>
    <w:uiPriority w:val="99"/>
    <w:pPr>
      <w:widowControl/>
      <w:pBdr>
        <w:top w:val="single" w:color="CCCCCC" w:sz="6" w:space="0"/>
        <w:left w:val="single" w:color="CCCCCC" w:sz="6" w:space="0"/>
        <w:bottom w:val="single" w:color="CCCCCC" w:sz="6" w:space="0"/>
        <w:right w:val="single" w:color="CCCCCC" w:sz="6" w:space="0"/>
      </w:pBdr>
      <w:spacing w:before="100" w:beforeAutospacing="1" w:after="105" w:line="570" w:lineRule="atLeast"/>
      <w:jc w:val="left"/>
    </w:pPr>
    <w:rPr>
      <w:rFonts w:ascii="宋体" w:hAnsi="宋体" w:cs="宋体"/>
      <w:kern w:val="0"/>
      <w:sz w:val="24"/>
      <w:szCs w:val="24"/>
    </w:rPr>
  </w:style>
  <w:style w:type="paragraph" w:customStyle="1" w:styleId="67">
    <w:name w:val="zwgk_nav3"/>
    <w:basedOn w:val="1"/>
    <w:qFormat/>
    <w:uiPriority w:val="99"/>
    <w:pPr>
      <w:widowControl/>
      <w:pBdr>
        <w:top w:val="single" w:color="CCCCCC" w:sz="6" w:space="0"/>
        <w:left w:val="single" w:color="CCCCCC" w:sz="6" w:space="0"/>
        <w:bottom w:val="single" w:color="CCCCCC" w:sz="6" w:space="0"/>
        <w:right w:val="single" w:color="CCCCCC" w:sz="6" w:space="0"/>
      </w:pBdr>
      <w:spacing w:before="100" w:beforeAutospacing="1" w:after="105" w:line="570" w:lineRule="atLeast"/>
      <w:jc w:val="left"/>
    </w:pPr>
    <w:rPr>
      <w:rFonts w:ascii="宋体" w:hAnsi="宋体" w:cs="宋体"/>
      <w:kern w:val="0"/>
      <w:sz w:val="24"/>
      <w:szCs w:val="24"/>
    </w:rPr>
  </w:style>
  <w:style w:type="paragraph" w:customStyle="1" w:styleId="68">
    <w:name w:val="zwgk_nav4"/>
    <w:basedOn w:val="1"/>
    <w:qFormat/>
    <w:uiPriority w:val="99"/>
    <w:pPr>
      <w:widowControl/>
      <w:pBdr>
        <w:top w:val="single" w:color="CCCCCC" w:sz="6" w:space="0"/>
        <w:left w:val="single" w:color="CCCCCC" w:sz="6" w:space="0"/>
        <w:bottom w:val="single" w:color="CCCCCC" w:sz="6" w:space="0"/>
        <w:right w:val="single" w:color="CCCCCC" w:sz="6" w:space="0"/>
      </w:pBdr>
      <w:spacing w:before="100" w:beforeAutospacing="1" w:after="105" w:line="570" w:lineRule="atLeast"/>
      <w:jc w:val="left"/>
    </w:pPr>
    <w:rPr>
      <w:rFonts w:ascii="宋体" w:hAnsi="宋体" w:cs="宋体"/>
      <w:kern w:val="0"/>
      <w:sz w:val="24"/>
      <w:szCs w:val="24"/>
    </w:rPr>
  </w:style>
  <w:style w:type="paragraph" w:customStyle="1" w:styleId="69">
    <w:name w:val="zwgk_nav5"/>
    <w:basedOn w:val="1"/>
    <w:qFormat/>
    <w:uiPriority w:val="99"/>
    <w:pPr>
      <w:widowControl/>
      <w:pBdr>
        <w:top w:val="single" w:color="CCCCCC" w:sz="6" w:space="0"/>
        <w:left w:val="single" w:color="CCCCCC" w:sz="6" w:space="0"/>
        <w:bottom w:val="single" w:color="CCCCCC" w:sz="6" w:space="0"/>
        <w:right w:val="single" w:color="CCCCCC" w:sz="6" w:space="0"/>
      </w:pBdr>
      <w:spacing w:before="100" w:beforeAutospacing="1" w:after="105" w:line="570" w:lineRule="atLeast"/>
      <w:jc w:val="left"/>
    </w:pPr>
    <w:rPr>
      <w:rFonts w:ascii="宋体" w:hAnsi="宋体" w:cs="宋体"/>
      <w:kern w:val="0"/>
      <w:sz w:val="24"/>
      <w:szCs w:val="24"/>
    </w:rPr>
  </w:style>
  <w:style w:type="paragraph" w:customStyle="1" w:styleId="70">
    <w:name w:val="zwgk_right_nav"/>
    <w:basedOn w:val="1"/>
    <w:qFormat/>
    <w:uiPriority w:val="99"/>
    <w:pPr>
      <w:widowControl/>
      <w:spacing w:before="100" w:beforeAutospacing="1" w:after="100" w:afterAutospacing="1" w:line="525" w:lineRule="atLeast"/>
      <w:jc w:val="center"/>
    </w:pPr>
    <w:rPr>
      <w:rFonts w:ascii="宋体" w:hAnsi="宋体" w:cs="宋体"/>
      <w:color w:val="AD0606"/>
      <w:kern w:val="0"/>
      <w:sz w:val="24"/>
      <w:szCs w:val="24"/>
    </w:rPr>
  </w:style>
  <w:style w:type="paragraph" w:customStyle="1" w:styleId="71">
    <w:name w:val="zwgk_right_nav1"/>
    <w:basedOn w:val="1"/>
    <w:qFormat/>
    <w:uiPriority w:val="99"/>
    <w:pPr>
      <w:widowControl/>
      <w:spacing w:before="100" w:beforeAutospacing="1" w:after="100" w:afterAutospacing="1" w:line="525" w:lineRule="atLeast"/>
      <w:jc w:val="center"/>
    </w:pPr>
    <w:rPr>
      <w:rFonts w:ascii="宋体" w:hAnsi="宋体" w:cs="宋体"/>
      <w:kern w:val="0"/>
      <w:sz w:val="24"/>
      <w:szCs w:val="24"/>
    </w:rPr>
  </w:style>
  <w:style w:type="paragraph" w:customStyle="1" w:styleId="72">
    <w:name w:val="bs_btn"/>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73">
    <w:name w:val="bs_tab_bar"/>
    <w:basedOn w:val="1"/>
    <w:qFormat/>
    <w:uiPriority w:val="99"/>
    <w:pPr>
      <w:widowControl/>
      <w:spacing w:before="100" w:beforeAutospacing="1" w:after="100" w:afterAutospacing="1" w:line="465" w:lineRule="atLeast"/>
      <w:jc w:val="left"/>
    </w:pPr>
    <w:rPr>
      <w:rFonts w:ascii="宋体" w:hAnsi="宋体" w:cs="宋体"/>
      <w:b/>
      <w:bCs/>
      <w:color w:val="CC0000"/>
      <w:kern w:val="0"/>
      <w:szCs w:val="21"/>
    </w:rPr>
  </w:style>
  <w:style w:type="paragraph" w:customStyle="1" w:styleId="74">
    <w:name w:val="link_line"/>
    <w:basedOn w:val="1"/>
    <w:qFormat/>
    <w:uiPriority w:val="99"/>
    <w:pPr>
      <w:widowControl/>
      <w:pBdr>
        <w:bottom w:val="single" w:color="CC0000" w:sz="18" w:space="0"/>
      </w:pBdr>
      <w:spacing w:before="100" w:beforeAutospacing="1" w:after="100" w:afterAutospacing="1"/>
      <w:jc w:val="left"/>
    </w:pPr>
    <w:rPr>
      <w:rFonts w:ascii="宋体" w:hAnsi="宋体" w:cs="宋体"/>
      <w:kern w:val="0"/>
      <w:sz w:val="24"/>
      <w:szCs w:val="24"/>
    </w:rPr>
  </w:style>
  <w:style w:type="paragraph" w:customStyle="1" w:styleId="75">
    <w:name w:val="xl_titel"/>
    <w:basedOn w:val="1"/>
    <w:qFormat/>
    <w:uiPriority w:val="99"/>
    <w:pPr>
      <w:widowControl/>
      <w:spacing w:before="100" w:beforeAutospacing="1" w:after="100" w:afterAutospacing="1"/>
      <w:jc w:val="left"/>
    </w:pPr>
    <w:rPr>
      <w:rFonts w:ascii="宋体" w:hAnsi="宋体" w:cs="宋体"/>
      <w:kern w:val="0"/>
      <w:sz w:val="36"/>
      <w:szCs w:val="36"/>
    </w:rPr>
  </w:style>
  <w:style w:type="paragraph" w:customStyle="1" w:styleId="76">
    <w:name w:val="xl_con"/>
    <w:basedOn w:val="1"/>
    <w:qFormat/>
    <w:uiPriority w:val="99"/>
    <w:pPr>
      <w:widowControl/>
      <w:spacing w:before="100" w:beforeAutospacing="1" w:after="100" w:afterAutospacing="1" w:line="450" w:lineRule="atLeast"/>
      <w:jc w:val="left"/>
    </w:pPr>
    <w:rPr>
      <w:rFonts w:ascii="宋体" w:hAnsi="宋体" w:cs="宋体"/>
      <w:kern w:val="0"/>
      <w:szCs w:val="21"/>
    </w:rPr>
  </w:style>
  <w:style w:type="paragraph" w:customStyle="1" w:styleId="77">
    <w:name w:val="tabmore"/>
    <w:basedOn w:val="1"/>
    <w:qFormat/>
    <w:uiPriority w:val="99"/>
    <w:pPr>
      <w:widowControl/>
      <w:spacing w:before="100" w:beforeAutospacing="1" w:after="100" w:afterAutospacing="1" w:line="450" w:lineRule="atLeast"/>
      <w:jc w:val="left"/>
    </w:pPr>
    <w:rPr>
      <w:rFonts w:ascii="宋体" w:hAnsi="宋体" w:cs="宋体"/>
      <w:kern w:val="0"/>
      <w:sz w:val="24"/>
      <w:szCs w:val="24"/>
    </w:rPr>
  </w:style>
  <w:style w:type="paragraph" w:customStyle="1" w:styleId="78">
    <w:name w:val="grid1"/>
    <w:basedOn w:val="1"/>
    <w:qFormat/>
    <w:uiPriority w:val="99"/>
    <w:pPr>
      <w:widowControl/>
      <w:pBdr>
        <w:top w:val="single" w:color="DDDDDD" w:sz="6" w:space="2"/>
        <w:left w:val="single" w:color="DDDDDD" w:sz="6" w:space="2"/>
        <w:bottom w:val="single" w:color="DDDDDD" w:sz="6" w:space="2"/>
        <w:right w:val="single" w:color="DDDDDD" w:sz="6" w:space="2"/>
      </w:pBdr>
      <w:jc w:val="left"/>
    </w:pPr>
    <w:rPr>
      <w:rFonts w:ascii="宋体" w:hAnsi="宋体" w:cs="宋体"/>
      <w:kern w:val="0"/>
      <w:sz w:val="24"/>
      <w:szCs w:val="24"/>
    </w:rPr>
  </w:style>
  <w:style w:type="paragraph" w:customStyle="1" w:styleId="79">
    <w:name w:val="tab"/>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80">
    <w:name w:val="tr_color_1"/>
    <w:basedOn w:val="1"/>
    <w:qFormat/>
    <w:uiPriority w:val="99"/>
    <w:pPr>
      <w:widowControl/>
      <w:shd w:val="clear" w:color="auto" w:fill="F7F7F7"/>
      <w:spacing w:before="100" w:beforeAutospacing="1" w:after="100" w:afterAutospacing="1"/>
      <w:jc w:val="left"/>
    </w:pPr>
    <w:rPr>
      <w:rFonts w:ascii="宋体" w:hAnsi="宋体" w:cs="宋体"/>
      <w:kern w:val="0"/>
      <w:sz w:val="24"/>
      <w:szCs w:val="24"/>
    </w:rPr>
  </w:style>
  <w:style w:type="paragraph" w:customStyle="1" w:styleId="81">
    <w:name w:val="hj-easyread-smoothtips"/>
    <w:basedOn w:val="1"/>
    <w:qFormat/>
    <w:uiPriority w:val="99"/>
    <w:pPr>
      <w:widowControl/>
      <w:shd w:val="clear" w:color="auto" w:fill="DEDEDE"/>
      <w:spacing w:before="100" w:beforeAutospacing="1" w:after="100" w:afterAutospacing="1"/>
      <w:jc w:val="left"/>
    </w:pPr>
    <w:rPr>
      <w:rFonts w:ascii="宋体" w:hAnsi="宋体" w:cs="宋体"/>
      <w:kern w:val="0"/>
      <w:sz w:val="24"/>
      <w:szCs w:val="24"/>
    </w:rPr>
  </w:style>
  <w:style w:type="paragraph" w:customStyle="1" w:styleId="82">
    <w:name w:val="hj-easyread-contain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83">
    <w:name w:val="navmenu"/>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84">
    <w:name w:val="search"/>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85">
    <w:name w:val="leftline"/>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86">
    <w:name w:val="rightline"/>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87">
    <w:name w:val="newspic"/>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88">
    <w:name w:val="rightnews"/>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89">
    <w:name w:val="titlefont"/>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0">
    <w:name w:val="smooth-lf"/>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1">
    <w:name w:val="smooth"/>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2">
    <w:name w:val="w980"/>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3">
    <w:name w:val="smooth-box"/>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4">
    <w:name w:val="tipscontrol-btn"/>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5">
    <w:name w:val="returntotop-btn"/>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6">
    <w:name w:val="hj-easyread-icons"/>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7">
    <w:name w:val="日期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8">
    <w:name w:val="current"/>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9">
    <w:name w:val="xwsd"/>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00">
    <w:name w:val="gsgg"/>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01">
    <w:name w:val="hj-easyread-sider-btns-item"/>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102">
    <w:name w:val="hj-easyread-speakerprocesser-position-action-icon"/>
    <w:basedOn w:val="13"/>
    <w:qFormat/>
    <w:uiPriority w:val="99"/>
    <w:rPr>
      <w:rFonts w:cs="Times New Roman"/>
    </w:rPr>
  </w:style>
  <w:style w:type="paragraph" w:customStyle="1" w:styleId="103">
    <w:name w:val="navmenu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04">
    <w:name w:val="current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05">
    <w:name w:val="search1"/>
    <w:basedOn w:val="1"/>
    <w:qFormat/>
    <w:uiPriority w:val="99"/>
    <w:pPr>
      <w:widowControl/>
      <w:spacing w:line="660" w:lineRule="atLeast"/>
      <w:jc w:val="left"/>
    </w:pPr>
    <w:rPr>
      <w:rFonts w:ascii="宋体" w:hAnsi="宋体" w:cs="宋体"/>
      <w:kern w:val="0"/>
      <w:sz w:val="24"/>
      <w:szCs w:val="24"/>
    </w:rPr>
  </w:style>
  <w:style w:type="paragraph" w:customStyle="1" w:styleId="106">
    <w:name w:val="leftline1"/>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107">
    <w:name w:val="rightline1"/>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108">
    <w:name w:val="newspic1"/>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109">
    <w:name w:val="rightnews1"/>
    <w:basedOn w:val="1"/>
    <w:uiPriority w:val="99"/>
    <w:pPr>
      <w:widowControl/>
      <w:spacing w:before="100" w:beforeAutospacing="1" w:after="100" w:afterAutospacing="1"/>
      <w:ind w:left="180"/>
      <w:jc w:val="left"/>
    </w:pPr>
    <w:rPr>
      <w:rFonts w:ascii="宋体" w:hAnsi="宋体" w:cs="宋体"/>
      <w:kern w:val="0"/>
      <w:sz w:val="24"/>
      <w:szCs w:val="24"/>
    </w:rPr>
  </w:style>
  <w:style w:type="paragraph" w:customStyle="1" w:styleId="110">
    <w:name w:val="xwsd1"/>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111">
    <w:name w:val="gsgg1"/>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112">
    <w:name w:val="date1"/>
    <w:basedOn w:val="1"/>
    <w:uiPriority w:val="99"/>
    <w:pPr>
      <w:widowControl/>
      <w:spacing w:before="100" w:beforeAutospacing="1" w:after="100" w:afterAutospacing="1"/>
      <w:jc w:val="center"/>
    </w:pPr>
    <w:rPr>
      <w:rFonts w:ascii="宋体" w:hAnsi="宋体" w:cs="宋体"/>
      <w:kern w:val="0"/>
      <w:sz w:val="18"/>
      <w:szCs w:val="18"/>
    </w:rPr>
  </w:style>
  <w:style w:type="paragraph" w:customStyle="1" w:styleId="113">
    <w:name w:val="titlefont1"/>
    <w:basedOn w:val="1"/>
    <w:uiPriority w:val="99"/>
    <w:pPr>
      <w:widowControl/>
      <w:spacing w:before="100" w:beforeAutospacing="1" w:after="100" w:afterAutospacing="1" w:line="525" w:lineRule="atLeast"/>
      <w:jc w:val="center"/>
    </w:pPr>
    <w:rPr>
      <w:rFonts w:ascii="宋体" w:hAnsi="宋体" w:cs="宋体"/>
      <w:color w:val="7A531C"/>
      <w:kern w:val="0"/>
      <w:sz w:val="18"/>
      <w:szCs w:val="18"/>
    </w:rPr>
  </w:style>
  <w:style w:type="paragraph" w:customStyle="1" w:styleId="114">
    <w:name w:val="smooth-lf1"/>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115">
    <w:name w:val="smooth1"/>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116">
    <w:name w:val="w9801"/>
    <w:basedOn w:val="1"/>
    <w:uiPriority w:val="99"/>
    <w:pPr>
      <w:widowControl/>
      <w:jc w:val="left"/>
    </w:pPr>
    <w:rPr>
      <w:rFonts w:ascii="宋体" w:hAnsi="宋体" w:cs="宋体"/>
      <w:kern w:val="0"/>
      <w:sz w:val="24"/>
      <w:szCs w:val="24"/>
    </w:rPr>
  </w:style>
  <w:style w:type="paragraph" w:customStyle="1" w:styleId="117">
    <w:name w:val="smooth-box1"/>
    <w:basedOn w:val="1"/>
    <w:uiPriority w:val="99"/>
    <w:pPr>
      <w:widowControl/>
      <w:spacing w:before="100" w:beforeAutospacing="1" w:after="100" w:afterAutospacing="1"/>
      <w:jc w:val="right"/>
    </w:pPr>
    <w:rPr>
      <w:rFonts w:ascii="宋体" w:hAnsi="宋体" w:cs="宋体"/>
      <w:kern w:val="0"/>
      <w:sz w:val="24"/>
      <w:szCs w:val="24"/>
    </w:rPr>
  </w:style>
  <w:style w:type="paragraph" w:customStyle="1" w:styleId="118">
    <w:name w:val="hj-easyread-sider-btns-item1"/>
    <w:basedOn w:val="1"/>
    <w:uiPriority w:val="99"/>
    <w:pPr>
      <w:widowControl/>
      <w:spacing w:before="100" w:beforeAutospacing="1" w:after="100" w:afterAutospacing="1"/>
      <w:jc w:val="left"/>
    </w:pPr>
    <w:rPr>
      <w:rFonts w:ascii="宋体" w:hAnsi="宋体" w:cs="宋体"/>
      <w:vanish/>
      <w:kern w:val="0"/>
      <w:sz w:val="24"/>
      <w:szCs w:val="24"/>
    </w:rPr>
  </w:style>
  <w:style w:type="character" w:customStyle="1" w:styleId="119">
    <w:name w:val="hj-easyread-speakerprocesser-position-action-icon1"/>
    <w:basedOn w:val="13"/>
    <w:uiPriority w:val="99"/>
    <w:rPr>
      <w:rFonts w:cs="Times New Roman"/>
      <w:shd w:val="clear" w:color="auto" w:fill="auto"/>
    </w:rPr>
  </w:style>
  <w:style w:type="paragraph" w:customStyle="1" w:styleId="120">
    <w:name w:val="tipscontrol-btn1"/>
    <w:basedOn w:val="1"/>
    <w:uiPriority w:val="99"/>
    <w:pPr>
      <w:widowControl/>
      <w:spacing w:before="100" w:beforeAutospacing="1" w:after="135" w:line="536853376" w:lineRule="auto"/>
      <w:jc w:val="left"/>
    </w:pPr>
    <w:rPr>
      <w:rFonts w:ascii="宋体" w:hAnsi="宋体" w:cs="宋体"/>
      <w:kern w:val="0"/>
      <w:sz w:val="2"/>
      <w:szCs w:val="2"/>
    </w:rPr>
  </w:style>
  <w:style w:type="paragraph" w:customStyle="1" w:styleId="121">
    <w:name w:val="returntotop-btn1"/>
    <w:basedOn w:val="1"/>
    <w:uiPriority w:val="99"/>
    <w:pPr>
      <w:widowControl/>
      <w:spacing w:before="100" w:beforeAutospacing="1" w:after="100" w:afterAutospacing="1" w:line="536853376" w:lineRule="auto"/>
      <w:jc w:val="left"/>
    </w:pPr>
    <w:rPr>
      <w:rFonts w:ascii="宋体" w:hAnsi="宋体" w:cs="宋体"/>
      <w:kern w:val="0"/>
      <w:sz w:val="2"/>
      <w:szCs w:val="2"/>
    </w:rPr>
  </w:style>
  <w:style w:type="paragraph" w:customStyle="1" w:styleId="122">
    <w:name w:val="hj-easyread-icons1"/>
    <w:basedOn w:val="1"/>
    <w:uiPriority w:val="99"/>
    <w:pPr>
      <w:widowControl/>
      <w:spacing w:before="100" w:beforeAutospacing="1" w:after="100" w:afterAutospacing="1"/>
      <w:jc w:val="left"/>
    </w:pPr>
    <w:rPr>
      <w:rFonts w:ascii="宋体" w:hAnsi="宋体" w:cs="宋体"/>
      <w:kern w:val="0"/>
      <w:sz w:val="24"/>
      <w:szCs w:val="24"/>
    </w:rPr>
  </w:style>
  <w:style w:type="character" w:customStyle="1" w:styleId="123">
    <w:name w:val="页眉 Char"/>
    <w:basedOn w:val="13"/>
    <w:link w:val="10"/>
    <w:semiHidden/>
    <w:locked/>
    <w:uiPriority w:val="99"/>
    <w:rPr>
      <w:rFonts w:cs="Times New Roman"/>
      <w:sz w:val="18"/>
      <w:szCs w:val="18"/>
    </w:rPr>
  </w:style>
  <w:style w:type="character" w:customStyle="1" w:styleId="124">
    <w:name w:val="页脚 Char"/>
    <w:basedOn w:val="13"/>
    <w:link w:val="9"/>
    <w:locked/>
    <w:uiPriority w:val="99"/>
    <w:rPr>
      <w:rFonts w:cs="Times New Roman"/>
      <w:sz w:val="18"/>
      <w:szCs w:val="18"/>
    </w:rPr>
  </w:style>
  <w:style w:type="paragraph" w:styleId="125">
    <w:name w:val="List Paragraph"/>
    <w:basedOn w:val="1"/>
    <w:qFormat/>
    <w:uiPriority w:val="99"/>
    <w:pPr>
      <w:ind w:firstLine="420" w:firstLineChars="200"/>
    </w:pPr>
  </w:style>
  <w:style w:type="paragraph" w:customStyle="1" w:styleId="126">
    <w:name w:val="reader-word-layer"/>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127">
    <w:name w:val="Default"/>
    <w:qFormat/>
    <w:uiPriority w:val="99"/>
    <w:pPr>
      <w:widowControl w:val="0"/>
      <w:autoSpaceDE w:val="0"/>
      <w:autoSpaceDN w:val="0"/>
      <w:adjustRightInd w:val="0"/>
    </w:pPr>
    <w:rPr>
      <w:rFonts w:ascii="黑体" w:hAnsi="Calibri"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9</Pages>
  <Words>786</Words>
  <Characters>4484</Characters>
  <Lines>37</Lines>
  <Paragraphs>10</Paragraphs>
  <TotalTime>50</TotalTime>
  <ScaleCrop>false</ScaleCrop>
  <LinksUpToDate>false</LinksUpToDate>
  <CharactersWithSpaces>5260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2022-06-19T07:51:00Z</dcterms:created>
  <dc:creator>ASUS</dc:creator>
  <cp:lastModifiedBy>Administrator</cp:lastModifiedBy>
  <cp:lastPrinted>2020-10-15T05:26:00Z</cp:lastPrinted>
  <dcterms:modified xsi:type="dcterms:W3CDTF">2024-04-24T09:17:25Z</dcterms:modified>
  <dc:title>2014年度常德市社会劳动保险处</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3F9FA0C695E046CA8C3FBCFF23FA79C0</vt:lpwstr>
  </property>
</Properties>
</file>