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2020年</w:t>
      </w:r>
      <w:r>
        <w:rPr>
          <w:rFonts w:hint="eastAsia" w:ascii="宋体" w:hAnsi="宋体" w:eastAsia="宋体" w:cs="宋体"/>
          <w:b/>
          <w:bCs/>
          <w:sz w:val="44"/>
          <w:szCs w:val="44"/>
          <w:lang w:eastAsia="zh-CN"/>
        </w:rPr>
        <w:t>澧县</w:t>
      </w:r>
      <w:r>
        <w:rPr>
          <w:rFonts w:hint="eastAsia" w:ascii="宋体" w:hAnsi="宋体" w:eastAsia="宋体" w:cs="宋体"/>
          <w:b/>
          <w:bCs/>
          <w:sz w:val="44"/>
          <w:szCs w:val="44"/>
        </w:rPr>
        <w:t>山门太青水库管理处</w:t>
      </w:r>
    </w:p>
    <w:p>
      <w:pPr>
        <w:jc w:val="center"/>
        <w:rPr>
          <w:rFonts w:hint="eastAsia" w:ascii="仿宋" w:hAnsi="仿宋" w:eastAsia="仿宋" w:cs="仿宋"/>
          <w:sz w:val="32"/>
          <w:szCs w:val="32"/>
        </w:rPr>
      </w:pPr>
      <w:r>
        <w:rPr>
          <w:rFonts w:hint="eastAsia" w:ascii="宋体" w:hAnsi="宋体" w:eastAsia="宋体" w:cs="宋体"/>
          <w:b/>
          <w:bCs/>
          <w:sz w:val="44"/>
          <w:szCs w:val="44"/>
        </w:rPr>
        <w:t>部门整体支出绩效报告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宋体" w:hAnsi="宋体" w:eastAsia="宋体" w:cs="宋体"/>
          <w:sz w:val="32"/>
          <w:szCs w:val="32"/>
          <w:lang w:val="en-US" w:eastAsia="zh-CN"/>
        </w:rPr>
        <w:t>按照澧财发〔2021〕39号《澧县财政局关于下达2021年度县本级财政资金预算绩效管理目标任务的通知》文件要求</w:t>
      </w:r>
      <w:r>
        <w:rPr>
          <w:rFonts w:hint="eastAsia" w:ascii="宋体" w:hAnsi="宋体" w:eastAsia="宋体" w:cs="宋体"/>
          <w:sz w:val="32"/>
          <w:szCs w:val="32"/>
          <w:lang w:eastAsia="zh-CN"/>
        </w:rPr>
        <w:t>，对澧县山门太青水库管理处</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0</w:t>
      </w:r>
      <w:r>
        <w:rPr>
          <w:rFonts w:hint="eastAsia" w:ascii="宋体" w:hAnsi="宋体" w:eastAsia="宋体" w:cs="宋体"/>
          <w:sz w:val="32"/>
          <w:szCs w:val="32"/>
          <w:lang w:val="en-US" w:eastAsia="zh-CN"/>
        </w:rPr>
        <w:t>20</w:t>
      </w:r>
      <w:r>
        <w:rPr>
          <w:rFonts w:hint="eastAsia" w:ascii="宋体" w:hAnsi="宋体" w:eastAsia="宋体" w:cs="宋体"/>
          <w:sz w:val="32"/>
          <w:szCs w:val="32"/>
          <w:lang w:eastAsia="zh-CN"/>
        </w:rPr>
        <w:t>年度部门整体</w:t>
      </w:r>
      <w:r>
        <w:rPr>
          <w:rFonts w:hint="eastAsia" w:ascii="宋体" w:hAnsi="宋体" w:eastAsia="宋体" w:cs="宋体"/>
          <w:sz w:val="32"/>
          <w:szCs w:val="32"/>
        </w:rPr>
        <w:t>支出进行绩效评价，根据绩效评价有关规定，形成本报告。</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一、部门概况</w:t>
      </w:r>
    </w:p>
    <w:p>
      <w:pPr>
        <w:ind w:firstLine="321" w:firstLineChars="100"/>
        <w:rPr>
          <w:rFonts w:ascii="仿宋" w:hAnsi="仿宋" w:eastAsia="仿宋"/>
          <w:b/>
          <w:sz w:val="32"/>
          <w:szCs w:val="32"/>
        </w:rPr>
      </w:pPr>
      <w:r>
        <w:rPr>
          <w:rFonts w:hint="eastAsia" w:ascii="楷体" w:hAnsi="楷体" w:eastAsia="楷体" w:cs="楷体"/>
          <w:b/>
          <w:bCs/>
          <w:sz w:val="32"/>
          <w:szCs w:val="32"/>
        </w:rPr>
        <w:t>（一）机构、人员构成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5" w:lineRule="atLeast"/>
        <w:ind w:firstLine="640" w:firstLineChars="200"/>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山门太青水库管理处总共有干部职工92人（其中在岗30人，内退及分流人员32人，退休人员30人），在编人数30人。下设办公室、财务室、水政室、政工股、工程股、山干所、太干所、太青水库管理所。</w:t>
      </w:r>
    </w:p>
    <w:p>
      <w:pPr>
        <w:pStyle w:val="5"/>
        <w:shd w:val="clear" w:color="auto" w:fill="FFFFFF"/>
        <w:spacing w:before="0" w:beforeAutospacing="0" w:after="0" w:afterAutospacing="0" w:line="375" w:lineRule="atLeast"/>
        <w:ind w:firstLine="321" w:firstLineChars="1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（二）单位主要职责</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宋体" w:hAnsi="宋体" w:eastAsia="宋体" w:cs="宋体"/>
          <w:color w:val="222222"/>
          <w:kern w:val="0"/>
          <w:sz w:val="32"/>
          <w:szCs w:val="32"/>
          <w:lang w:val="en-US" w:eastAsia="zh-CN"/>
        </w:rPr>
      </w:pPr>
      <w:r>
        <w:rPr>
          <w:rFonts w:hint="eastAsia" w:ascii="宋体" w:hAnsi="宋体" w:eastAsia="宋体" w:cs="宋体"/>
          <w:color w:val="222222"/>
          <w:kern w:val="0"/>
          <w:sz w:val="32"/>
          <w:szCs w:val="32"/>
          <w:lang w:val="en-US" w:eastAsia="zh-CN"/>
        </w:rPr>
        <w:t>1、负责山门水库、太青水库的水资源保护和水上交通安全。</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宋体" w:hAnsi="宋体" w:eastAsia="宋体" w:cs="宋体"/>
          <w:color w:val="222222"/>
          <w:kern w:val="0"/>
          <w:sz w:val="32"/>
          <w:szCs w:val="32"/>
          <w:lang w:val="en-US" w:eastAsia="zh-CN"/>
        </w:rPr>
      </w:pPr>
      <w:r>
        <w:rPr>
          <w:rFonts w:hint="eastAsia" w:ascii="宋体" w:hAnsi="宋体" w:eastAsia="宋体" w:cs="宋体"/>
          <w:color w:val="222222"/>
          <w:kern w:val="0"/>
          <w:sz w:val="32"/>
          <w:szCs w:val="32"/>
          <w:lang w:val="en-US" w:eastAsia="zh-CN"/>
        </w:rPr>
        <w:t>2、负责山门水库、太青水库干渠的安全运行和日常维护管理。</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宋体" w:hAnsi="宋体" w:eastAsia="宋体" w:cs="宋体"/>
          <w:color w:val="222222"/>
          <w:kern w:val="0"/>
          <w:sz w:val="32"/>
          <w:szCs w:val="32"/>
          <w:lang w:val="en-US" w:eastAsia="zh-CN"/>
        </w:rPr>
      </w:pPr>
      <w:r>
        <w:rPr>
          <w:rFonts w:hint="eastAsia" w:ascii="宋体" w:hAnsi="宋体" w:eastAsia="宋体" w:cs="宋体"/>
          <w:color w:val="222222"/>
          <w:kern w:val="0"/>
          <w:sz w:val="32"/>
          <w:szCs w:val="32"/>
          <w:lang w:val="en-US" w:eastAsia="zh-CN"/>
        </w:rPr>
        <w:t>3、负责山门水库、太青水库防汛抗旱、跨流域引水、灌区农田灌溉。</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宋体" w:hAnsi="宋体" w:eastAsia="宋体" w:cs="宋体"/>
          <w:color w:val="222222"/>
          <w:kern w:val="0"/>
          <w:sz w:val="32"/>
          <w:szCs w:val="32"/>
          <w:lang w:val="en-US" w:eastAsia="zh-CN"/>
        </w:rPr>
      </w:pPr>
      <w:r>
        <w:rPr>
          <w:rFonts w:hint="eastAsia" w:ascii="宋体" w:hAnsi="宋体" w:eastAsia="宋体" w:cs="宋体"/>
          <w:color w:val="222222"/>
          <w:kern w:val="0"/>
          <w:sz w:val="32"/>
          <w:szCs w:val="32"/>
          <w:lang w:val="en-US" w:eastAsia="zh-CN"/>
        </w:rPr>
        <w:t>4、负责辖区内水利工程管理、水政执法工作。</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宋体" w:hAnsi="宋体" w:eastAsia="宋体" w:cs="宋体"/>
          <w:color w:val="222222"/>
          <w:kern w:val="0"/>
          <w:sz w:val="32"/>
          <w:szCs w:val="32"/>
          <w:lang w:val="en-US" w:eastAsia="zh-CN"/>
        </w:rPr>
      </w:pPr>
      <w:r>
        <w:rPr>
          <w:rFonts w:hint="eastAsia" w:ascii="宋体" w:hAnsi="宋体" w:eastAsia="宋体" w:cs="宋体"/>
          <w:color w:val="222222"/>
          <w:kern w:val="0"/>
          <w:sz w:val="32"/>
          <w:szCs w:val="32"/>
          <w:lang w:val="en-US" w:eastAsia="zh-CN"/>
        </w:rPr>
        <w:t>5、负责山门电站、太青电站日常运行维护管理。</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宋体" w:hAnsi="宋体" w:eastAsia="宋体" w:cs="宋体"/>
          <w:color w:val="FF0000"/>
          <w:sz w:val="32"/>
          <w:szCs w:val="32"/>
        </w:rPr>
      </w:pPr>
      <w:r>
        <w:rPr>
          <w:rFonts w:hint="eastAsia" w:ascii="宋体" w:hAnsi="宋体" w:eastAsia="宋体" w:cs="宋体"/>
          <w:color w:val="222222"/>
          <w:kern w:val="0"/>
          <w:sz w:val="32"/>
          <w:szCs w:val="32"/>
          <w:lang w:val="en-US" w:eastAsia="zh-CN"/>
        </w:rPr>
        <w:t>6、负责灌区各项建设持续有效实施，提高服务管理水平，发展水利经济。</w:t>
      </w:r>
    </w:p>
    <w:p>
      <w:pPr>
        <w:widowControl/>
        <w:autoSpaceDE w:val="0"/>
        <w:ind w:firstLine="643" w:firstLineChars="200"/>
        <w:rPr>
          <w:rFonts w:hint="eastAsia" w:ascii="黑体" w:hAnsi="黑体" w:eastAsia="黑体" w:cs="黑体"/>
          <w:b/>
          <w:color w:val="222222"/>
          <w:kern w:val="0"/>
          <w:sz w:val="32"/>
          <w:szCs w:val="32"/>
        </w:rPr>
      </w:pPr>
      <w:r>
        <w:rPr>
          <w:rFonts w:hint="eastAsia" w:ascii="黑体" w:hAnsi="黑体" w:eastAsia="黑体" w:cs="黑体"/>
          <w:b/>
          <w:color w:val="222222"/>
          <w:kern w:val="0"/>
          <w:sz w:val="32"/>
          <w:szCs w:val="32"/>
        </w:rPr>
        <w:t>二、部门财务情况</w:t>
      </w:r>
    </w:p>
    <w:p>
      <w:pPr>
        <w:widowControl/>
        <w:autoSpaceDE w:val="0"/>
        <w:ind w:firstLine="643" w:firstLineChars="200"/>
        <w:rPr>
          <w:rFonts w:hint="eastAsia" w:ascii="楷体" w:hAnsi="楷体" w:eastAsia="楷体" w:cs="楷体"/>
          <w:b/>
          <w:bCs/>
          <w:color w:val="222222"/>
          <w:kern w:val="0"/>
          <w:sz w:val="32"/>
          <w:szCs w:val="32"/>
          <w:lang w:val="en-US" w:eastAsia="zh-CN" w:bidi="ar-SA"/>
        </w:rPr>
      </w:pPr>
      <w:r>
        <w:rPr>
          <w:rFonts w:hint="eastAsia" w:ascii="楷体" w:hAnsi="楷体" w:eastAsia="楷体" w:cs="楷体"/>
          <w:b/>
          <w:bCs/>
          <w:color w:val="222222"/>
          <w:kern w:val="0"/>
          <w:sz w:val="32"/>
          <w:szCs w:val="32"/>
          <w:lang w:val="en-US" w:eastAsia="zh-CN" w:bidi="ar-SA"/>
        </w:rPr>
        <w:t>（一）部门整体支出情况</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宋体" w:hAnsi="宋体" w:eastAsia="宋体" w:cs="宋体"/>
          <w:color w:val="222222"/>
          <w:kern w:val="0"/>
          <w:sz w:val="32"/>
          <w:szCs w:val="32"/>
        </w:rPr>
      </w:pPr>
      <w:r>
        <w:rPr>
          <w:rFonts w:hint="eastAsia" w:ascii="宋体" w:hAnsi="宋体" w:eastAsia="宋体" w:cs="宋体"/>
          <w:color w:val="222222"/>
          <w:kern w:val="0"/>
          <w:sz w:val="32"/>
          <w:szCs w:val="32"/>
          <w:lang w:val="en-US" w:eastAsia="zh-CN"/>
        </w:rPr>
        <w:t>2020年度</w:t>
      </w:r>
      <w:r>
        <w:rPr>
          <w:rFonts w:hint="eastAsia" w:ascii="宋体" w:hAnsi="宋体" w:eastAsia="宋体" w:cs="宋体"/>
          <w:color w:val="222222"/>
          <w:kern w:val="0"/>
          <w:sz w:val="32"/>
          <w:szCs w:val="32"/>
        </w:rPr>
        <w:t>部门整体收入</w:t>
      </w:r>
      <w:r>
        <w:rPr>
          <w:rFonts w:hint="eastAsia" w:ascii="宋体" w:hAnsi="宋体" w:eastAsia="宋体" w:cs="宋体"/>
          <w:color w:val="222222"/>
          <w:kern w:val="0"/>
          <w:sz w:val="32"/>
          <w:szCs w:val="32"/>
          <w:lang w:val="en-US" w:eastAsia="zh-CN"/>
        </w:rPr>
        <w:t>644.31</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val="en-US" w:eastAsia="zh-CN"/>
        </w:rPr>
        <w:t>(含结转结余）</w:t>
      </w:r>
      <w:r>
        <w:rPr>
          <w:rFonts w:hint="eastAsia" w:ascii="宋体" w:hAnsi="宋体" w:eastAsia="宋体" w:cs="宋体"/>
          <w:color w:val="222222"/>
          <w:kern w:val="0"/>
          <w:sz w:val="32"/>
          <w:szCs w:val="32"/>
        </w:rPr>
        <w:t>，其中：一般公共预算拨款</w:t>
      </w:r>
      <w:r>
        <w:rPr>
          <w:rFonts w:hint="eastAsia" w:ascii="宋体" w:hAnsi="宋体" w:eastAsia="宋体" w:cs="宋体"/>
          <w:color w:val="222222"/>
          <w:kern w:val="0"/>
          <w:sz w:val="32"/>
          <w:szCs w:val="32"/>
          <w:lang w:val="en-US" w:eastAsia="zh-CN"/>
        </w:rPr>
        <w:t>511.44</w:t>
      </w:r>
      <w:r>
        <w:rPr>
          <w:rFonts w:hint="eastAsia" w:ascii="宋体" w:hAnsi="宋体" w:eastAsia="宋体" w:cs="宋体"/>
          <w:color w:val="222222"/>
          <w:kern w:val="0"/>
          <w:sz w:val="32"/>
          <w:szCs w:val="32"/>
        </w:rPr>
        <w:t>万元，政府性基金预算拨款</w:t>
      </w:r>
      <w:r>
        <w:rPr>
          <w:rFonts w:hint="eastAsia" w:ascii="宋体" w:hAnsi="宋体" w:eastAsia="宋体" w:cs="宋体"/>
          <w:color w:val="222222"/>
          <w:kern w:val="0"/>
          <w:sz w:val="32"/>
          <w:szCs w:val="32"/>
          <w:lang w:val="en-US" w:eastAsia="zh-CN"/>
        </w:rPr>
        <w:t>8.00</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，事业收入</w:t>
      </w:r>
      <w:r>
        <w:rPr>
          <w:rFonts w:hint="eastAsia" w:ascii="宋体" w:hAnsi="宋体" w:eastAsia="宋体" w:cs="宋体"/>
          <w:color w:val="222222"/>
          <w:kern w:val="0"/>
          <w:sz w:val="32"/>
          <w:szCs w:val="32"/>
          <w:lang w:val="en-US" w:eastAsia="zh-CN"/>
        </w:rPr>
        <w:t>90.35万元，</w:t>
      </w:r>
      <w:r>
        <w:rPr>
          <w:rFonts w:hint="eastAsia" w:ascii="宋体" w:hAnsi="宋体" w:eastAsia="宋体" w:cs="宋体"/>
          <w:color w:val="222222"/>
          <w:kern w:val="0"/>
          <w:sz w:val="32"/>
          <w:szCs w:val="32"/>
          <w:lang w:eastAsia="zh-CN"/>
        </w:rPr>
        <w:t>上年结转</w:t>
      </w:r>
      <w:r>
        <w:rPr>
          <w:rFonts w:hint="eastAsia" w:ascii="宋体" w:hAnsi="宋体" w:eastAsia="宋体" w:cs="宋体"/>
          <w:color w:val="222222"/>
          <w:kern w:val="0"/>
          <w:sz w:val="32"/>
          <w:szCs w:val="32"/>
          <w:lang w:val="en-US" w:eastAsia="zh-CN"/>
        </w:rPr>
        <w:t>34.52万元</w:t>
      </w:r>
      <w:r>
        <w:rPr>
          <w:rFonts w:hint="eastAsia" w:ascii="宋体" w:hAnsi="宋体" w:eastAsia="宋体" w:cs="宋体"/>
          <w:color w:val="222222"/>
          <w:kern w:val="0"/>
          <w:sz w:val="32"/>
          <w:szCs w:val="32"/>
        </w:rPr>
        <w:t>。部门整体支出</w:t>
      </w:r>
      <w:r>
        <w:rPr>
          <w:rFonts w:hint="eastAsia" w:ascii="宋体" w:hAnsi="宋体" w:eastAsia="宋体" w:cs="宋体"/>
          <w:color w:val="222222"/>
          <w:kern w:val="0"/>
          <w:sz w:val="32"/>
          <w:szCs w:val="32"/>
          <w:lang w:val="en-US" w:eastAsia="zh-CN"/>
        </w:rPr>
        <w:t>635.31</w:t>
      </w:r>
      <w:r>
        <w:rPr>
          <w:rFonts w:hint="eastAsia" w:ascii="宋体" w:hAnsi="宋体" w:eastAsia="宋体" w:cs="宋体"/>
          <w:color w:val="222222"/>
          <w:kern w:val="0"/>
          <w:sz w:val="32"/>
          <w:szCs w:val="32"/>
        </w:rPr>
        <w:t>万元，其中：基本支出</w:t>
      </w:r>
      <w:r>
        <w:rPr>
          <w:rFonts w:hint="eastAsia" w:ascii="宋体" w:hAnsi="宋体" w:eastAsia="宋体" w:cs="宋体"/>
          <w:color w:val="222222"/>
          <w:kern w:val="0"/>
          <w:sz w:val="32"/>
          <w:szCs w:val="32"/>
          <w:lang w:val="en-US" w:eastAsia="zh-CN"/>
        </w:rPr>
        <w:t>605.81</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（其中：人员经费</w:t>
      </w:r>
      <w:r>
        <w:rPr>
          <w:rFonts w:hint="eastAsia" w:ascii="宋体" w:hAnsi="宋体" w:eastAsia="宋体" w:cs="宋体"/>
          <w:color w:val="222222"/>
          <w:kern w:val="0"/>
          <w:sz w:val="32"/>
          <w:szCs w:val="32"/>
          <w:lang w:val="en-US" w:eastAsia="zh-CN"/>
        </w:rPr>
        <w:t>442.70万元，公用经费163.11万元）</w:t>
      </w:r>
      <w:r>
        <w:rPr>
          <w:rFonts w:hint="eastAsia" w:ascii="宋体" w:hAnsi="宋体" w:eastAsia="宋体" w:cs="宋体"/>
          <w:color w:val="222222"/>
          <w:kern w:val="0"/>
          <w:sz w:val="32"/>
          <w:szCs w:val="32"/>
        </w:rPr>
        <w:t>，项目支出</w:t>
      </w:r>
      <w:r>
        <w:rPr>
          <w:rFonts w:hint="eastAsia" w:ascii="宋体" w:hAnsi="宋体" w:eastAsia="宋体" w:cs="宋体"/>
          <w:color w:val="222222"/>
          <w:kern w:val="0"/>
          <w:sz w:val="32"/>
          <w:szCs w:val="32"/>
          <w:lang w:val="en-US" w:eastAsia="zh-CN"/>
        </w:rPr>
        <w:t>29.50</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；本年结余</w:t>
      </w:r>
      <w:r>
        <w:rPr>
          <w:rFonts w:hint="eastAsia" w:ascii="宋体" w:hAnsi="宋体" w:eastAsia="宋体" w:cs="宋体"/>
          <w:color w:val="222222"/>
          <w:kern w:val="0"/>
          <w:sz w:val="32"/>
          <w:szCs w:val="32"/>
          <w:lang w:val="en-US" w:eastAsia="zh-CN"/>
        </w:rPr>
        <w:t>9.00万元</w:t>
      </w:r>
      <w:r>
        <w:rPr>
          <w:rFonts w:hint="eastAsia" w:ascii="宋体" w:hAnsi="宋体" w:eastAsia="宋体" w:cs="宋体"/>
          <w:color w:val="222222"/>
          <w:kern w:val="0"/>
          <w:sz w:val="32"/>
          <w:szCs w:val="32"/>
        </w:rPr>
        <w:t>。</w:t>
      </w:r>
    </w:p>
    <w:p>
      <w:pPr>
        <w:keepNext w:val="0"/>
        <w:keepLines w:val="0"/>
        <w:pageBreakBefore w:val="0"/>
        <w:kinsoku/>
        <w:wordWrap/>
        <w:overflowPunct/>
        <w:topLinePunct w:val="0"/>
        <w:autoSpaceDN/>
        <w:bidi w:val="0"/>
        <w:adjustRightInd/>
        <w:snapToGrid/>
        <w:ind w:firstLine="640" w:firstLineChars="200"/>
        <w:textAlignment w:val="auto"/>
        <w:rPr>
          <w:rFonts w:hint="eastAsia" w:ascii="宋体" w:hAnsi="宋体" w:eastAsia="宋体" w:cs="宋体"/>
          <w:color w:val="222222"/>
          <w:kern w:val="0"/>
          <w:sz w:val="32"/>
          <w:szCs w:val="32"/>
          <w:lang w:val="en-US" w:eastAsia="zh-CN"/>
        </w:rPr>
      </w:pPr>
      <w:r>
        <w:rPr>
          <w:rFonts w:hint="eastAsia" w:ascii="宋体" w:hAnsi="宋体" w:eastAsia="宋体" w:cs="宋体"/>
          <w:color w:val="222222"/>
          <w:kern w:val="0"/>
          <w:sz w:val="32"/>
          <w:szCs w:val="32"/>
          <w:lang w:val="en-US" w:eastAsia="zh-CN"/>
        </w:rPr>
        <w:t>2020年支出按经济分类主要包括：工资福利支出436.20万元，商品和服务支出192.61万元，对个人和家庭的补助支出6.50万元。</w:t>
      </w:r>
    </w:p>
    <w:p>
      <w:pPr>
        <w:ind w:firstLine="643" w:firstLineChars="200"/>
        <w:rPr>
          <w:rFonts w:ascii="宋体" w:cs="宋体"/>
          <w:color w:val="222222"/>
          <w:kern w:val="0"/>
          <w:szCs w:val="21"/>
        </w:rPr>
      </w:pPr>
      <w:r>
        <w:rPr>
          <w:rFonts w:hint="eastAsia" w:ascii="楷体" w:hAnsi="楷体" w:eastAsia="楷体" w:cs="楷体"/>
          <w:b/>
          <w:bCs/>
          <w:color w:val="222222"/>
          <w:kern w:val="0"/>
          <w:sz w:val="32"/>
          <w:szCs w:val="32"/>
        </w:rPr>
        <w:t>（二）部门预算收支决算情况</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宋体" w:hAnsi="宋体" w:eastAsia="宋体" w:cs="宋体"/>
          <w:color w:val="222222"/>
          <w:kern w:val="0"/>
          <w:sz w:val="32"/>
          <w:szCs w:val="32"/>
          <w:lang w:val="en-US" w:eastAsia="zh-CN"/>
        </w:rPr>
      </w:pPr>
      <w:r>
        <w:rPr>
          <w:rFonts w:hint="eastAsia" w:ascii="宋体" w:hAnsi="宋体" w:eastAsia="宋体" w:cs="宋体"/>
          <w:color w:val="222222"/>
          <w:kern w:val="0"/>
          <w:sz w:val="32"/>
          <w:szCs w:val="32"/>
        </w:rPr>
        <w:t>部门预算收入</w:t>
      </w:r>
      <w:r>
        <w:rPr>
          <w:rFonts w:hint="eastAsia" w:ascii="宋体" w:hAnsi="宋体" w:eastAsia="宋体" w:cs="宋体"/>
          <w:color w:val="222222"/>
          <w:kern w:val="0"/>
          <w:sz w:val="32"/>
          <w:szCs w:val="32"/>
          <w:lang w:val="en-US" w:eastAsia="zh-CN"/>
        </w:rPr>
        <w:t>510.88</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（含上年结转结余）</w:t>
      </w:r>
      <w:r>
        <w:rPr>
          <w:rFonts w:hint="eastAsia" w:ascii="宋体" w:hAnsi="宋体" w:eastAsia="宋体" w:cs="宋体"/>
          <w:color w:val="222222"/>
          <w:kern w:val="0"/>
          <w:sz w:val="32"/>
          <w:szCs w:val="32"/>
        </w:rPr>
        <w:t>，决算</w:t>
      </w:r>
      <w:r>
        <w:rPr>
          <w:rFonts w:hint="eastAsia" w:ascii="宋体" w:hAnsi="宋体" w:eastAsia="宋体" w:cs="宋体"/>
          <w:color w:val="222222"/>
          <w:kern w:val="0"/>
          <w:sz w:val="32"/>
          <w:szCs w:val="32"/>
          <w:lang w:val="en-US" w:eastAsia="zh-CN"/>
        </w:rPr>
        <w:t>644.31</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val="en-US" w:eastAsia="zh-CN"/>
        </w:rPr>
        <w:t>(含结转结余）</w:t>
      </w:r>
      <w:r>
        <w:rPr>
          <w:rFonts w:hint="eastAsia" w:ascii="宋体" w:hAnsi="宋体" w:eastAsia="宋体" w:cs="宋体"/>
          <w:color w:val="222222"/>
          <w:kern w:val="0"/>
          <w:sz w:val="32"/>
          <w:szCs w:val="32"/>
        </w:rPr>
        <w:t>。预算</w:t>
      </w:r>
      <w:r>
        <w:rPr>
          <w:rFonts w:hint="eastAsia" w:ascii="宋体" w:hAnsi="宋体" w:eastAsia="宋体" w:cs="宋体"/>
          <w:color w:val="222222"/>
          <w:kern w:val="0"/>
          <w:sz w:val="32"/>
          <w:szCs w:val="32"/>
          <w:lang w:eastAsia="zh-CN"/>
        </w:rPr>
        <w:t>支出</w:t>
      </w:r>
      <w:r>
        <w:rPr>
          <w:rFonts w:hint="eastAsia" w:ascii="宋体" w:hAnsi="宋体" w:eastAsia="宋体" w:cs="宋体"/>
          <w:color w:val="222222"/>
          <w:kern w:val="0"/>
          <w:sz w:val="32"/>
          <w:szCs w:val="32"/>
          <w:lang w:val="en-US" w:eastAsia="zh-CN"/>
        </w:rPr>
        <w:t>510.88</w:t>
      </w:r>
      <w:r>
        <w:rPr>
          <w:rFonts w:hint="eastAsia" w:ascii="宋体" w:hAnsi="宋体" w:eastAsia="宋体" w:cs="宋体"/>
          <w:color w:val="222222"/>
          <w:kern w:val="0"/>
          <w:sz w:val="32"/>
          <w:szCs w:val="32"/>
        </w:rPr>
        <w:t>万元，决算</w:t>
      </w:r>
      <w:r>
        <w:rPr>
          <w:rFonts w:hint="eastAsia" w:ascii="宋体" w:hAnsi="宋体" w:eastAsia="宋体" w:cs="宋体"/>
          <w:color w:val="222222"/>
          <w:kern w:val="0"/>
          <w:sz w:val="32"/>
          <w:szCs w:val="32"/>
          <w:lang w:val="en-US" w:eastAsia="zh-CN"/>
        </w:rPr>
        <w:t>635.31</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年末结转</w:t>
      </w:r>
      <w:r>
        <w:rPr>
          <w:rFonts w:hint="eastAsia" w:ascii="宋体" w:hAnsi="宋体" w:eastAsia="宋体" w:cs="宋体"/>
          <w:color w:val="222222"/>
          <w:kern w:val="0"/>
          <w:sz w:val="32"/>
          <w:szCs w:val="32"/>
          <w:lang w:val="en-US" w:eastAsia="zh-CN"/>
        </w:rPr>
        <w:t>9.00万元。</w:t>
      </w:r>
      <w:r>
        <w:rPr>
          <w:rFonts w:hint="eastAsia" w:ascii="宋体" w:hAnsi="宋体" w:eastAsia="宋体" w:cs="宋体"/>
          <w:color w:val="222222"/>
          <w:kern w:val="0"/>
          <w:sz w:val="32"/>
          <w:szCs w:val="32"/>
          <w:lang w:eastAsia="zh-CN"/>
        </w:rPr>
        <w:t>预算收支的预、决算相差较大，主要原因是年中工资晋级晋档、年终绩效奖励、追加预算用于库堤坝维护</w:t>
      </w:r>
      <w:r>
        <w:rPr>
          <w:rFonts w:hint="eastAsia" w:ascii="宋体" w:hAnsi="宋体" w:eastAsia="宋体" w:cs="宋体"/>
          <w:color w:val="222222"/>
          <w:kern w:val="0"/>
          <w:sz w:val="32"/>
          <w:szCs w:val="32"/>
          <w:lang w:val="en-US" w:eastAsia="zh-CN"/>
        </w:rPr>
        <w:t>。</w:t>
      </w:r>
    </w:p>
    <w:p>
      <w:pPr>
        <w:widowControl/>
        <w:autoSpaceDE w:val="0"/>
        <w:ind w:firstLine="643" w:firstLineChars="200"/>
        <w:rPr>
          <w:rFonts w:hint="eastAsia" w:ascii="楷体" w:hAnsi="楷体" w:eastAsia="楷体" w:cs="楷体"/>
          <w:b/>
          <w:bCs/>
          <w:color w:val="222222"/>
          <w:kern w:val="0"/>
          <w:sz w:val="32"/>
          <w:szCs w:val="32"/>
        </w:rPr>
      </w:pPr>
      <w:r>
        <w:rPr>
          <w:rFonts w:hint="eastAsia" w:ascii="楷体" w:hAnsi="楷体" w:eastAsia="楷体" w:cs="楷体"/>
          <w:b/>
          <w:bCs/>
          <w:color w:val="222222"/>
          <w:kern w:val="0"/>
          <w:sz w:val="32"/>
          <w:szCs w:val="32"/>
        </w:rPr>
        <w:t>（</w:t>
      </w:r>
      <w:r>
        <w:rPr>
          <w:rFonts w:hint="eastAsia" w:ascii="楷体" w:hAnsi="楷体" w:eastAsia="楷体" w:cs="楷体"/>
          <w:b/>
          <w:bCs/>
          <w:color w:val="222222"/>
          <w:kern w:val="0"/>
          <w:sz w:val="32"/>
          <w:szCs w:val="32"/>
          <w:lang w:eastAsia="zh-CN"/>
        </w:rPr>
        <w:t>三</w:t>
      </w:r>
      <w:r>
        <w:rPr>
          <w:rFonts w:hint="eastAsia" w:ascii="楷体" w:hAnsi="楷体" w:eastAsia="楷体" w:cs="楷体"/>
          <w:b/>
          <w:bCs/>
          <w:color w:val="222222"/>
          <w:kern w:val="0"/>
          <w:sz w:val="32"/>
          <w:szCs w:val="32"/>
        </w:rPr>
        <w:t>）“三公经费”支出使用和管理情况</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ascii="仿宋" w:hAnsi="仿宋" w:eastAsia="仿宋" w:cs="仿宋"/>
          <w:color w:val="222222"/>
          <w:kern w:val="0"/>
          <w:sz w:val="32"/>
          <w:szCs w:val="32"/>
        </w:rPr>
      </w:pPr>
      <w:r>
        <w:rPr>
          <w:rFonts w:hint="eastAsia" w:ascii="宋体" w:hAnsi="宋体" w:eastAsia="宋体" w:cs="宋体"/>
          <w:color w:val="222222"/>
          <w:kern w:val="0"/>
          <w:sz w:val="32"/>
          <w:szCs w:val="32"/>
        </w:rPr>
        <w:t>20</w:t>
      </w:r>
      <w:r>
        <w:rPr>
          <w:rFonts w:hint="eastAsia" w:ascii="宋体" w:hAnsi="宋体" w:eastAsia="宋体" w:cs="宋体"/>
          <w:color w:val="222222"/>
          <w:kern w:val="0"/>
          <w:sz w:val="32"/>
          <w:szCs w:val="32"/>
          <w:lang w:val="en-US" w:eastAsia="zh-CN"/>
        </w:rPr>
        <w:t>20</w:t>
      </w:r>
      <w:r>
        <w:rPr>
          <w:rFonts w:hint="eastAsia" w:ascii="宋体" w:hAnsi="宋体" w:eastAsia="宋体" w:cs="宋体"/>
          <w:color w:val="222222"/>
          <w:kern w:val="0"/>
          <w:sz w:val="32"/>
          <w:szCs w:val="32"/>
        </w:rPr>
        <w:t>年“三公”经费支出</w:t>
      </w:r>
      <w:r>
        <w:rPr>
          <w:rFonts w:hint="eastAsia" w:ascii="宋体" w:hAnsi="宋体" w:eastAsia="宋体" w:cs="宋体"/>
          <w:color w:val="222222"/>
          <w:kern w:val="0"/>
          <w:sz w:val="32"/>
          <w:szCs w:val="32"/>
          <w:lang w:val="en-US" w:eastAsia="zh-CN"/>
        </w:rPr>
        <w:t>6.17</w:t>
      </w:r>
      <w:r>
        <w:rPr>
          <w:rFonts w:hint="eastAsia" w:ascii="宋体" w:hAnsi="宋体" w:eastAsia="宋体" w:cs="宋体"/>
          <w:color w:val="222222"/>
          <w:kern w:val="0"/>
          <w:sz w:val="32"/>
          <w:szCs w:val="32"/>
        </w:rPr>
        <w:t>万元，年初预算</w:t>
      </w:r>
      <w:r>
        <w:rPr>
          <w:rFonts w:hint="eastAsia" w:ascii="宋体" w:hAnsi="宋体" w:eastAsia="宋体" w:cs="宋体"/>
          <w:color w:val="222222"/>
          <w:kern w:val="0"/>
          <w:sz w:val="32"/>
          <w:szCs w:val="32"/>
          <w:lang w:val="en-US" w:eastAsia="zh-CN"/>
        </w:rPr>
        <w:t>6.30</w:t>
      </w:r>
      <w:r>
        <w:rPr>
          <w:rFonts w:hint="eastAsia" w:ascii="宋体" w:hAnsi="宋体" w:eastAsia="宋体" w:cs="宋体"/>
          <w:color w:val="222222"/>
          <w:kern w:val="0"/>
          <w:sz w:val="32"/>
          <w:szCs w:val="32"/>
        </w:rPr>
        <w:t>万元，</w:t>
      </w:r>
      <w:r>
        <w:rPr>
          <w:rFonts w:hint="eastAsia" w:ascii="宋体" w:hAnsi="宋体" w:eastAsia="宋体" w:cs="宋体"/>
          <w:color w:val="222222"/>
          <w:kern w:val="0"/>
          <w:sz w:val="32"/>
          <w:szCs w:val="32"/>
          <w:lang w:eastAsia="zh-CN"/>
        </w:rPr>
        <w:t>节约了</w:t>
      </w:r>
      <w:r>
        <w:rPr>
          <w:rFonts w:hint="eastAsia" w:ascii="宋体" w:hAnsi="宋体" w:eastAsia="宋体" w:cs="宋体"/>
          <w:color w:val="222222"/>
          <w:kern w:val="0"/>
          <w:sz w:val="32"/>
          <w:szCs w:val="32"/>
          <w:lang w:val="en-US" w:eastAsia="zh-CN"/>
        </w:rPr>
        <w:t>2.06</w:t>
      </w:r>
      <w:r>
        <w:rPr>
          <w:rFonts w:hint="eastAsia" w:ascii="宋体" w:hAnsi="宋体" w:eastAsia="宋体" w:cs="宋体"/>
          <w:color w:val="222222"/>
          <w:kern w:val="0"/>
          <w:sz w:val="32"/>
          <w:szCs w:val="32"/>
        </w:rPr>
        <w:t>%。其中：因公出国（境）费0万元</w:t>
      </w:r>
      <w:r>
        <w:rPr>
          <w:rFonts w:hint="eastAsia" w:ascii="宋体" w:hAnsi="宋体" w:eastAsia="宋体" w:cs="宋体"/>
          <w:color w:val="222222"/>
          <w:kern w:val="0"/>
          <w:sz w:val="32"/>
          <w:szCs w:val="32"/>
          <w:lang w:eastAsia="zh-CN"/>
        </w:rPr>
        <w:t>，</w:t>
      </w:r>
      <w:r>
        <w:rPr>
          <w:rFonts w:hint="eastAsia" w:ascii="宋体" w:hAnsi="宋体" w:eastAsia="宋体" w:cs="宋体"/>
          <w:color w:val="222222"/>
          <w:kern w:val="0"/>
          <w:sz w:val="32"/>
          <w:szCs w:val="32"/>
        </w:rPr>
        <w:t>公务用车购置及运行维护费（公务用车运行维护费）</w:t>
      </w:r>
      <w:r>
        <w:rPr>
          <w:rFonts w:hint="eastAsia" w:ascii="宋体" w:hAnsi="宋体" w:eastAsia="宋体" w:cs="宋体"/>
          <w:color w:val="222222"/>
          <w:kern w:val="0"/>
          <w:sz w:val="32"/>
          <w:szCs w:val="32"/>
          <w:lang w:val="en-US" w:eastAsia="zh-CN"/>
        </w:rPr>
        <w:t>3.50</w:t>
      </w:r>
      <w:r>
        <w:rPr>
          <w:rFonts w:hint="eastAsia" w:ascii="宋体" w:hAnsi="宋体" w:eastAsia="宋体" w:cs="宋体"/>
          <w:color w:val="222222"/>
          <w:kern w:val="0"/>
          <w:sz w:val="32"/>
          <w:szCs w:val="32"/>
        </w:rPr>
        <w:t>万元，公务接待费</w:t>
      </w:r>
      <w:r>
        <w:rPr>
          <w:rFonts w:hint="eastAsia" w:ascii="宋体" w:hAnsi="宋体" w:eastAsia="宋体" w:cs="宋体"/>
          <w:color w:val="222222"/>
          <w:kern w:val="0"/>
          <w:sz w:val="32"/>
          <w:szCs w:val="32"/>
          <w:lang w:val="en-US" w:eastAsia="zh-CN"/>
        </w:rPr>
        <w:t>2.67</w:t>
      </w:r>
      <w:r>
        <w:rPr>
          <w:rFonts w:hint="eastAsia" w:ascii="宋体" w:hAnsi="宋体" w:eastAsia="宋体" w:cs="宋体"/>
          <w:color w:val="222222"/>
          <w:kern w:val="0"/>
          <w:sz w:val="32"/>
          <w:szCs w:val="32"/>
        </w:rPr>
        <w:t>万元。</w:t>
      </w:r>
    </w:p>
    <w:p>
      <w:pPr>
        <w:ind w:firstLine="630"/>
        <w:rPr>
          <w:rFonts w:ascii="黑体" w:hAnsi="黑体" w:eastAsia="黑体"/>
          <w:sz w:val="32"/>
          <w:szCs w:val="32"/>
        </w:rPr>
      </w:pPr>
      <w:r>
        <w:rPr>
          <w:rFonts w:hint="eastAsia" w:ascii="黑体" w:hAnsi="黑体" w:eastAsia="黑体" w:cs="黑体"/>
          <w:b/>
          <w:color w:val="222222"/>
          <w:kern w:val="0"/>
          <w:sz w:val="32"/>
          <w:szCs w:val="32"/>
        </w:rPr>
        <w:t>三、部门绩效目标</w:t>
      </w:r>
    </w:p>
    <w:p>
      <w:pPr>
        <w:ind w:firstLine="630"/>
        <w:rPr>
          <w:rFonts w:ascii="仿宋" w:hAnsi="仿宋" w:eastAsia="仿宋"/>
          <w:b/>
          <w:sz w:val="32"/>
          <w:szCs w:val="32"/>
        </w:rPr>
      </w:pPr>
      <w:r>
        <w:rPr>
          <w:rFonts w:hint="eastAsia" w:ascii="楷体" w:hAnsi="楷体" w:eastAsia="楷体" w:cs="楷体"/>
          <w:b/>
          <w:bCs/>
          <w:color w:val="222222"/>
          <w:kern w:val="0"/>
          <w:sz w:val="32"/>
          <w:szCs w:val="32"/>
        </w:rPr>
        <w:t>（一）部门绩效总目标</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FF0000"/>
          <w:kern w:val="0"/>
          <w:sz w:val="32"/>
          <w:szCs w:val="32"/>
        </w:rPr>
      </w:pPr>
      <w:r>
        <w:rPr>
          <w:rFonts w:hint="eastAsia" w:ascii="宋体" w:hAnsi="宋体" w:eastAsia="宋体" w:cs="宋体"/>
          <w:kern w:val="0"/>
          <w:sz w:val="32"/>
          <w:szCs w:val="32"/>
        </w:rPr>
        <w:t>搞好水库内设备设施的日常运行管理与维护，确保各设备设施能安全正常运行；根据雨情情况，科学调度，确保山门、太青两库两干的安全运行；确保灌区9.02万亩农田的有效灌溉，搞好太青水库到山门水库跨流域引水工作；饮用水源水质保护，依法严格执法，确保单位财政收支基本平衡和干部职工待遇基本兑现。</w:t>
      </w:r>
    </w:p>
    <w:p>
      <w:pPr>
        <w:ind w:firstLine="630"/>
        <w:rPr>
          <w:rFonts w:ascii="仿宋" w:hAnsi="仿宋" w:eastAsia="仿宋"/>
          <w:b/>
          <w:sz w:val="32"/>
          <w:szCs w:val="32"/>
        </w:rPr>
      </w:pPr>
      <w:r>
        <w:rPr>
          <w:rFonts w:hint="eastAsia" w:ascii="楷体" w:hAnsi="楷体" w:eastAsia="楷体" w:cs="楷体"/>
          <w:b/>
          <w:bCs/>
          <w:color w:val="222222"/>
          <w:kern w:val="0"/>
          <w:sz w:val="32"/>
          <w:szCs w:val="32"/>
        </w:rPr>
        <w:t>（二）2020年度部门绩效目标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1、产出指表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（1）数量指标：防汛抗旱，水资源保护，水政执法，安全渡汛，9.2万亩农田灌溉，饮用水Ⅲ类及以上。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（2）质量指标：两座水库大坝安全，主干渠52公里，支干渠30公里畅通。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（3）时效指标：4月至9月汛期安全，水政执法常态化。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（4）成本指标：按财政核定我单位预算数支出人员经费和公用经费严格控制在预算之内；从严控制“三公”经费支出，节约运行成本。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2、效益指标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（1）社会效益指标：安全渡汛，农田灌溉85%以上，饮用水质达标100%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（2）生态效益指标：水质保护，达到Ⅲ类及以上。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（3）可持续影响指标：防汛抗旱制度不断完善，保障机构正常运转。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（4）满意度指标：防汛主管部门满意度98%，单位满意度100%，排区百姓对排涝工作满意度98%。</w:t>
      </w:r>
    </w:p>
    <w:p>
      <w:pPr>
        <w:widowControl/>
        <w:numPr>
          <w:ilvl w:val="0"/>
          <w:numId w:val="1"/>
        </w:numPr>
        <w:autoSpaceDE w:val="0"/>
        <w:ind w:firstLine="643" w:firstLineChars="200"/>
        <w:rPr>
          <w:rFonts w:hint="eastAsia" w:ascii="黑体" w:hAnsi="黑体" w:eastAsia="黑体" w:cs="黑体"/>
          <w:b/>
          <w:color w:val="222222"/>
          <w:kern w:val="0"/>
          <w:sz w:val="32"/>
          <w:szCs w:val="32"/>
        </w:rPr>
      </w:pPr>
      <w:r>
        <w:rPr>
          <w:rFonts w:hint="eastAsia" w:ascii="黑体" w:hAnsi="黑体" w:eastAsia="黑体" w:cs="黑体"/>
          <w:b/>
          <w:color w:val="222222"/>
          <w:kern w:val="0"/>
          <w:sz w:val="32"/>
          <w:szCs w:val="32"/>
        </w:rPr>
        <w:t>绩效评价工作情况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1、严格落实《预算法》及上级绩效管理的有关规定 ，进一步规范财政资金的管理，强化财政支出绩效理念，提高资金使用效益，促进水库事业的发展。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2、根据绩效评价的要求，我处高度重视，成立了自评工作领导小组，积极开展绩效自评工作，按照绩效管理目标要求对照各实施项目的内容逐条逐项自评。在自评过程中，查找原因，及时纠正偏差，为下一步工作夯实基础。</w:t>
      </w:r>
    </w:p>
    <w:p>
      <w:pPr>
        <w:widowControl/>
        <w:numPr>
          <w:ilvl w:val="0"/>
          <w:numId w:val="1"/>
        </w:numPr>
        <w:autoSpaceDE w:val="0"/>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综合评价结果</w:t>
      </w:r>
    </w:p>
    <w:p>
      <w:pPr>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按部门整体支出绩效评价指标从投入、过程、产出及效率方面细化评分：综合评价得分92分。</w:t>
      </w:r>
    </w:p>
    <w:p>
      <w:pPr>
        <w:ind w:firstLine="643" w:firstLineChars="200"/>
        <w:rPr>
          <w:rFonts w:ascii="黑体" w:hAnsi="黑体" w:eastAsia="黑体" w:cs="宋体"/>
          <w:kern w:val="0"/>
          <w:sz w:val="32"/>
          <w:szCs w:val="32"/>
        </w:rPr>
      </w:pPr>
      <w:r>
        <w:rPr>
          <w:rFonts w:hint="eastAsia" w:ascii="黑体" w:hAnsi="黑体" w:eastAsia="黑体" w:cs="黑体"/>
          <w:b/>
          <w:color w:val="000000"/>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2020年，为贯彻落实县委经济工作会议及县委全会精神，我单位紧扣县委县</w:t>
      </w:r>
      <w:bookmarkStart w:id="0" w:name="_GoBack"/>
      <w:bookmarkEnd w:id="0"/>
      <w:r>
        <w:rPr>
          <w:rFonts w:hint="eastAsia" w:ascii="宋体" w:hAnsi="宋体" w:eastAsia="宋体" w:cs="宋体"/>
          <w:sz w:val="32"/>
          <w:szCs w:val="32"/>
          <w:lang w:val="en-US" w:eastAsia="zh-CN"/>
        </w:rPr>
        <w:t>政府工作要点，主动担责，积极作为，取得了较好的社会效率：大坝、枢纽及灌区渠道维护专项资金预算到项目，以作到节约高效使用；制定项目的使用计划，汛前养护，汛后维护及更新。进行山门太青水库主干渠及支渠的日常养护，大坝的日常养护，确保防汛抗旱工作的顺利。</w:t>
      </w:r>
      <w:r>
        <w:rPr>
          <w:rFonts w:hint="eastAsia" w:ascii="宋体" w:hAnsi="宋体" w:eastAsia="宋体" w:cs="宋体"/>
          <w:sz w:val="32"/>
          <w:szCs w:val="32"/>
        </w:rPr>
        <w:t xml:space="preserve"> </w:t>
      </w:r>
    </w:p>
    <w:p>
      <w:pPr>
        <w:widowControl/>
        <w:autoSpaceDE w:val="0"/>
        <w:ind w:firstLine="643" w:firstLineChars="200"/>
        <w:rPr>
          <w:rFonts w:hint="eastAsia" w:ascii="黑体" w:hAnsi="黑体" w:eastAsia="黑体" w:cs="黑体"/>
          <w:b/>
          <w:color w:val="222222"/>
          <w:kern w:val="0"/>
          <w:sz w:val="32"/>
          <w:szCs w:val="32"/>
        </w:rPr>
      </w:pPr>
      <w:r>
        <w:rPr>
          <w:rFonts w:hint="eastAsia" w:ascii="黑体" w:hAnsi="黑体" w:eastAsia="黑体" w:cs="黑体"/>
          <w:b/>
          <w:color w:val="222222"/>
          <w:kern w:val="0"/>
          <w:sz w:val="32"/>
          <w:szCs w:val="32"/>
        </w:rPr>
        <w:t>七、存在的主要问题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山门太青干渠线长面广，主干渠52公里，支渠30多公里，并且随时间的推移干渠设备设施不断老化，资金安排及人员编制受限，为了达到项目可持续性目标，还要从资金及人员的安排上不断调整，进一步加强管理，原来的预算项目资金21.5万元的基础上，远远不能满足设施设备的日常维修养护。</w:t>
      </w:r>
    </w:p>
    <w:p>
      <w:pPr>
        <w:ind w:firstLine="643" w:firstLineChars="200"/>
        <w:rPr>
          <w:rFonts w:ascii="黑体" w:hAnsi="黑体" w:eastAsia="黑体" w:cs="宋体"/>
          <w:kern w:val="0"/>
          <w:sz w:val="32"/>
          <w:szCs w:val="32"/>
        </w:rPr>
      </w:pPr>
      <w:r>
        <w:rPr>
          <w:rFonts w:hint="eastAsia" w:ascii="黑体" w:hAnsi="黑体" w:eastAsia="黑体" w:cs="黑体"/>
          <w:b/>
          <w:color w:val="000000"/>
          <w:sz w:val="32"/>
          <w:szCs w:val="32"/>
        </w:rPr>
        <w:t>八、有关建议</w:t>
      </w:r>
    </w:p>
    <w:p>
      <w:pPr>
        <w:keepNext w:val="0"/>
        <w:keepLines w:val="0"/>
        <w:pageBreakBefore w:val="0"/>
        <w:widowControl/>
        <w:kinsoku/>
        <w:wordWrap/>
        <w:overflowPunct/>
        <w:topLinePunct w:val="0"/>
        <w:autoSpaceDE w:val="0"/>
        <w:autoSpaceDN/>
        <w:bidi w:val="0"/>
        <w:adjustRightInd/>
        <w:snapToGrid/>
        <w:spacing w:line="240" w:lineRule="auto"/>
        <w:ind w:firstLine="640" w:firstLineChars="200"/>
        <w:textAlignment w:val="auto"/>
        <w:rPr>
          <w:rFonts w:hint="eastAsia" w:ascii="宋体" w:hAnsi="宋体" w:eastAsia="宋体" w:cs="宋体"/>
          <w:bCs/>
          <w:color w:val="000000"/>
          <w:sz w:val="32"/>
          <w:szCs w:val="32"/>
        </w:rPr>
      </w:pPr>
      <w:r>
        <w:rPr>
          <w:rFonts w:hint="eastAsia" w:ascii="宋体" w:hAnsi="宋体" w:eastAsia="宋体" w:cs="宋体"/>
          <w:bCs/>
          <w:color w:val="000000"/>
          <w:sz w:val="32"/>
          <w:szCs w:val="32"/>
        </w:rPr>
        <w:t>1、合理预算，要有前瞻性，及时和有关部门沟通协调，把工作做细致。</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bCs/>
          <w:color w:val="000000"/>
          <w:sz w:val="32"/>
          <w:szCs w:val="32"/>
          <w:lang w:val="en-US" w:eastAsia="zh-CN"/>
        </w:rPr>
        <w:t>2、严格按规定内容和时间节点进行预算公开。</w:t>
      </w:r>
    </w:p>
    <w:p>
      <w:pPr>
        <w:spacing w:line="600" w:lineRule="exact"/>
        <w:ind w:firstLine="640" w:firstLineChars="200"/>
        <w:rPr>
          <w:rFonts w:hint="eastAsia" w:ascii="仿宋_GB2312" w:hAnsi="仿宋" w:eastAsia="仿宋_GB2312" w:cs="Times New Roman"/>
          <w:sz w:val="32"/>
          <w:szCs w:val="32"/>
          <w:lang w:val="en-US" w:eastAsia="zh-CN"/>
        </w:rPr>
      </w:pPr>
    </w:p>
    <w:p>
      <w:pPr>
        <w:ind w:right="640" w:firstLine="640" w:firstLineChars="200"/>
        <w:jc w:val="right"/>
        <w:rPr>
          <w:rFonts w:ascii="仿宋" w:hAnsi="仿宋" w:eastAsia="仿宋" w:cs="宋体"/>
          <w:kern w:val="0"/>
          <w:sz w:val="32"/>
          <w:szCs w:val="32"/>
        </w:rPr>
      </w:pPr>
    </w:p>
    <w:p>
      <w:pPr>
        <w:ind w:right="640" w:firstLine="640" w:firstLineChars="200"/>
        <w:jc w:val="right"/>
        <w:rPr>
          <w:rFonts w:ascii="仿宋" w:hAnsi="仿宋" w:eastAsia="仿宋" w:cs="宋体"/>
          <w:kern w:val="0"/>
          <w:sz w:val="32"/>
          <w:szCs w:val="32"/>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ind w:firstLine="1807" w:firstLineChars="500"/>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jc w:val="center"/>
        <w:rPr>
          <w:rFonts w:asciiTheme="majorEastAsia" w:hAnsiTheme="majorEastAsia" w:eastAsiaTheme="majorEastAsia" w:cstheme="majorEastAsia"/>
          <w:b/>
          <w:bCs/>
          <w:kern w:val="0"/>
          <w:sz w:val="36"/>
          <w:szCs w:val="36"/>
        </w:rPr>
      </w:pPr>
    </w:p>
    <w:tbl>
      <w:tblPr>
        <w:tblStyle w:val="6"/>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ascii="Times New Roman" w:hAnsi="Times New Roman"/>
                <w:kern w:val="0"/>
                <w:sz w:val="24"/>
              </w:rPr>
              <w:t>3</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ascii="Times New Roman" w:hAnsi="Times New Roman"/>
                <w:kern w:val="0"/>
                <w:sz w:val="24"/>
              </w:rPr>
              <w:t>3</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ascii="Times New Roman" w:hAnsi="Times New Roman"/>
                <w:kern w:val="0"/>
                <w:sz w:val="24"/>
              </w:rPr>
              <w:t>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ascii="Times New Roman" w:hAnsi="Times New Roman"/>
                <w:kern w:val="0"/>
                <w:sz w:val="24"/>
              </w:rPr>
              <w:t>6</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ascii="Times New Roman" w:hAnsi="Times New Roman"/>
                <w:kern w:val="0"/>
                <w:sz w:val="24"/>
              </w:rPr>
              <w:t>5</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9</w:t>
            </w:r>
            <w:r>
              <w:rPr>
                <w:rFonts w:ascii="Times New Roman" w:hAnsi="Times New Roman"/>
                <w:kern w:val="0"/>
                <w:sz w:val="24"/>
              </w:rPr>
              <w:t>2</w:t>
            </w:r>
          </w:p>
        </w:tc>
      </w:tr>
    </w:tbl>
    <w:p>
      <w:pPr>
        <w:ind w:right="640" w:firstLine="640" w:firstLineChars="200"/>
        <w:jc w:val="right"/>
        <w:rPr>
          <w:rFonts w:ascii="仿宋" w:hAnsi="仿宋" w:eastAsia="仿宋" w:cs="宋体"/>
          <w:kern w:val="0"/>
          <w:sz w:val="32"/>
          <w:szCs w:val="32"/>
        </w:rPr>
      </w:pPr>
    </w:p>
    <w:p>
      <w:pPr>
        <w:ind w:firstLine="361" w:firstLineChars="100"/>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部门整体支出绩效评价基础数</w:t>
      </w:r>
    </w:p>
    <w:p>
      <w:pPr>
        <w:ind w:leftChars="-405" w:right="2804" w:hanging="849" w:hangingChars="354"/>
        <w:jc w:val="left"/>
        <w:rPr>
          <w:rFonts w:ascii="Times New Roman" w:hAnsi="Times New Roman" w:eastAsia="仿宋_GB2312"/>
          <w:kern w:val="0"/>
          <w:sz w:val="24"/>
        </w:rPr>
      </w:pPr>
    </w:p>
    <w:p>
      <w:pPr>
        <w:ind w:leftChars="-405" w:right="2804" w:hanging="849" w:hangingChars="354"/>
        <w:jc w:val="left"/>
        <w:rPr>
          <w:rFonts w:asciiTheme="majorEastAsia" w:hAnsiTheme="majorEastAsia" w:eastAsiaTheme="majorEastAsia" w:cstheme="majorEastAsia"/>
          <w:b/>
          <w:bCs/>
          <w:kern w:val="0"/>
          <w:sz w:val="36"/>
          <w:szCs w:val="36"/>
        </w:rPr>
      </w:pPr>
      <w:r>
        <w:rPr>
          <w:rFonts w:ascii="Times New Roman" w:hAnsi="Times New Roman" w:eastAsia="仿宋_GB2312"/>
          <w:kern w:val="0"/>
          <w:sz w:val="24"/>
        </w:rPr>
        <w:t>填报单位：</w:t>
      </w:r>
      <w:r>
        <w:rPr>
          <w:rFonts w:hint="eastAsia" w:ascii="Times New Roman" w:hAnsi="Times New Roman" w:eastAsia="仿宋_GB2312"/>
          <w:kern w:val="0"/>
          <w:sz w:val="24"/>
        </w:rPr>
        <w:t>澧县山门太青水库管理处</w:t>
      </w:r>
    </w:p>
    <w:tbl>
      <w:tblPr>
        <w:tblStyle w:val="6"/>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2020年实际在职人数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3</w:t>
            </w:r>
            <w:r>
              <w:rPr>
                <w:rFonts w:ascii="Times New Roman" w:hAnsi="Times New Roman" w:eastAsia="仿宋_GB2312"/>
                <w:kern w:val="0"/>
                <w:sz w:val="24"/>
              </w:rPr>
              <w:t>0</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w:t>
            </w:r>
            <w:r>
              <w:rPr>
                <w:rFonts w:ascii="Times New Roman" w:hAnsi="Times New Roman" w:eastAsia="仿宋_GB2312"/>
                <w:kern w:val="0"/>
                <w:sz w:val="24"/>
              </w:rPr>
              <w:t>0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00</w:t>
            </w:r>
            <w:r>
              <w:rPr>
                <w:rFonts w:hint="eastAsia" w:ascii="Times New Roman" w:hAnsi="Times New Roman" w:eastAsia="仿宋_GB2312"/>
                <w:kern w:val="0"/>
                <w:sz w:val="24"/>
              </w:rPr>
              <w:t>%</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2019年决算数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2020年预算数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2020年决算数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5.67</w:t>
            </w:r>
            <w:r>
              <w:rPr>
                <w:rFonts w:hint="eastAsia" w:ascii="Times New Roman" w:hAnsi="Times New Roman" w:eastAsia="仿宋_GB2312"/>
                <w:kern w:val="0"/>
                <w:sz w:val="24"/>
              </w:rPr>
              <w:t>万元</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6.3</w:t>
            </w:r>
            <w:r>
              <w:rPr>
                <w:rFonts w:hint="eastAsia" w:ascii="Times New Roman" w:hAnsi="Times New Roman" w:eastAsia="仿宋_GB2312"/>
                <w:kern w:val="0"/>
                <w:sz w:val="24"/>
              </w:rPr>
              <w:t>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6.17</w:t>
            </w:r>
            <w:r>
              <w:rPr>
                <w:rFonts w:hint="eastAsia" w:ascii="Times New Roman" w:hAnsi="Times New Roman" w:eastAsia="仿宋_GB2312"/>
                <w:kern w:val="0"/>
                <w:sz w:val="24"/>
              </w:rPr>
              <w:t>万元</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3.5</w:t>
            </w:r>
            <w:r>
              <w:rPr>
                <w:rFonts w:hint="eastAsia" w:ascii="Times New Roman" w:hAnsi="Times New Roman" w:eastAsia="仿宋_GB2312"/>
                <w:kern w:val="0"/>
                <w:sz w:val="24"/>
              </w:rPr>
              <w:t>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3.5</w:t>
            </w:r>
            <w:r>
              <w:rPr>
                <w:rFonts w:hint="eastAsia" w:ascii="Times New Roman" w:hAnsi="Times New Roman" w:eastAsia="仿宋_GB2312"/>
                <w:kern w:val="0"/>
                <w:sz w:val="24"/>
              </w:rPr>
              <w:t>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3.5</w:t>
            </w:r>
            <w:r>
              <w:rPr>
                <w:rFonts w:hint="eastAsia" w:ascii="Times New Roman" w:hAnsi="Times New Roman" w:eastAsia="仿宋_GB2312"/>
                <w:kern w:val="0"/>
                <w:sz w:val="24"/>
              </w:rPr>
              <w:t>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3.5</w:t>
            </w:r>
            <w:r>
              <w:rPr>
                <w:rFonts w:hint="eastAsia" w:ascii="Times New Roman" w:hAnsi="Times New Roman" w:eastAsia="仿宋_GB2312"/>
                <w:kern w:val="0"/>
                <w:sz w:val="24"/>
              </w:rPr>
              <w:t>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3.5</w:t>
            </w:r>
            <w:r>
              <w:rPr>
                <w:rFonts w:hint="eastAsia" w:ascii="Times New Roman" w:hAnsi="Times New Roman" w:eastAsia="仿宋_GB2312"/>
                <w:kern w:val="0"/>
                <w:sz w:val="24"/>
              </w:rPr>
              <w:t>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3.5</w:t>
            </w:r>
            <w:r>
              <w:rPr>
                <w:rFonts w:hint="eastAsia" w:ascii="Times New Roman" w:hAnsi="Times New Roman" w:eastAsia="仿宋_GB2312"/>
                <w:kern w:val="0"/>
                <w:sz w:val="24"/>
              </w:rPr>
              <w:t>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2.17</w:t>
            </w:r>
            <w:r>
              <w:rPr>
                <w:rFonts w:hint="eastAsia" w:ascii="Times New Roman" w:hAnsi="Times New Roman" w:eastAsia="仿宋_GB2312"/>
                <w:kern w:val="0"/>
                <w:sz w:val="24"/>
              </w:rPr>
              <w:t>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2.8</w:t>
            </w:r>
            <w:r>
              <w:rPr>
                <w:rFonts w:hint="eastAsia" w:ascii="Times New Roman" w:hAnsi="Times New Roman" w:eastAsia="仿宋_GB2312"/>
                <w:kern w:val="0"/>
                <w:sz w:val="24"/>
              </w:rPr>
              <w:t>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2.67</w:t>
            </w:r>
            <w:r>
              <w:rPr>
                <w:rFonts w:hint="eastAsia" w:ascii="Times New Roman" w:hAnsi="Times New Roman" w:eastAsia="仿宋_GB2312"/>
                <w:kern w:val="0"/>
                <w:sz w:val="24"/>
              </w:rPr>
              <w:t>万元</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ascii="Times New Roman" w:hAnsi="Times New Roman" w:eastAsia="仿宋_GB2312"/>
                <w:kern w:val="0"/>
                <w:sz w:val="24"/>
              </w:rPr>
              <w:t>21.5</w:t>
            </w:r>
            <w:r>
              <w:rPr>
                <w:rFonts w:hint="eastAsia" w:ascii="Times New Roman" w:hAnsi="Times New Roman" w:eastAsia="仿宋_GB2312"/>
                <w:kern w:val="0"/>
                <w:sz w:val="24"/>
                <w:lang w:eastAsia="zh-CN"/>
              </w:rPr>
              <w:t>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21.5</w:t>
            </w:r>
            <w:r>
              <w:rPr>
                <w:rFonts w:hint="eastAsia" w:ascii="Times New Roman" w:hAnsi="Times New Roman" w:eastAsia="仿宋_GB2312"/>
                <w:kern w:val="0"/>
                <w:sz w:val="24"/>
              </w:rPr>
              <w:t>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21.5</w:t>
            </w:r>
            <w:r>
              <w:rPr>
                <w:rFonts w:hint="eastAsia" w:ascii="Times New Roman" w:hAnsi="Times New Roman" w:eastAsia="仿宋_GB2312"/>
                <w:kern w:val="0"/>
                <w:sz w:val="24"/>
              </w:rPr>
              <w:t>万元</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158.64</w:t>
            </w:r>
            <w:r>
              <w:rPr>
                <w:rFonts w:hint="eastAsia" w:ascii="Times New Roman" w:hAnsi="Times New Roman" w:eastAsia="仿宋_GB2312"/>
                <w:kern w:val="0"/>
                <w:sz w:val="24"/>
              </w:rPr>
              <w:t>万元</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ind w:firstLine="720" w:firstLineChars="300"/>
              <w:rPr>
                <w:rFonts w:ascii="Times New Roman" w:hAnsi="Times New Roman" w:eastAsia="仿宋_GB2312"/>
                <w:kern w:val="0"/>
                <w:sz w:val="24"/>
              </w:rPr>
            </w:pPr>
            <w:r>
              <w:rPr>
                <w:rFonts w:ascii="Times New Roman" w:hAnsi="Times New Roman" w:eastAsia="仿宋_GB2312"/>
                <w:kern w:val="0"/>
                <w:sz w:val="24"/>
              </w:rPr>
              <w:t>128.74</w:t>
            </w:r>
            <w:r>
              <w:rPr>
                <w:rFonts w:hint="eastAsia" w:ascii="Times New Roman" w:hAnsi="Times New Roman" w:eastAsia="仿宋_GB2312"/>
                <w:kern w:val="0"/>
                <w:sz w:val="24"/>
              </w:rPr>
              <w:t>万元</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146.11</w:t>
            </w:r>
            <w:r>
              <w:rPr>
                <w:rFonts w:hint="eastAsia" w:ascii="Times New Roman" w:hAnsi="Times New Roman" w:eastAsia="仿宋_GB2312"/>
                <w:kern w:val="0"/>
                <w:sz w:val="24"/>
              </w:rPr>
              <w:t>万元</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 xml:space="preserve"> </w:t>
            </w:r>
            <w:r>
              <w:rPr>
                <w:rFonts w:ascii="Times New Roman" w:hAnsi="Times New Roman" w:eastAsia="仿宋_GB2312"/>
                <w:kern w:val="0"/>
                <w:sz w:val="24"/>
              </w:rPr>
              <w:t xml:space="preserve">   3.65</w:t>
            </w:r>
            <w:r>
              <w:rPr>
                <w:rFonts w:hint="eastAsia" w:ascii="Times New Roman" w:hAnsi="Times New Roman" w:eastAsia="仿宋_GB2312"/>
                <w:kern w:val="0"/>
                <w:sz w:val="24"/>
              </w:rPr>
              <w:t>万元</w:t>
            </w:r>
          </w:p>
        </w:tc>
        <w:tc>
          <w:tcPr>
            <w:tcW w:w="2595"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 xml:space="preserve"> </w:t>
            </w:r>
            <w:r>
              <w:rPr>
                <w:rFonts w:ascii="Times New Roman" w:hAnsi="Times New Roman" w:eastAsia="仿宋_GB2312"/>
                <w:kern w:val="0"/>
                <w:sz w:val="24"/>
              </w:rPr>
              <w:t xml:space="preserve">      </w:t>
            </w:r>
            <w:r>
              <w:rPr>
                <w:rFonts w:hint="eastAsia" w:ascii="Times New Roman" w:hAnsi="Times New Roman" w:eastAsia="仿宋_GB2312"/>
                <w:kern w:val="0"/>
                <w:sz w:val="24"/>
              </w:rPr>
              <w:t>5</w:t>
            </w:r>
            <w:r>
              <w:rPr>
                <w:rFonts w:ascii="Times New Roman" w:hAnsi="Times New Roman" w:eastAsia="仿宋_GB2312"/>
                <w:kern w:val="0"/>
                <w:sz w:val="24"/>
              </w:rPr>
              <w:t>.0</w:t>
            </w:r>
            <w:r>
              <w:rPr>
                <w:rFonts w:hint="eastAsia" w:ascii="Times New Roman" w:hAnsi="Times New Roman" w:eastAsia="仿宋_GB2312"/>
                <w:kern w:val="0"/>
                <w:sz w:val="24"/>
              </w:rPr>
              <w:t>万元</w:t>
            </w:r>
          </w:p>
        </w:tc>
        <w:tc>
          <w:tcPr>
            <w:tcW w:w="1834"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 xml:space="preserve"> </w:t>
            </w:r>
            <w:r>
              <w:rPr>
                <w:rFonts w:ascii="Times New Roman" w:hAnsi="Times New Roman" w:eastAsia="仿宋_GB2312"/>
                <w:kern w:val="0"/>
                <w:sz w:val="24"/>
              </w:rPr>
              <w:t xml:space="preserve"> </w:t>
            </w:r>
            <w:r>
              <w:rPr>
                <w:rFonts w:hint="eastAsia" w:ascii="Times New Roman" w:hAnsi="Times New Roman" w:eastAsia="仿宋_GB2312"/>
                <w:kern w:val="0"/>
                <w:sz w:val="24"/>
              </w:rPr>
              <w:t>3</w:t>
            </w:r>
            <w:r>
              <w:rPr>
                <w:rFonts w:ascii="Times New Roman" w:hAnsi="Times New Roman" w:eastAsia="仿宋_GB2312"/>
                <w:kern w:val="0"/>
                <w:sz w:val="24"/>
              </w:rPr>
              <w:t>.55</w:t>
            </w:r>
            <w:r>
              <w:rPr>
                <w:rFonts w:hint="eastAsia" w:ascii="Times New Roman" w:hAnsi="Times New Roman" w:eastAsia="仿宋_GB2312"/>
                <w:kern w:val="0"/>
                <w:sz w:val="24"/>
              </w:rPr>
              <w:t>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 xml:space="preserve"> </w:t>
            </w:r>
            <w:r>
              <w:rPr>
                <w:rFonts w:ascii="Times New Roman" w:hAnsi="Times New Roman" w:eastAsia="仿宋_GB2312"/>
                <w:kern w:val="0"/>
                <w:sz w:val="24"/>
              </w:rPr>
              <w:t xml:space="preserve">    10.11</w:t>
            </w:r>
            <w:r>
              <w:rPr>
                <w:rFonts w:hint="eastAsia" w:ascii="Times New Roman" w:hAnsi="Times New Roman" w:eastAsia="仿宋_GB2312"/>
                <w:kern w:val="0"/>
                <w:sz w:val="24"/>
              </w:rPr>
              <w:t>万元</w:t>
            </w:r>
          </w:p>
        </w:tc>
        <w:tc>
          <w:tcPr>
            <w:tcW w:w="2595"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 xml:space="preserve"> </w:t>
            </w:r>
            <w:r>
              <w:rPr>
                <w:rFonts w:ascii="Times New Roman" w:hAnsi="Times New Roman" w:eastAsia="仿宋_GB2312"/>
                <w:kern w:val="0"/>
                <w:sz w:val="24"/>
              </w:rPr>
              <w:t xml:space="preserve">      </w:t>
            </w:r>
            <w:r>
              <w:rPr>
                <w:rFonts w:hint="eastAsia" w:ascii="Times New Roman" w:hAnsi="Times New Roman" w:eastAsia="仿宋_GB2312"/>
                <w:kern w:val="0"/>
                <w:sz w:val="24"/>
              </w:rPr>
              <w:t>7</w:t>
            </w:r>
            <w:r>
              <w:rPr>
                <w:rFonts w:ascii="Times New Roman" w:hAnsi="Times New Roman" w:eastAsia="仿宋_GB2312"/>
                <w:kern w:val="0"/>
                <w:sz w:val="24"/>
              </w:rPr>
              <w:t>.5</w:t>
            </w:r>
            <w:r>
              <w:rPr>
                <w:rFonts w:hint="eastAsia" w:ascii="Times New Roman" w:hAnsi="Times New Roman" w:eastAsia="仿宋_GB2312"/>
                <w:kern w:val="0"/>
                <w:sz w:val="24"/>
              </w:rPr>
              <w:t>万元</w:t>
            </w:r>
          </w:p>
        </w:tc>
        <w:tc>
          <w:tcPr>
            <w:tcW w:w="1834"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 xml:space="preserve"> 1</w:t>
            </w:r>
            <w:r>
              <w:rPr>
                <w:rFonts w:ascii="Times New Roman" w:hAnsi="Times New Roman" w:eastAsia="仿宋_GB2312"/>
                <w:kern w:val="0"/>
                <w:sz w:val="24"/>
              </w:rPr>
              <w:t>0.05</w:t>
            </w:r>
            <w:r>
              <w:rPr>
                <w:rFonts w:hint="eastAsia" w:ascii="Times New Roman" w:hAnsi="Times New Roman" w:eastAsia="仿宋_GB2312"/>
                <w:kern w:val="0"/>
                <w:sz w:val="24"/>
              </w:rPr>
              <w:t>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w:t>
            </w:r>
            <w:r>
              <w:rPr>
                <w:rFonts w:hint="eastAsia" w:ascii="Times New Roman" w:hAnsi="Times New Roman" w:eastAsia="仿宋_GB2312"/>
                <w:kern w:val="0"/>
                <w:sz w:val="24"/>
                <w:lang w:val="en-US" w:eastAsia="zh-CN"/>
              </w:rPr>
              <w:t>20</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仿宋_GB2312"/>
                <w:kern w:val="0"/>
                <w:sz w:val="24"/>
              </w:rPr>
            </w:pPr>
            <w:r>
              <w:rPr>
                <w:rFonts w:hint="eastAsia" w:ascii="Times New Roman" w:hAnsi="Times New Roman" w:eastAsia="仿宋_GB2312"/>
                <w:kern w:val="0"/>
                <w:sz w:val="24"/>
              </w:rPr>
              <w:t>提高办公信息化程度，既要节约，又要勤政；严格控制“三公”经费</w:t>
            </w: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ind w:right="640" w:firstLine="640" w:firstLineChars="200"/>
        <w:jc w:val="left"/>
        <w:rPr>
          <w:rFonts w:ascii="仿宋" w:hAnsi="仿宋" w:eastAsia="仿宋" w:cs="宋体"/>
          <w:kern w:val="0"/>
          <w:sz w:val="32"/>
          <w:szCs w:val="32"/>
        </w:rPr>
      </w:pPr>
    </w:p>
    <w:p>
      <w:pPr>
        <w:ind w:right="640" w:firstLine="640" w:firstLineChars="200"/>
        <w:jc w:val="right"/>
        <w:rPr>
          <w:rFonts w:ascii="仿宋" w:hAnsi="仿宋" w:eastAsia="仿宋"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1CE2C"/>
    <w:multiLevelType w:val="singleLevel"/>
    <w:tmpl w:val="FBB1CE2C"/>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20"/>
    <w:rsid w:val="000054FE"/>
    <w:rsid w:val="00021075"/>
    <w:rsid w:val="00024B8F"/>
    <w:rsid w:val="000300BD"/>
    <w:rsid w:val="00032F8C"/>
    <w:rsid w:val="00036831"/>
    <w:rsid w:val="00051CDD"/>
    <w:rsid w:val="0005665D"/>
    <w:rsid w:val="000677D0"/>
    <w:rsid w:val="00074C92"/>
    <w:rsid w:val="000A7764"/>
    <w:rsid w:val="000B1507"/>
    <w:rsid w:val="000D04F0"/>
    <w:rsid w:val="000D1621"/>
    <w:rsid w:val="000D40A2"/>
    <w:rsid w:val="000F45E4"/>
    <w:rsid w:val="001324E7"/>
    <w:rsid w:val="00173F73"/>
    <w:rsid w:val="00191525"/>
    <w:rsid w:val="00191F22"/>
    <w:rsid w:val="001A29C8"/>
    <w:rsid w:val="001A3F5F"/>
    <w:rsid w:val="001A4F14"/>
    <w:rsid w:val="001B185B"/>
    <w:rsid w:val="001B4F01"/>
    <w:rsid w:val="001F0D58"/>
    <w:rsid w:val="001F5A59"/>
    <w:rsid w:val="00204A54"/>
    <w:rsid w:val="00204D9E"/>
    <w:rsid w:val="0022543E"/>
    <w:rsid w:val="00234DA5"/>
    <w:rsid w:val="00241585"/>
    <w:rsid w:val="00245417"/>
    <w:rsid w:val="00254620"/>
    <w:rsid w:val="002547D4"/>
    <w:rsid w:val="00254813"/>
    <w:rsid w:val="002631D3"/>
    <w:rsid w:val="002941B7"/>
    <w:rsid w:val="002A23A5"/>
    <w:rsid w:val="002D4CA1"/>
    <w:rsid w:val="00312D2C"/>
    <w:rsid w:val="00331AEF"/>
    <w:rsid w:val="00374876"/>
    <w:rsid w:val="00375CD2"/>
    <w:rsid w:val="00397E91"/>
    <w:rsid w:val="003C15EF"/>
    <w:rsid w:val="003E14EA"/>
    <w:rsid w:val="003E56EE"/>
    <w:rsid w:val="00400383"/>
    <w:rsid w:val="00401CE7"/>
    <w:rsid w:val="0043423E"/>
    <w:rsid w:val="00454790"/>
    <w:rsid w:val="00455ED3"/>
    <w:rsid w:val="00456BB7"/>
    <w:rsid w:val="004652D5"/>
    <w:rsid w:val="00473A0D"/>
    <w:rsid w:val="004846D9"/>
    <w:rsid w:val="00487D27"/>
    <w:rsid w:val="004B1442"/>
    <w:rsid w:val="004C296F"/>
    <w:rsid w:val="004D6FB6"/>
    <w:rsid w:val="004F2043"/>
    <w:rsid w:val="004F4F84"/>
    <w:rsid w:val="0050503C"/>
    <w:rsid w:val="00511AF5"/>
    <w:rsid w:val="00521643"/>
    <w:rsid w:val="00533100"/>
    <w:rsid w:val="00571576"/>
    <w:rsid w:val="0057734E"/>
    <w:rsid w:val="00583F73"/>
    <w:rsid w:val="00584C6C"/>
    <w:rsid w:val="005A7527"/>
    <w:rsid w:val="005D4263"/>
    <w:rsid w:val="005E3FF2"/>
    <w:rsid w:val="005F4CF6"/>
    <w:rsid w:val="006069F4"/>
    <w:rsid w:val="006230F3"/>
    <w:rsid w:val="00631538"/>
    <w:rsid w:val="00650605"/>
    <w:rsid w:val="006613A2"/>
    <w:rsid w:val="00663C7B"/>
    <w:rsid w:val="006700D7"/>
    <w:rsid w:val="0067100E"/>
    <w:rsid w:val="006747CF"/>
    <w:rsid w:val="00676F07"/>
    <w:rsid w:val="006829EF"/>
    <w:rsid w:val="006857FD"/>
    <w:rsid w:val="00694B32"/>
    <w:rsid w:val="006A7BFE"/>
    <w:rsid w:val="006C1321"/>
    <w:rsid w:val="006D7DB0"/>
    <w:rsid w:val="006F1CB3"/>
    <w:rsid w:val="00716524"/>
    <w:rsid w:val="00730397"/>
    <w:rsid w:val="00731E8F"/>
    <w:rsid w:val="00732A5E"/>
    <w:rsid w:val="0074247A"/>
    <w:rsid w:val="00750851"/>
    <w:rsid w:val="0077443F"/>
    <w:rsid w:val="007B01D4"/>
    <w:rsid w:val="00816017"/>
    <w:rsid w:val="00830A18"/>
    <w:rsid w:val="008427D3"/>
    <w:rsid w:val="008445F6"/>
    <w:rsid w:val="00851C04"/>
    <w:rsid w:val="00862AA2"/>
    <w:rsid w:val="00882A5A"/>
    <w:rsid w:val="008852F7"/>
    <w:rsid w:val="008A51AA"/>
    <w:rsid w:val="008A70AD"/>
    <w:rsid w:val="008B6F0C"/>
    <w:rsid w:val="008B717A"/>
    <w:rsid w:val="008C006C"/>
    <w:rsid w:val="008C4514"/>
    <w:rsid w:val="008D3C37"/>
    <w:rsid w:val="008E1620"/>
    <w:rsid w:val="008E6B25"/>
    <w:rsid w:val="00907769"/>
    <w:rsid w:val="00917034"/>
    <w:rsid w:val="0093318F"/>
    <w:rsid w:val="009562AC"/>
    <w:rsid w:val="00970104"/>
    <w:rsid w:val="00970EA5"/>
    <w:rsid w:val="0097626B"/>
    <w:rsid w:val="0098011C"/>
    <w:rsid w:val="00985912"/>
    <w:rsid w:val="00992E66"/>
    <w:rsid w:val="009C03FC"/>
    <w:rsid w:val="009C6EF5"/>
    <w:rsid w:val="009D141D"/>
    <w:rsid w:val="009D7F08"/>
    <w:rsid w:val="009E1738"/>
    <w:rsid w:val="009F4E5B"/>
    <w:rsid w:val="00A345E3"/>
    <w:rsid w:val="00A501ED"/>
    <w:rsid w:val="00A54938"/>
    <w:rsid w:val="00A65D27"/>
    <w:rsid w:val="00A91100"/>
    <w:rsid w:val="00A91F4C"/>
    <w:rsid w:val="00AA161A"/>
    <w:rsid w:val="00AA7CA1"/>
    <w:rsid w:val="00AB592D"/>
    <w:rsid w:val="00AC3EBE"/>
    <w:rsid w:val="00AC7FF1"/>
    <w:rsid w:val="00AE4EE5"/>
    <w:rsid w:val="00AE6A86"/>
    <w:rsid w:val="00B04783"/>
    <w:rsid w:val="00B07240"/>
    <w:rsid w:val="00B114D5"/>
    <w:rsid w:val="00B17CA8"/>
    <w:rsid w:val="00B240F3"/>
    <w:rsid w:val="00B30806"/>
    <w:rsid w:val="00B31281"/>
    <w:rsid w:val="00B466E0"/>
    <w:rsid w:val="00B53D5B"/>
    <w:rsid w:val="00B558E8"/>
    <w:rsid w:val="00B62818"/>
    <w:rsid w:val="00B9500A"/>
    <w:rsid w:val="00BB366C"/>
    <w:rsid w:val="00BB4B0D"/>
    <w:rsid w:val="00BD1405"/>
    <w:rsid w:val="00BE071E"/>
    <w:rsid w:val="00C22A8D"/>
    <w:rsid w:val="00C2354F"/>
    <w:rsid w:val="00C34478"/>
    <w:rsid w:val="00C35F34"/>
    <w:rsid w:val="00C53E6E"/>
    <w:rsid w:val="00C762FF"/>
    <w:rsid w:val="00C77B2B"/>
    <w:rsid w:val="00C858F5"/>
    <w:rsid w:val="00CA6C64"/>
    <w:rsid w:val="00CE6FB2"/>
    <w:rsid w:val="00CE7EA0"/>
    <w:rsid w:val="00CF1FA3"/>
    <w:rsid w:val="00CF4BDD"/>
    <w:rsid w:val="00D10C3C"/>
    <w:rsid w:val="00D4313A"/>
    <w:rsid w:val="00D64468"/>
    <w:rsid w:val="00D73B2C"/>
    <w:rsid w:val="00D76E65"/>
    <w:rsid w:val="00D82C9E"/>
    <w:rsid w:val="00D83886"/>
    <w:rsid w:val="00D84DAC"/>
    <w:rsid w:val="00D946A4"/>
    <w:rsid w:val="00DA5994"/>
    <w:rsid w:val="00DB0835"/>
    <w:rsid w:val="00DC0B2A"/>
    <w:rsid w:val="00DD5372"/>
    <w:rsid w:val="00DD6F5A"/>
    <w:rsid w:val="00E01BAB"/>
    <w:rsid w:val="00E145C4"/>
    <w:rsid w:val="00E32838"/>
    <w:rsid w:val="00E479BA"/>
    <w:rsid w:val="00E5247C"/>
    <w:rsid w:val="00E628FA"/>
    <w:rsid w:val="00E852B0"/>
    <w:rsid w:val="00E86F2E"/>
    <w:rsid w:val="00E8786D"/>
    <w:rsid w:val="00EB2E6E"/>
    <w:rsid w:val="00EC74CC"/>
    <w:rsid w:val="00ED0FED"/>
    <w:rsid w:val="00ED4DE8"/>
    <w:rsid w:val="00EE0FF9"/>
    <w:rsid w:val="00EF3C7E"/>
    <w:rsid w:val="00F16ED3"/>
    <w:rsid w:val="00F228DA"/>
    <w:rsid w:val="00F80E6A"/>
    <w:rsid w:val="00F82B39"/>
    <w:rsid w:val="00F830C9"/>
    <w:rsid w:val="00F84639"/>
    <w:rsid w:val="00FA6A97"/>
    <w:rsid w:val="00FA7BE4"/>
    <w:rsid w:val="00FC7677"/>
    <w:rsid w:val="00FD587F"/>
    <w:rsid w:val="00FF2CFF"/>
    <w:rsid w:val="059507E4"/>
    <w:rsid w:val="0BCE6024"/>
    <w:rsid w:val="1F2E202C"/>
    <w:rsid w:val="22C127D0"/>
    <w:rsid w:val="2D611ED3"/>
    <w:rsid w:val="428A50B5"/>
    <w:rsid w:val="56F04D8A"/>
    <w:rsid w:val="612C5201"/>
    <w:rsid w:val="6BCB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638</Words>
  <Characters>3641</Characters>
  <Lines>30</Lines>
  <Paragraphs>8</Paragraphs>
  <TotalTime>6</TotalTime>
  <ScaleCrop>false</ScaleCrop>
  <LinksUpToDate>false</LinksUpToDate>
  <CharactersWithSpaces>4271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2019-06-05T01:09:00Z</dcterms:created>
  <dc:creator>Administrator</dc:creator>
  <cp:lastModifiedBy>Administrator</cp:lastModifiedBy>
  <cp:lastPrinted>2020-10-23T01:41:00Z</cp:lastPrinted>
  <dcterms:modified xsi:type="dcterms:W3CDTF">2024-05-15T08:34:07Z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752A891CF0934F4D92B6ABD1AD4FC72D</vt:lpwstr>
  </property>
</Properties>
</file>