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sz w:val="44"/>
          <w:szCs w:val="44"/>
        </w:rPr>
      </w:pPr>
    </w:p>
    <w:p>
      <w:pPr>
        <w:jc w:val="both"/>
        <w:rPr>
          <w:rFonts w:hint="eastAsia" w:ascii="宋体" w:hAnsi="宋体" w:cs="宋体"/>
          <w:b/>
          <w:bCs/>
          <w:sz w:val="44"/>
          <w:szCs w:val="44"/>
        </w:rPr>
      </w:pPr>
    </w:p>
    <w:p>
      <w:pPr>
        <w:ind w:firstLine="1767" w:firstLineChars="400"/>
        <w:jc w:val="both"/>
        <w:rPr>
          <w:rFonts w:ascii="宋体" w:cs="宋体"/>
          <w:b/>
          <w:bCs/>
          <w:sz w:val="44"/>
          <w:szCs w:val="44"/>
        </w:rPr>
      </w:pPr>
      <w:r>
        <w:rPr>
          <w:rFonts w:hint="eastAsia" w:ascii="宋体" w:hAnsi="宋体" w:cs="宋体"/>
          <w:b/>
          <w:bCs/>
          <w:sz w:val="44"/>
          <w:szCs w:val="44"/>
        </w:rPr>
        <w:t>澧县城市管理和</w:t>
      </w:r>
      <w:r>
        <w:rPr>
          <w:rFonts w:hint="eastAsia" w:ascii="宋体" w:hAnsi="宋体" w:cs="宋体"/>
          <w:b/>
          <w:bCs/>
          <w:sz w:val="44"/>
          <w:szCs w:val="44"/>
          <w:lang w:eastAsia="zh-CN"/>
        </w:rPr>
        <w:t>综合</w:t>
      </w:r>
      <w:r>
        <w:rPr>
          <w:rFonts w:hint="eastAsia" w:ascii="宋体" w:hAnsi="宋体" w:cs="宋体"/>
          <w:b/>
          <w:bCs/>
          <w:sz w:val="44"/>
          <w:szCs w:val="44"/>
        </w:rPr>
        <w:t>执法局</w:t>
      </w:r>
    </w:p>
    <w:p>
      <w:pPr>
        <w:jc w:val="center"/>
        <w:rPr>
          <w:rFonts w:hint="eastAsia" w:ascii="宋体" w:hAnsi="宋体" w:cs="宋体"/>
          <w:b/>
          <w:bCs/>
          <w:sz w:val="44"/>
          <w:szCs w:val="44"/>
        </w:rPr>
      </w:pPr>
      <w:r>
        <w:rPr>
          <w:rFonts w:ascii="宋体" w:hAnsi="宋体" w:cs="宋体"/>
          <w:b/>
          <w:bCs/>
          <w:sz w:val="44"/>
          <w:szCs w:val="44"/>
        </w:rPr>
        <w:t>201</w:t>
      </w:r>
      <w:r>
        <w:rPr>
          <w:rFonts w:hint="eastAsia" w:ascii="宋体" w:hAnsi="宋体" w:cs="宋体"/>
          <w:b/>
          <w:bCs/>
          <w:sz w:val="44"/>
          <w:szCs w:val="44"/>
          <w:lang w:val="en-US" w:eastAsia="zh-CN"/>
        </w:rPr>
        <w:t>9</w:t>
      </w:r>
      <w:r>
        <w:rPr>
          <w:rFonts w:hint="eastAsia" w:ascii="宋体" w:hAnsi="宋体" w:cs="宋体"/>
          <w:b/>
          <w:bCs/>
          <w:sz w:val="44"/>
          <w:szCs w:val="44"/>
        </w:rPr>
        <w:t>年部门整体支出绩效报告</w:t>
      </w:r>
    </w:p>
    <w:p>
      <w:pPr>
        <w:jc w:val="center"/>
        <w:rPr>
          <w:rFonts w:hint="eastAsia" w:ascii="宋体" w:hAnsi="宋体" w:cs="宋体"/>
          <w:b/>
          <w:bCs/>
          <w:sz w:val="44"/>
          <w:szCs w:val="44"/>
        </w:rPr>
      </w:pPr>
    </w:p>
    <w:p>
      <w:pPr>
        <w:pStyle w:val="127"/>
        <w:ind w:firstLine="480" w:firstLineChars="200"/>
        <w:outlineLvl w:val="0"/>
        <w:rPr>
          <w:rFonts w:ascii="仿宋" w:hAnsi="仿宋" w:eastAsia="仿宋" w:cs="仿宋"/>
          <w:sz w:val="32"/>
          <w:szCs w:val="32"/>
        </w:rPr>
      </w:pPr>
      <w:r>
        <w:t xml:space="preserve">     </w:t>
      </w:r>
      <w:r>
        <w:rPr>
          <w:rFonts w:hint="eastAsia" w:ascii="仿宋" w:hAnsi="仿宋" w:eastAsia="仿宋" w:cs="仿宋"/>
          <w:sz w:val="32"/>
          <w:szCs w:val="32"/>
        </w:rPr>
        <w:t>按照湘财绩〔2020〕4号文件要求，对澧县城市管理和</w:t>
      </w:r>
      <w:r>
        <w:rPr>
          <w:rFonts w:hint="eastAsia" w:ascii="仿宋" w:hAnsi="仿宋" w:eastAsia="仿宋" w:cs="仿宋"/>
          <w:sz w:val="32"/>
          <w:szCs w:val="32"/>
          <w:lang w:eastAsia="zh-CN"/>
        </w:rPr>
        <w:t>综合</w:t>
      </w:r>
      <w:r>
        <w:rPr>
          <w:rFonts w:hint="eastAsia" w:ascii="仿宋" w:hAnsi="仿宋" w:eastAsia="仿宋" w:cs="仿宋"/>
          <w:sz w:val="32"/>
          <w:szCs w:val="32"/>
        </w:rPr>
        <w:t>执法局</w:t>
      </w: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年度部门整体支出进行绩效评价，根据绩效评价有关规定，形成本报告。</w:t>
      </w:r>
    </w:p>
    <w:p>
      <w:pPr>
        <w:rPr>
          <w:rFonts w:ascii="黑体" w:hAnsi="黑体" w:eastAsia="黑体" w:cs="黑体"/>
          <w:b/>
          <w:sz w:val="32"/>
          <w:szCs w:val="32"/>
        </w:rPr>
      </w:pPr>
      <w:r>
        <w:t xml:space="preserve">   </w:t>
      </w:r>
      <w:r>
        <w:rPr>
          <w:rFonts w:ascii="黑体" w:hAnsi="黑体" w:eastAsia="黑体" w:cs="黑体"/>
          <w:sz w:val="32"/>
          <w:szCs w:val="32"/>
        </w:rPr>
        <w:t xml:space="preserve">  </w:t>
      </w:r>
      <w:r>
        <w:rPr>
          <w:rFonts w:hint="eastAsia" w:ascii="黑体" w:hAnsi="黑体" w:eastAsia="黑体" w:cs="黑体"/>
          <w:b/>
          <w:sz w:val="32"/>
          <w:szCs w:val="32"/>
        </w:rPr>
        <w:t>一、部门概况</w:t>
      </w:r>
    </w:p>
    <w:p>
      <w:r>
        <w:t xml:space="preserve">    </w:t>
      </w:r>
      <w:r>
        <w:rPr>
          <w:rFonts w:hint="eastAsia" w:ascii="楷体" w:hAnsi="楷体" w:eastAsia="楷体" w:cs="楷体"/>
          <w:b/>
          <w:bCs/>
          <w:sz w:val="32"/>
          <w:szCs w:val="32"/>
        </w:rPr>
        <w:t>（一）机构、人员构成</w:t>
      </w:r>
    </w:p>
    <w:p>
      <w:pPr>
        <w:ind w:firstLine="640" w:firstLineChars="200"/>
        <w:rPr>
          <w:rFonts w:ascii="仿宋" w:hAnsi="仿宋" w:eastAsia="仿宋" w:cs="仿宋"/>
          <w:sz w:val="32"/>
          <w:szCs w:val="32"/>
        </w:rPr>
      </w:pPr>
      <w:r>
        <w:rPr>
          <w:rFonts w:hint="eastAsia" w:ascii="仿宋" w:hAnsi="仿宋" w:eastAsia="仿宋" w:cs="仿宋"/>
          <w:sz w:val="32"/>
          <w:szCs w:val="32"/>
        </w:rPr>
        <w:t>澧县城市管理和</w:t>
      </w:r>
      <w:r>
        <w:rPr>
          <w:rFonts w:hint="eastAsia" w:ascii="仿宋" w:hAnsi="仿宋" w:eastAsia="仿宋" w:cs="仿宋"/>
          <w:sz w:val="32"/>
          <w:szCs w:val="32"/>
          <w:lang w:eastAsia="zh-CN"/>
        </w:rPr>
        <w:t>综合</w:t>
      </w:r>
      <w:r>
        <w:rPr>
          <w:rFonts w:hint="eastAsia" w:ascii="仿宋" w:hAnsi="仿宋" w:eastAsia="仿宋" w:cs="仿宋"/>
          <w:sz w:val="32"/>
          <w:szCs w:val="32"/>
        </w:rPr>
        <w:t>执法局为财务独立核算的正科级行政单位，是全额拨款的一级预算单位，根据编委核定，我局内设股室</w:t>
      </w:r>
      <w:r>
        <w:rPr>
          <w:rFonts w:ascii="仿宋" w:hAnsi="仿宋" w:eastAsia="仿宋" w:cs="仿宋"/>
          <w:sz w:val="32"/>
          <w:szCs w:val="32"/>
        </w:rPr>
        <w:t>5</w:t>
      </w:r>
      <w:r>
        <w:rPr>
          <w:rFonts w:hint="eastAsia" w:ascii="仿宋" w:hAnsi="仿宋" w:eastAsia="仿宋" w:cs="仿宋"/>
          <w:sz w:val="32"/>
          <w:szCs w:val="32"/>
        </w:rPr>
        <w:t>个，所属事业单位</w:t>
      </w:r>
      <w:r>
        <w:rPr>
          <w:rFonts w:hint="eastAsia" w:ascii="仿宋" w:hAnsi="仿宋" w:eastAsia="仿宋" w:cs="仿宋"/>
          <w:sz w:val="32"/>
          <w:szCs w:val="32"/>
          <w:lang w:val="en-US" w:eastAsia="zh-CN"/>
        </w:rPr>
        <w:t>3</w:t>
      </w:r>
      <w:r>
        <w:rPr>
          <w:rFonts w:hint="eastAsia" w:ascii="仿宋" w:hAnsi="仿宋" w:eastAsia="仿宋" w:cs="仿宋"/>
          <w:sz w:val="32"/>
          <w:szCs w:val="32"/>
        </w:rPr>
        <w:t>个。内设股室分别是办公室、</w:t>
      </w:r>
      <w:r>
        <w:rPr>
          <w:rFonts w:hint="eastAsia" w:ascii="仿宋" w:hAnsi="仿宋" w:eastAsia="仿宋" w:cs="仿宋"/>
          <w:kern w:val="0"/>
          <w:sz w:val="32"/>
          <w:szCs w:val="32"/>
        </w:rPr>
        <w:t>法制股、财务股、人事股、管理股。</w:t>
      </w:r>
      <w:r>
        <w:rPr>
          <w:rFonts w:hint="eastAsia" w:ascii="仿宋" w:hAnsi="仿宋" w:eastAsia="仿宋" w:cs="仿宋"/>
          <w:sz w:val="32"/>
          <w:szCs w:val="32"/>
        </w:rPr>
        <w:t>所属事业单位分别是澧县城市管理行政执法大队</w:t>
      </w:r>
      <w:r>
        <w:rPr>
          <w:rFonts w:hint="eastAsia" w:ascii="仿宋" w:hAnsi="仿宋" w:eastAsia="仿宋" w:cs="仿宋"/>
          <w:sz w:val="32"/>
          <w:szCs w:val="32"/>
          <w:lang w:eastAsia="zh-CN"/>
        </w:rPr>
        <w:t>、</w:t>
      </w:r>
      <w:r>
        <w:rPr>
          <w:rFonts w:hint="eastAsia" w:ascii="仿宋" w:hAnsi="仿宋" w:eastAsia="仿宋" w:cs="仿宋"/>
          <w:sz w:val="32"/>
          <w:szCs w:val="32"/>
        </w:rPr>
        <w:t>澧县</w:t>
      </w:r>
      <w:r>
        <w:rPr>
          <w:rFonts w:hint="eastAsia" w:ascii="仿宋" w:hAnsi="仿宋" w:eastAsia="仿宋" w:cs="仿宋"/>
          <w:sz w:val="32"/>
          <w:szCs w:val="32"/>
          <w:lang w:eastAsia="zh-CN"/>
        </w:rPr>
        <w:t>城市管理事务中心和澧县风景园林绿化管理处</w:t>
      </w:r>
      <w:r>
        <w:rPr>
          <w:rFonts w:hint="eastAsia" w:ascii="仿宋" w:hAnsi="仿宋" w:eastAsia="仿宋" w:cs="仿宋"/>
          <w:sz w:val="32"/>
          <w:szCs w:val="32"/>
        </w:rPr>
        <w:t>。</w:t>
      </w:r>
      <w:r>
        <w:rPr>
          <w:rFonts w:hint="eastAsia" w:ascii="仿宋" w:hAnsi="仿宋" w:eastAsia="仿宋" w:cs="仿宋"/>
          <w:sz w:val="32"/>
          <w:szCs w:val="32"/>
          <w:lang w:eastAsia="zh-CN"/>
        </w:rPr>
        <w:t>我局</w:t>
      </w:r>
      <w:r>
        <w:rPr>
          <w:rFonts w:hint="eastAsia" w:ascii="仿宋" w:hAnsi="仿宋" w:eastAsia="仿宋" w:cs="仿宋"/>
          <w:sz w:val="32"/>
          <w:szCs w:val="32"/>
        </w:rPr>
        <w:t>核定编制数</w:t>
      </w:r>
      <w:r>
        <w:rPr>
          <w:rFonts w:ascii="仿宋" w:hAnsi="仿宋" w:eastAsia="仿宋" w:cs="仿宋"/>
          <w:sz w:val="32"/>
          <w:szCs w:val="32"/>
        </w:rPr>
        <w:t>18</w:t>
      </w:r>
      <w:r>
        <w:rPr>
          <w:rFonts w:hint="eastAsia" w:ascii="仿宋" w:hAnsi="仿宋" w:eastAsia="仿宋" w:cs="仿宋"/>
          <w:sz w:val="32"/>
          <w:szCs w:val="32"/>
        </w:rPr>
        <w:t>人，实际在职人数</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（二）单位主要职责</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1</w:t>
      </w:r>
      <w:r>
        <w:rPr>
          <w:rFonts w:hint="eastAsia" w:ascii="仿宋" w:hAnsi="仿宋" w:eastAsia="仿宋" w:cs="仿宋"/>
          <w:kern w:val="0"/>
          <w:sz w:val="32"/>
          <w:szCs w:val="32"/>
        </w:rPr>
        <w:t>）贯彻执行国家、省、市有关城市管理方面的法律、法规和政策；负责拟订有关城市管理领域政策及规范性文件，并组织实施。</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2</w:t>
      </w:r>
      <w:r>
        <w:rPr>
          <w:rFonts w:hint="eastAsia" w:ascii="仿宋" w:hAnsi="仿宋" w:eastAsia="仿宋" w:cs="仿宋"/>
          <w:kern w:val="0"/>
          <w:sz w:val="32"/>
          <w:szCs w:val="32"/>
        </w:rPr>
        <w:t>）承担城市市容环境卫生监管责任；负责县城区市容市貌、环境卫生、经营性占道、公益占道、建筑垃圾和生活垃圾的管理，行使相关违法违规行为的行政处罚权；负责县城规划区户外广告设置的管理，行使相关违法违规行为的行政处罚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3</w:t>
      </w:r>
      <w:r>
        <w:rPr>
          <w:rFonts w:hint="eastAsia" w:ascii="仿宋" w:hAnsi="仿宋" w:eastAsia="仿宋" w:cs="仿宋"/>
          <w:kern w:val="0"/>
          <w:sz w:val="32"/>
          <w:szCs w:val="32"/>
        </w:rPr>
        <w:t>）负责行使城市公安交通管理方面和市政管理方面的法律、法规、规章规定的对乱停乱放车辆、当路摆摊设点、堆物作业等侵占城市道路行为的行政处罚权。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4</w:t>
      </w:r>
      <w:r>
        <w:rPr>
          <w:rFonts w:hint="eastAsia" w:ascii="仿宋" w:hAnsi="仿宋" w:eastAsia="仿宋" w:cs="仿宋"/>
          <w:kern w:val="0"/>
          <w:sz w:val="32"/>
          <w:szCs w:val="32"/>
        </w:rPr>
        <w:t>）负责行使工商行政管理方面法律、法规、规章规定的对无照商贩，以及有照但不按执照规定场地经营而进行店外经营、店外作业的商贩的行政处罚权。</w:t>
      </w:r>
    </w:p>
    <w:p>
      <w:pPr>
        <w:ind w:firstLine="640" w:firstLineChars="200"/>
        <w:rPr>
          <w:kern w:val="0"/>
          <w:szCs w:val="21"/>
        </w:rPr>
      </w:pPr>
      <w:r>
        <w:rPr>
          <w:rFonts w:hint="eastAsia" w:ascii="仿宋" w:hAnsi="仿宋" w:eastAsia="仿宋" w:cs="仿宋"/>
          <w:kern w:val="0"/>
          <w:sz w:val="32"/>
          <w:szCs w:val="32"/>
        </w:rPr>
        <w:t>（</w:t>
      </w:r>
      <w:r>
        <w:rPr>
          <w:rFonts w:ascii="仿宋" w:hAnsi="仿宋" w:eastAsia="仿宋" w:cs="仿宋"/>
          <w:kern w:val="0"/>
          <w:sz w:val="32"/>
          <w:szCs w:val="32"/>
        </w:rPr>
        <w:t>5</w:t>
      </w:r>
      <w:r>
        <w:rPr>
          <w:rFonts w:hint="eastAsia" w:ascii="仿宋" w:hAnsi="仿宋" w:eastAsia="仿宋" w:cs="仿宋"/>
          <w:kern w:val="0"/>
          <w:sz w:val="32"/>
          <w:szCs w:val="32"/>
        </w:rPr>
        <w:t>）负责行使城市规划管理方面法律、法规、规章规定的对未取得《建设工程规划许可证》进行建设行为的行政处罚权，对擅自改变《建设工程规划许可证》核准的范围进行建设行为的行政处罚权。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6</w:t>
      </w:r>
      <w:r>
        <w:rPr>
          <w:rFonts w:hint="eastAsia" w:ascii="仿宋" w:hAnsi="仿宋" w:eastAsia="仿宋" w:cs="仿宋"/>
          <w:kern w:val="0"/>
          <w:sz w:val="32"/>
          <w:szCs w:val="32"/>
        </w:rPr>
        <w:t>）负责行使公安、安全生产管理方面法律、法规、规章规定的对县城区范围内违反烟花爆竹管理规定的行政处罚权。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7</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负责数字化城市管理平台的规划、建设和管理工作。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8</w:t>
      </w:r>
      <w:r>
        <w:rPr>
          <w:rFonts w:hint="eastAsia" w:ascii="仿宋" w:hAnsi="仿宋" w:eastAsia="仿宋" w:cs="仿宋"/>
          <w:kern w:val="0"/>
          <w:sz w:val="32"/>
          <w:szCs w:val="32"/>
        </w:rPr>
        <w:t>）负责城市管理行政执法队伍建设工作；负责各镇城市管理和行政执法工作的业务指导。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9）划入县住房和城乡建设局的市政设施运行管理有关职责；整体划入园林绿化服务中心。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kern w:val="0"/>
          <w:szCs w:val="21"/>
        </w:rPr>
      </w:pP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承办</w:t>
      </w:r>
      <w:bookmarkStart w:id="0" w:name="_GoBack"/>
      <w:bookmarkEnd w:id="0"/>
      <w:r>
        <w:rPr>
          <w:rFonts w:hint="eastAsia" w:ascii="仿宋" w:hAnsi="仿宋" w:eastAsia="仿宋" w:cs="仿宋"/>
          <w:kern w:val="0"/>
          <w:sz w:val="32"/>
          <w:szCs w:val="32"/>
        </w:rPr>
        <w:t>县委、县人民政府交办的其他事项。</w:t>
      </w:r>
    </w:p>
    <w:p>
      <w:pPr>
        <w:widowControl/>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二、部门财务情况</w:t>
      </w:r>
    </w:p>
    <w:p>
      <w:pPr>
        <w:widowControl/>
        <w:autoSpaceDE w:val="0"/>
        <w:ind w:firstLine="472" w:firstLineChars="147"/>
        <w:rPr>
          <w:rFonts w:ascii="宋体"/>
          <w:color w:val="222222"/>
          <w:kern w:val="0"/>
          <w:szCs w:val="21"/>
        </w:rPr>
      </w:pPr>
      <w:r>
        <w:rPr>
          <w:rFonts w:hint="eastAsia" w:ascii="楷体" w:hAnsi="楷体" w:eastAsia="楷体" w:cs="楷体"/>
          <w:b/>
          <w:bCs/>
          <w:color w:val="222222"/>
          <w:kern w:val="0"/>
          <w:sz w:val="32"/>
          <w:szCs w:val="32"/>
        </w:rPr>
        <w:t>（一）部门整体支出情况</w:t>
      </w:r>
    </w:p>
    <w:p>
      <w:pPr>
        <w:widowControl/>
        <w:autoSpaceDE w:val="0"/>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2019年度</w:t>
      </w:r>
      <w:r>
        <w:rPr>
          <w:rFonts w:hint="eastAsia" w:ascii="仿宋" w:hAnsi="仿宋" w:eastAsia="仿宋" w:cs="仿宋"/>
          <w:color w:val="222222"/>
          <w:kern w:val="0"/>
          <w:sz w:val="32"/>
          <w:szCs w:val="32"/>
        </w:rPr>
        <w:t>部门整体收入</w:t>
      </w:r>
      <w:r>
        <w:rPr>
          <w:rFonts w:hint="eastAsia" w:ascii="仿宋" w:hAnsi="仿宋" w:eastAsia="仿宋" w:cs="仿宋"/>
          <w:color w:val="222222"/>
          <w:kern w:val="0"/>
          <w:sz w:val="32"/>
          <w:szCs w:val="32"/>
          <w:lang w:val="en-US" w:eastAsia="zh-CN"/>
        </w:rPr>
        <w:t>930.78</w:t>
      </w:r>
      <w:r>
        <w:rPr>
          <w:rFonts w:hint="eastAsia" w:ascii="仿宋" w:hAnsi="仿宋" w:eastAsia="仿宋" w:cs="仿宋"/>
          <w:color w:val="222222"/>
          <w:kern w:val="0"/>
          <w:sz w:val="32"/>
          <w:szCs w:val="32"/>
        </w:rPr>
        <w:t>万元，其中：一般公共预算拨款</w:t>
      </w:r>
      <w:r>
        <w:rPr>
          <w:rFonts w:hint="eastAsia" w:ascii="仿宋" w:hAnsi="仿宋" w:eastAsia="仿宋" w:cs="仿宋"/>
          <w:color w:val="222222"/>
          <w:kern w:val="0"/>
          <w:sz w:val="32"/>
          <w:szCs w:val="32"/>
          <w:lang w:val="en-US" w:eastAsia="zh-CN"/>
        </w:rPr>
        <w:t>794.17</w:t>
      </w:r>
      <w:r>
        <w:rPr>
          <w:rFonts w:hint="eastAsia" w:ascii="仿宋" w:hAnsi="仿宋" w:eastAsia="仿宋" w:cs="仿宋"/>
          <w:color w:val="222222"/>
          <w:kern w:val="0"/>
          <w:sz w:val="32"/>
          <w:szCs w:val="32"/>
        </w:rPr>
        <w:t>万元，政府性基金预算拨款</w:t>
      </w:r>
      <w:r>
        <w:rPr>
          <w:rFonts w:hint="eastAsia" w:ascii="仿宋" w:hAnsi="仿宋" w:eastAsia="仿宋" w:cs="仿宋"/>
          <w:color w:val="222222"/>
          <w:kern w:val="0"/>
          <w:sz w:val="32"/>
          <w:szCs w:val="32"/>
          <w:lang w:val="en-US" w:eastAsia="zh-CN"/>
        </w:rPr>
        <w:t>136.61</w:t>
      </w:r>
      <w:r>
        <w:rPr>
          <w:rFonts w:hint="eastAsia" w:ascii="仿宋" w:hAnsi="仿宋" w:eastAsia="仿宋" w:cs="仿宋"/>
          <w:color w:val="222222"/>
          <w:kern w:val="0"/>
          <w:sz w:val="32"/>
          <w:szCs w:val="32"/>
        </w:rPr>
        <w:t>万元。部门整体支出</w:t>
      </w:r>
      <w:r>
        <w:rPr>
          <w:rFonts w:hint="eastAsia" w:ascii="仿宋" w:hAnsi="仿宋" w:eastAsia="仿宋" w:cs="仿宋"/>
          <w:color w:val="222222"/>
          <w:kern w:val="0"/>
          <w:sz w:val="32"/>
          <w:szCs w:val="32"/>
          <w:lang w:val="en-US" w:eastAsia="zh-CN"/>
        </w:rPr>
        <w:t>767.42</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240.34</w:t>
      </w:r>
      <w:r>
        <w:rPr>
          <w:rFonts w:hint="eastAsia" w:ascii="仿宋" w:hAnsi="仿宋" w:eastAsia="仿宋" w:cs="仿宋"/>
          <w:color w:val="222222"/>
          <w:kern w:val="0"/>
          <w:sz w:val="32"/>
          <w:szCs w:val="32"/>
        </w:rPr>
        <w:t>万元，项目支出</w:t>
      </w:r>
      <w:r>
        <w:rPr>
          <w:rFonts w:hint="eastAsia" w:ascii="仿宋" w:hAnsi="仿宋" w:eastAsia="仿宋" w:cs="仿宋"/>
          <w:color w:val="222222"/>
          <w:kern w:val="0"/>
          <w:sz w:val="32"/>
          <w:szCs w:val="32"/>
          <w:lang w:val="en-US" w:eastAsia="zh-CN"/>
        </w:rPr>
        <w:t>527.08</w:t>
      </w:r>
      <w:r>
        <w:rPr>
          <w:rFonts w:hint="eastAsia" w:ascii="仿宋" w:hAnsi="仿宋" w:eastAsia="仿宋" w:cs="仿宋"/>
          <w:color w:val="222222"/>
          <w:kern w:val="0"/>
          <w:sz w:val="32"/>
          <w:szCs w:val="32"/>
        </w:rPr>
        <w:t>万元。</w:t>
      </w:r>
    </w:p>
    <w:p>
      <w:pPr>
        <w:widowControl/>
        <w:autoSpaceDE w:val="0"/>
        <w:ind w:firstLine="640" w:firstLineChars="200"/>
        <w:rPr>
          <w:rFonts w:ascii="仿宋" w:hAnsi="仿宋" w:eastAsia="仿宋" w:cs="仿宋"/>
          <w:color w:val="FF0000"/>
          <w:kern w:val="0"/>
          <w:sz w:val="32"/>
          <w:szCs w:val="32"/>
        </w:rPr>
      </w:pPr>
      <w:r>
        <w:rPr>
          <w:rFonts w:hint="eastAsia" w:ascii="仿宋" w:hAnsi="仿宋" w:eastAsia="仿宋" w:cs="仿宋"/>
          <w:color w:val="222222"/>
          <w:kern w:val="0"/>
          <w:sz w:val="32"/>
          <w:szCs w:val="32"/>
          <w:lang w:val="en-US" w:eastAsia="zh-CN"/>
        </w:rPr>
        <w:t>2019年基本支出主要包括：工资福利支出123.22万元，商品和服务支出99.01万元，对个人和家庭的补助支出11.92万元，其他资本性支出6.19万元。</w:t>
      </w:r>
    </w:p>
    <w:p>
      <w:pPr>
        <w:widowControl/>
        <w:autoSpaceDE w:val="0"/>
        <w:ind w:firstLine="472" w:firstLineChars="147"/>
        <w:rPr>
          <w:rFonts w:ascii="宋体" w:cs="宋体"/>
          <w:color w:val="222222"/>
          <w:kern w:val="0"/>
          <w:szCs w:val="21"/>
        </w:rPr>
      </w:pPr>
      <w:r>
        <w:rPr>
          <w:rFonts w:hint="eastAsia" w:ascii="楷体" w:hAnsi="楷体" w:eastAsia="楷体" w:cs="楷体"/>
          <w:b/>
          <w:bCs/>
          <w:color w:val="222222"/>
          <w:kern w:val="0"/>
          <w:sz w:val="32"/>
          <w:szCs w:val="32"/>
        </w:rPr>
        <w:t>（二）部门预算收支决算情况</w:t>
      </w:r>
    </w:p>
    <w:p>
      <w:pPr>
        <w:widowControl/>
        <w:autoSpaceDE w:val="0"/>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部门预算收入</w:t>
      </w:r>
      <w:r>
        <w:rPr>
          <w:rFonts w:hint="eastAsia" w:ascii="仿宋" w:hAnsi="仿宋" w:eastAsia="仿宋" w:cs="仿宋"/>
          <w:color w:val="222222"/>
          <w:kern w:val="0"/>
          <w:sz w:val="32"/>
          <w:szCs w:val="32"/>
          <w:lang w:val="en-US" w:eastAsia="zh-CN"/>
        </w:rPr>
        <w:t>258.10</w:t>
      </w:r>
      <w:r>
        <w:rPr>
          <w:rFonts w:hint="eastAsia" w:ascii="仿宋" w:hAnsi="仿宋" w:eastAsia="仿宋" w:cs="仿宋"/>
          <w:color w:val="222222"/>
          <w:kern w:val="0"/>
          <w:sz w:val="32"/>
          <w:szCs w:val="32"/>
        </w:rPr>
        <w:t>万元，决算</w:t>
      </w:r>
      <w:r>
        <w:rPr>
          <w:rFonts w:hint="eastAsia" w:ascii="仿宋" w:hAnsi="仿宋" w:eastAsia="仿宋" w:cs="仿宋"/>
          <w:color w:val="222222"/>
          <w:kern w:val="0"/>
          <w:sz w:val="32"/>
          <w:szCs w:val="32"/>
          <w:lang w:val="en-US" w:eastAsia="zh-CN"/>
        </w:rPr>
        <w:t>930.78</w:t>
      </w:r>
      <w:r>
        <w:rPr>
          <w:rFonts w:hint="eastAsia" w:ascii="仿宋" w:hAnsi="仿宋" w:eastAsia="仿宋" w:cs="仿宋"/>
          <w:color w:val="222222"/>
          <w:kern w:val="0"/>
          <w:sz w:val="32"/>
          <w:szCs w:val="32"/>
        </w:rPr>
        <w:t>万元。支出预算</w:t>
      </w:r>
      <w:r>
        <w:rPr>
          <w:rFonts w:hint="eastAsia" w:ascii="仿宋" w:hAnsi="仿宋" w:eastAsia="仿宋" w:cs="仿宋"/>
          <w:color w:val="222222"/>
          <w:kern w:val="0"/>
          <w:sz w:val="32"/>
          <w:szCs w:val="32"/>
          <w:lang w:val="en-US" w:eastAsia="zh-CN"/>
        </w:rPr>
        <w:t>258.10</w:t>
      </w:r>
      <w:r>
        <w:rPr>
          <w:rFonts w:hint="eastAsia" w:ascii="仿宋" w:hAnsi="仿宋" w:eastAsia="仿宋" w:cs="仿宋"/>
          <w:color w:val="222222"/>
          <w:kern w:val="0"/>
          <w:sz w:val="32"/>
          <w:szCs w:val="32"/>
        </w:rPr>
        <w:t>万元，决算</w:t>
      </w:r>
      <w:r>
        <w:rPr>
          <w:rFonts w:hint="eastAsia" w:ascii="仿宋" w:hAnsi="仿宋" w:eastAsia="仿宋" w:cs="仿宋"/>
          <w:color w:val="222222"/>
          <w:kern w:val="0"/>
          <w:sz w:val="32"/>
          <w:szCs w:val="32"/>
          <w:lang w:val="en-US" w:eastAsia="zh-CN"/>
        </w:rPr>
        <w:t>930.78</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预算收支的预、决算相差较大，主要原因是年中工资晋级晋档、年终绩效奖励、海创进场道路及场外进水管网补偿款、三年广告宣传费及垃圾填埋场雨污分流项目等资金年初未预算</w:t>
      </w:r>
      <w:r>
        <w:rPr>
          <w:rFonts w:hint="eastAsia" w:ascii="仿宋" w:hAnsi="仿宋" w:eastAsia="仿宋" w:cs="仿宋"/>
          <w:color w:val="222222"/>
          <w:kern w:val="0"/>
          <w:sz w:val="32"/>
          <w:szCs w:val="32"/>
          <w:lang w:val="en-US" w:eastAsia="zh-CN"/>
        </w:rPr>
        <w:t>。</w:t>
      </w:r>
    </w:p>
    <w:p>
      <w:pPr>
        <w:widowControl/>
        <w:autoSpaceDE w:val="0"/>
        <w:ind w:left="420" w:leftChars="200"/>
        <w:rPr>
          <w:rFonts w:ascii="楷体" w:hAnsi="楷体" w:eastAsia="楷体" w:cs="楷体"/>
          <w:b/>
          <w:bCs/>
          <w:color w:val="222222"/>
          <w:kern w:val="0"/>
          <w:sz w:val="32"/>
          <w:szCs w:val="32"/>
        </w:rPr>
      </w:pPr>
      <w:r>
        <w:rPr>
          <w:rFonts w:hint="eastAsia" w:ascii="楷体" w:hAnsi="楷体" w:eastAsia="楷体" w:cs="楷体"/>
          <w:b/>
          <w:bCs/>
          <w:color w:val="222222"/>
          <w:kern w:val="0"/>
          <w:sz w:val="32"/>
          <w:szCs w:val="32"/>
        </w:rPr>
        <w:t>（三）“三公经费”支出使用和管理情况</w:t>
      </w:r>
    </w:p>
    <w:p>
      <w:pPr>
        <w:widowControl/>
        <w:autoSpaceDE w:val="0"/>
        <w:ind w:firstLine="640" w:firstLineChars="200"/>
        <w:rPr>
          <w:rFonts w:ascii="仿宋" w:hAnsi="仿宋" w:eastAsia="仿宋" w:cs="仿宋"/>
          <w:color w:val="222222"/>
          <w:kern w:val="0"/>
          <w:sz w:val="32"/>
          <w:szCs w:val="32"/>
        </w:rPr>
      </w:pPr>
      <w:r>
        <w:rPr>
          <w:rFonts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年“三公”经费支出</w:t>
      </w:r>
      <w:r>
        <w:rPr>
          <w:rFonts w:hint="eastAsia" w:ascii="仿宋" w:hAnsi="仿宋" w:eastAsia="仿宋" w:cs="仿宋"/>
          <w:color w:val="222222"/>
          <w:kern w:val="0"/>
          <w:sz w:val="32"/>
          <w:szCs w:val="32"/>
          <w:lang w:val="en-US" w:eastAsia="zh-CN"/>
        </w:rPr>
        <w:t>5.37</w:t>
      </w:r>
      <w:r>
        <w:rPr>
          <w:rFonts w:hint="eastAsia" w:ascii="仿宋" w:hAnsi="仿宋" w:eastAsia="仿宋" w:cs="仿宋"/>
          <w:color w:val="222222"/>
          <w:kern w:val="0"/>
          <w:sz w:val="32"/>
          <w:szCs w:val="32"/>
        </w:rPr>
        <w:t>万元，年初预算</w:t>
      </w:r>
      <w:r>
        <w:rPr>
          <w:rFonts w:hint="eastAsia" w:ascii="仿宋" w:hAnsi="仿宋" w:eastAsia="仿宋" w:cs="仿宋"/>
          <w:color w:val="222222"/>
          <w:kern w:val="0"/>
          <w:sz w:val="32"/>
          <w:szCs w:val="32"/>
          <w:lang w:val="en-US" w:eastAsia="zh-CN"/>
        </w:rPr>
        <w:t>8.30</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节约了</w:t>
      </w:r>
      <w:r>
        <w:rPr>
          <w:rFonts w:hint="eastAsia" w:ascii="仿宋" w:hAnsi="仿宋" w:eastAsia="仿宋" w:cs="仿宋"/>
          <w:color w:val="222222"/>
          <w:kern w:val="0"/>
          <w:sz w:val="32"/>
          <w:szCs w:val="32"/>
          <w:lang w:val="en-US" w:eastAsia="zh-CN"/>
        </w:rPr>
        <w:t>35.30</w:t>
      </w:r>
      <w:r>
        <w:rPr>
          <w:rFonts w:ascii="仿宋" w:hAnsi="仿宋" w:eastAsia="仿宋" w:cs="仿宋"/>
          <w:color w:val="222222"/>
          <w:kern w:val="0"/>
          <w:sz w:val="32"/>
          <w:szCs w:val="32"/>
        </w:rPr>
        <w:t>%</w:t>
      </w:r>
      <w:r>
        <w:rPr>
          <w:rFonts w:hint="eastAsia" w:ascii="仿宋" w:hAnsi="仿宋" w:eastAsia="仿宋" w:cs="仿宋"/>
          <w:color w:val="222222"/>
          <w:kern w:val="0"/>
          <w:sz w:val="32"/>
          <w:szCs w:val="32"/>
        </w:rPr>
        <w:t>。其中：因公出国（境）费</w:t>
      </w:r>
      <w:r>
        <w:rPr>
          <w:rFonts w:ascii="仿宋" w:hAnsi="仿宋" w:eastAsia="仿宋" w:cs="仿宋"/>
          <w:color w:val="222222"/>
          <w:kern w:val="0"/>
          <w:sz w:val="32"/>
          <w:szCs w:val="32"/>
        </w:rPr>
        <w:t>0</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公务用车购置及运行维护费（公务用车运行维护费）</w:t>
      </w:r>
      <w:r>
        <w:rPr>
          <w:rFonts w:hint="eastAsia" w:ascii="仿宋" w:hAnsi="仿宋" w:eastAsia="仿宋" w:cs="仿宋"/>
          <w:color w:val="222222"/>
          <w:kern w:val="0"/>
          <w:sz w:val="32"/>
          <w:szCs w:val="32"/>
          <w:lang w:val="en-US" w:eastAsia="zh-CN"/>
        </w:rPr>
        <w:t>4.80</w:t>
      </w:r>
      <w:r>
        <w:rPr>
          <w:rFonts w:hint="eastAsia" w:ascii="仿宋" w:hAnsi="仿宋" w:eastAsia="仿宋" w:cs="仿宋"/>
          <w:color w:val="222222"/>
          <w:kern w:val="0"/>
          <w:sz w:val="32"/>
          <w:szCs w:val="32"/>
        </w:rPr>
        <w:t>万元，公务接待费</w:t>
      </w:r>
      <w:r>
        <w:rPr>
          <w:rFonts w:hint="eastAsia" w:ascii="仿宋" w:hAnsi="仿宋" w:eastAsia="仿宋" w:cs="仿宋"/>
          <w:color w:val="222222"/>
          <w:kern w:val="0"/>
          <w:sz w:val="32"/>
          <w:szCs w:val="32"/>
          <w:lang w:val="en-US" w:eastAsia="zh-CN"/>
        </w:rPr>
        <w:t>0.57</w:t>
      </w:r>
      <w:r>
        <w:rPr>
          <w:rFonts w:hint="eastAsia" w:ascii="仿宋" w:hAnsi="仿宋" w:eastAsia="仿宋" w:cs="仿宋"/>
          <w:color w:val="222222"/>
          <w:kern w:val="0"/>
          <w:sz w:val="32"/>
          <w:szCs w:val="32"/>
        </w:rPr>
        <w:t>万元。</w:t>
      </w:r>
    </w:p>
    <w:p>
      <w:pPr>
        <w:widowControl/>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三、部门绩效目标</w:t>
      </w:r>
    </w:p>
    <w:p>
      <w:pPr>
        <w:widowControl/>
        <w:autoSpaceDE w:val="0"/>
        <w:ind w:firstLine="643" w:firstLineChars="200"/>
        <w:rPr>
          <w:rFonts w:ascii="楷体" w:hAnsi="楷体" w:eastAsia="楷体" w:cs="楷体"/>
          <w:b/>
          <w:bCs/>
          <w:color w:val="222222"/>
          <w:kern w:val="0"/>
          <w:sz w:val="32"/>
          <w:szCs w:val="32"/>
        </w:rPr>
      </w:pPr>
      <w:r>
        <w:rPr>
          <w:rFonts w:hint="eastAsia" w:ascii="楷体" w:hAnsi="楷体" w:eastAsia="楷体" w:cs="楷体"/>
          <w:b/>
          <w:bCs/>
          <w:color w:val="222222"/>
          <w:kern w:val="0"/>
          <w:sz w:val="32"/>
          <w:szCs w:val="32"/>
        </w:rPr>
        <w:t>（一）部门绩效总目标</w:t>
      </w:r>
    </w:p>
    <w:p>
      <w:pPr>
        <w:widowControl/>
        <w:autoSpaceDE w:val="0"/>
        <w:ind w:firstLine="640" w:firstLineChars="200"/>
        <w:rPr>
          <w:rFonts w:ascii="宋体" w:cs="宋体"/>
          <w:color w:val="222222"/>
          <w:kern w:val="0"/>
          <w:szCs w:val="21"/>
        </w:rPr>
      </w:pPr>
      <w:r>
        <w:rPr>
          <w:rFonts w:hint="eastAsia" w:ascii="仿宋" w:hAnsi="仿宋" w:eastAsia="仿宋" w:cs="仿宋"/>
          <w:color w:val="222222"/>
          <w:kern w:val="0"/>
          <w:sz w:val="32"/>
          <w:szCs w:val="32"/>
        </w:rPr>
        <w:t>按我单位的职能职责，着力推动城区市容</w:t>
      </w:r>
      <w:r>
        <w:rPr>
          <w:rFonts w:hint="eastAsia" w:ascii="仿宋" w:hAnsi="仿宋" w:eastAsia="仿宋" w:cs="仿宋"/>
          <w:color w:val="222222"/>
          <w:kern w:val="0"/>
          <w:sz w:val="32"/>
          <w:szCs w:val="32"/>
          <w:lang w:eastAsia="zh-CN"/>
        </w:rPr>
        <w:t>提</w:t>
      </w:r>
      <w:r>
        <w:rPr>
          <w:rFonts w:hint="eastAsia" w:ascii="仿宋" w:hAnsi="仿宋" w:eastAsia="仿宋" w:cs="仿宋"/>
          <w:color w:val="222222"/>
          <w:kern w:val="0"/>
          <w:sz w:val="32"/>
          <w:szCs w:val="32"/>
        </w:rPr>
        <w:t>质，开展“四个专项行动”</w:t>
      </w:r>
      <w:r>
        <w:rPr>
          <w:rFonts w:hint="eastAsia" w:ascii="仿宋" w:hAnsi="仿宋" w:eastAsia="仿宋" w:cs="仿宋"/>
          <w:color w:val="222222"/>
          <w:kern w:val="0"/>
          <w:sz w:val="32"/>
          <w:szCs w:val="32"/>
          <w:lang w:eastAsia="zh-CN"/>
        </w:rPr>
        <w:t>、</w:t>
      </w:r>
      <w:r>
        <w:rPr>
          <w:rFonts w:hint="eastAsia" w:ascii="仿宋" w:hAnsi="仿宋" w:eastAsia="仿宋"/>
          <w:sz w:val="32"/>
          <w:szCs w:val="32"/>
          <w:lang w:eastAsia="zh-CN"/>
        </w:rPr>
        <w:t>“百日百街专项整治行动”，</w:t>
      </w:r>
      <w:r>
        <w:rPr>
          <w:rFonts w:hint="eastAsia" w:ascii="仿宋" w:hAnsi="仿宋" w:eastAsia="仿宋" w:cs="仿宋"/>
          <w:color w:val="222222"/>
          <w:kern w:val="0"/>
          <w:sz w:val="32"/>
          <w:szCs w:val="32"/>
        </w:rPr>
        <w:t>全面整治城区“六乱”行为，推进户外广告提质改造</w:t>
      </w:r>
      <w:r>
        <w:rPr>
          <w:rFonts w:hint="eastAsia" w:ascii="仿宋" w:hAnsi="仿宋" w:eastAsia="仿宋" w:cs="仿宋"/>
          <w:color w:val="222222"/>
          <w:kern w:val="0"/>
          <w:sz w:val="32"/>
          <w:szCs w:val="32"/>
          <w:lang w:eastAsia="zh-CN"/>
        </w:rPr>
        <w:t>和长效管理</w:t>
      </w:r>
      <w:r>
        <w:rPr>
          <w:rFonts w:hint="eastAsia" w:ascii="仿宋" w:hAnsi="仿宋" w:eastAsia="仿宋" w:cs="仿宋"/>
          <w:color w:val="222222"/>
          <w:kern w:val="0"/>
          <w:sz w:val="32"/>
          <w:szCs w:val="32"/>
        </w:rPr>
        <w:t>、渣土管理常态长效、城管职能向建制镇延伸、城乡垃圾一体化处理建设、智慧城市数字化工程、全县重大项目建设，全面提升独立办案能力，强力推进法制工作。</w:t>
      </w:r>
    </w:p>
    <w:p>
      <w:pPr>
        <w:widowControl/>
        <w:autoSpaceDE w:val="0"/>
        <w:ind w:firstLine="643" w:firstLineChars="200"/>
        <w:rPr>
          <w:rFonts w:ascii="楷体" w:hAnsi="楷体" w:eastAsia="楷体" w:cs="楷体"/>
          <w:b/>
          <w:bCs/>
          <w:color w:val="222222"/>
          <w:kern w:val="0"/>
          <w:sz w:val="32"/>
          <w:szCs w:val="32"/>
        </w:rPr>
      </w:pPr>
      <w:r>
        <w:rPr>
          <w:rFonts w:hint="eastAsia" w:ascii="楷体" w:hAnsi="楷体" w:eastAsia="楷体" w:cs="楷体"/>
          <w:b/>
          <w:bCs/>
          <w:color w:val="222222"/>
          <w:kern w:val="0"/>
          <w:sz w:val="32"/>
          <w:szCs w:val="32"/>
        </w:rPr>
        <w:t>（二）</w:t>
      </w:r>
      <w:r>
        <w:rPr>
          <w:rFonts w:ascii="楷体" w:hAnsi="楷体" w:eastAsia="楷体" w:cs="楷体"/>
          <w:b/>
          <w:bCs/>
          <w:color w:val="222222"/>
          <w:kern w:val="0"/>
          <w:sz w:val="32"/>
          <w:szCs w:val="32"/>
        </w:rPr>
        <w:t>201</w:t>
      </w:r>
      <w:r>
        <w:rPr>
          <w:rFonts w:hint="eastAsia" w:ascii="楷体" w:hAnsi="楷体" w:eastAsia="楷体" w:cs="楷体"/>
          <w:b/>
          <w:bCs/>
          <w:color w:val="222222"/>
          <w:kern w:val="0"/>
          <w:sz w:val="32"/>
          <w:szCs w:val="32"/>
          <w:lang w:val="en-US" w:eastAsia="zh-CN"/>
        </w:rPr>
        <w:t>9</w:t>
      </w:r>
      <w:r>
        <w:rPr>
          <w:rFonts w:hint="eastAsia" w:ascii="楷体" w:hAnsi="楷体" w:eastAsia="楷体" w:cs="楷体"/>
          <w:b/>
          <w:bCs/>
          <w:color w:val="222222"/>
          <w:kern w:val="0"/>
          <w:sz w:val="32"/>
          <w:szCs w:val="32"/>
        </w:rPr>
        <w:t>年度部门绩效目标</w:t>
      </w:r>
    </w:p>
    <w:p>
      <w:pPr>
        <w:spacing w:line="600" w:lineRule="exact"/>
        <w:ind w:firstLine="640" w:firstLineChars="200"/>
        <w:rPr>
          <w:rFonts w:ascii="仿宋" w:hAnsi="仿宋" w:eastAsia="仿宋" w:cs="仿宋"/>
          <w:color w:val="222222"/>
          <w:kern w:val="0"/>
          <w:sz w:val="32"/>
          <w:szCs w:val="32"/>
        </w:rPr>
      </w:pPr>
      <w:r>
        <w:rPr>
          <w:rFonts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eastAsia="zh-CN"/>
        </w:rPr>
        <w:t>落实意识形态工作主体责任，</w:t>
      </w:r>
      <w:r>
        <w:rPr>
          <w:rFonts w:hint="eastAsia" w:ascii="仿宋_GB2312" w:hAnsi="仿宋" w:eastAsia="仿宋_GB2312"/>
          <w:sz w:val="32"/>
          <w:szCs w:val="32"/>
        </w:rPr>
        <w:t>调度党建工作2次，专题研究部署党建工作12 次，组织集中学习党章、党的十九大精神21次、理论宣讲1次、邀请县委党校专家理论辅导1次，</w:t>
      </w:r>
      <w:r>
        <w:rPr>
          <w:rFonts w:hint="eastAsia" w:ascii="仿宋" w:hAnsi="仿宋" w:eastAsia="仿宋" w:cs="仿宋"/>
          <w:color w:val="222222"/>
          <w:kern w:val="0"/>
          <w:sz w:val="32"/>
          <w:szCs w:val="32"/>
        </w:rPr>
        <w:t>开展“四个专项行动”，</w:t>
      </w:r>
      <w:r>
        <w:rPr>
          <w:rFonts w:hint="eastAsia" w:ascii="仿宋" w:hAnsi="仿宋" w:eastAsia="仿宋"/>
          <w:sz w:val="32"/>
          <w:szCs w:val="32"/>
          <w:lang w:eastAsia="zh-CN"/>
        </w:rPr>
        <w:t>“百日百街专项整治行动”，</w:t>
      </w:r>
      <w:r>
        <w:rPr>
          <w:rFonts w:hint="eastAsia" w:ascii="仿宋" w:hAnsi="仿宋" w:eastAsia="仿宋" w:cs="仿宋"/>
          <w:color w:val="222222"/>
          <w:kern w:val="0"/>
          <w:sz w:val="32"/>
          <w:szCs w:val="32"/>
        </w:rPr>
        <w:t>全面整治城区“六乱”，</w:t>
      </w:r>
      <w:r>
        <w:rPr>
          <w:rFonts w:ascii="Arial Narrow" w:hAnsi="Arial Narrow" w:eastAsia="仿宋_GB2312"/>
          <w:sz w:val="32"/>
          <w:szCs w:val="32"/>
        </w:rPr>
        <w:t>拆除横幅、条幅、气球、拱门</w:t>
      </w:r>
      <w:r>
        <w:rPr>
          <w:rFonts w:hint="eastAsia" w:ascii="仿宋" w:hAnsi="仿宋" w:eastAsia="仿宋" w:cs="仿宋"/>
          <w:sz w:val="32"/>
          <w:szCs w:val="32"/>
          <w:lang w:val="en-US" w:eastAsia="zh-CN"/>
        </w:rPr>
        <w:t>800</w:t>
      </w:r>
      <w:r>
        <w:rPr>
          <w:rFonts w:ascii="Arial Narrow" w:hAnsi="Arial Narrow" w:eastAsia="仿宋_GB2312"/>
          <w:sz w:val="32"/>
          <w:szCs w:val="32"/>
        </w:rPr>
        <w:t>处，清理喷绘广告、落地广告</w:t>
      </w:r>
      <w:r>
        <w:rPr>
          <w:rFonts w:hint="eastAsia" w:ascii="仿宋" w:hAnsi="仿宋" w:eastAsia="仿宋" w:cs="仿宋"/>
          <w:sz w:val="32"/>
          <w:szCs w:val="32"/>
        </w:rPr>
        <w:t>3500</w:t>
      </w:r>
      <w:r>
        <w:rPr>
          <w:rFonts w:ascii="Arial Narrow" w:hAnsi="Arial Narrow" w:eastAsia="仿宋_GB2312"/>
          <w:sz w:val="32"/>
          <w:szCs w:val="32"/>
        </w:rPr>
        <w:t>处，规范围挡作业</w:t>
      </w:r>
      <w:r>
        <w:rPr>
          <w:rFonts w:hint="eastAsia" w:ascii="仿宋" w:hAnsi="仿宋" w:eastAsia="仿宋" w:cs="仿宋"/>
          <w:sz w:val="32"/>
          <w:szCs w:val="32"/>
        </w:rPr>
        <w:t>700</w:t>
      </w:r>
      <w:r>
        <w:rPr>
          <w:rFonts w:ascii="Arial Narrow" w:hAnsi="Arial Narrow" w:eastAsia="仿宋_GB2312"/>
          <w:sz w:val="32"/>
          <w:szCs w:val="32"/>
        </w:rPr>
        <w:t>处。</w:t>
      </w:r>
      <w:r>
        <w:rPr>
          <w:rFonts w:hint="eastAsia" w:ascii="仿宋" w:hAnsi="仿宋" w:eastAsia="仿宋" w:cs="仿宋"/>
          <w:color w:val="222222"/>
          <w:kern w:val="0"/>
          <w:sz w:val="32"/>
          <w:szCs w:val="32"/>
          <w:lang w:val="en-US" w:eastAsia="zh-CN"/>
        </w:rPr>
        <w:t>清理</w:t>
      </w:r>
      <w:r>
        <w:rPr>
          <w:rFonts w:hint="eastAsia" w:ascii="仿宋" w:hAnsi="仿宋" w:eastAsia="仿宋" w:cs="仿宋"/>
          <w:color w:val="222222"/>
          <w:kern w:val="0"/>
          <w:sz w:val="32"/>
          <w:szCs w:val="32"/>
        </w:rPr>
        <w:t>牛皮癣</w:t>
      </w:r>
      <w:r>
        <w:rPr>
          <w:rFonts w:hint="eastAsia" w:ascii="仿宋" w:hAnsi="仿宋" w:eastAsia="仿宋" w:cs="仿宋"/>
          <w:color w:val="222222"/>
          <w:kern w:val="0"/>
          <w:sz w:val="32"/>
          <w:szCs w:val="32"/>
          <w:lang w:val="en-US" w:eastAsia="zh-CN"/>
        </w:rPr>
        <w:t>6500处</w:t>
      </w:r>
      <w:r>
        <w:rPr>
          <w:rFonts w:hint="eastAsia" w:ascii="仿宋" w:hAnsi="仿宋" w:eastAsia="仿宋" w:cs="仿宋"/>
          <w:color w:val="222222"/>
          <w:kern w:val="0"/>
          <w:sz w:val="32"/>
          <w:szCs w:val="32"/>
        </w:rPr>
        <w:t>，</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清理老旧灯笼9</w:t>
      </w:r>
      <w:r>
        <w:rPr>
          <w:rFonts w:hint="eastAsia" w:ascii="仿宋_GB2312" w:hAnsi="仿宋" w:eastAsia="仿宋_GB2312"/>
          <w:color w:val="000000" w:themeColor="text1"/>
          <w:spacing w:val="15"/>
          <w:sz w:val="32"/>
          <w:szCs w:val="32"/>
          <w:shd w:val="clear" w:color="auto" w:fill="FFFFFF"/>
          <w:lang w:val="en-US" w:eastAsia="zh-CN"/>
          <w14:textFill>
            <w14:solidFill>
              <w14:schemeClr w14:val="tx1"/>
            </w14:solidFill>
          </w14:textFill>
        </w:rPr>
        <w:t>00</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个、临街各类违法建筑1</w:t>
      </w:r>
      <w:r>
        <w:rPr>
          <w:rFonts w:hint="eastAsia" w:ascii="仿宋_GB2312" w:hAnsi="仿宋" w:eastAsia="仿宋_GB2312"/>
          <w:color w:val="000000" w:themeColor="text1"/>
          <w:spacing w:val="15"/>
          <w:sz w:val="32"/>
          <w:szCs w:val="32"/>
          <w:shd w:val="clear" w:color="auto" w:fill="FFFFFF"/>
          <w:lang w:val="en-US" w:eastAsia="zh-CN"/>
          <w14:textFill>
            <w14:solidFill>
              <w14:schemeClr w14:val="tx1"/>
            </w14:solidFill>
          </w14:textFill>
        </w:rPr>
        <w:t>00</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0处、水泥墩路障</w:t>
      </w:r>
      <w:r>
        <w:rPr>
          <w:rFonts w:hint="eastAsia" w:ascii="仿宋_GB2312" w:hAnsi="仿宋" w:eastAsia="仿宋_GB2312"/>
          <w:color w:val="000000" w:themeColor="text1"/>
          <w:spacing w:val="15"/>
          <w:sz w:val="32"/>
          <w:szCs w:val="32"/>
          <w:shd w:val="clear" w:color="auto" w:fill="FFFFFF"/>
          <w:lang w:val="en-US" w:eastAsia="zh-CN"/>
          <w14:textFill>
            <w14:solidFill>
              <w14:schemeClr w14:val="tx1"/>
            </w14:solidFill>
          </w14:textFill>
        </w:rPr>
        <w:t>100</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处，清运拆除垃圾12</w:t>
      </w:r>
      <w:r>
        <w:rPr>
          <w:rFonts w:hint="eastAsia" w:ascii="仿宋_GB2312" w:hAnsi="仿宋" w:eastAsia="仿宋_GB2312"/>
          <w:color w:val="000000" w:themeColor="text1"/>
          <w:spacing w:val="15"/>
          <w:sz w:val="32"/>
          <w:szCs w:val="32"/>
          <w:shd w:val="clear" w:color="auto" w:fill="FFFFFF"/>
          <w:lang w:val="en-US" w:eastAsia="zh-CN"/>
          <w14:textFill>
            <w14:solidFill>
              <w14:schemeClr w14:val="tx1"/>
            </w14:solidFill>
          </w14:textFill>
        </w:rPr>
        <w:t>00</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8车，拆除违建面积1</w:t>
      </w:r>
      <w:r>
        <w:rPr>
          <w:rFonts w:hint="eastAsia" w:ascii="仿宋_GB2312" w:hAnsi="仿宋" w:eastAsia="仿宋_GB2312"/>
          <w:color w:val="000000" w:themeColor="text1"/>
          <w:spacing w:val="15"/>
          <w:sz w:val="32"/>
          <w:szCs w:val="32"/>
          <w:shd w:val="clear" w:color="auto" w:fill="FFFFFF"/>
          <w:lang w:val="en-US" w:eastAsia="zh-CN"/>
          <w14:textFill>
            <w14:solidFill>
              <w14:schemeClr w14:val="tx1"/>
            </w14:solidFill>
          </w14:textFill>
        </w:rPr>
        <w:t>50</w:t>
      </w:r>
      <w:r>
        <w:rPr>
          <w:rFonts w:hint="eastAsia" w:ascii="仿宋_GB2312" w:hAnsi="仿宋" w:eastAsia="仿宋_GB2312"/>
          <w:color w:val="000000" w:themeColor="text1"/>
          <w:spacing w:val="15"/>
          <w:sz w:val="32"/>
          <w:szCs w:val="32"/>
          <w:shd w:val="clear" w:color="auto" w:fill="FFFFFF"/>
          <w14:textFill>
            <w14:solidFill>
              <w14:schemeClr w14:val="tx1"/>
            </w14:solidFill>
          </w14:textFill>
        </w:rPr>
        <w:t>00余平方米</w:t>
      </w:r>
      <w:r>
        <w:rPr>
          <w:rFonts w:hint="eastAsia" w:ascii="仿宋_GB2312" w:hAnsi="仿宋" w:eastAsia="仿宋_GB2312"/>
          <w:color w:val="000000" w:themeColor="text1"/>
          <w:spacing w:val="15"/>
          <w:sz w:val="32"/>
          <w:szCs w:val="32"/>
          <w:shd w:val="clear" w:color="auto" w:fill="FFFFFF"/>
          <w:lang w:eastAsia="zh-CN"/>
          <w14:textFill>
            <w14:solidFill>
              <w14:schemeClr w14:val="tx1"/>
            </w14:solidFill>
          </w14:textFill>
        </w:rPr>
        <w:t>，</w:t>
      </w:r>
      <w:r>
        <w:rPr>
          <w:rFonts w:ascii="Arial Narrow" w:hAnsi="Arial Narrow" w:eastAsia="仿宋_GB2312"/>
          <w:sz w:val="32"/>
          <w:szCs w:val="32"/>
        </w:rPr>
        <w:t>查处各类夜市违规经营行为</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0</w:t>
      </w:r>
      <w:r>
        <w:rPr>
          <w:rFonts w:ascii="Arial Narrow" w:hAnsi="Arial Narrow" w:eastAsia="仿宋_GB2312"/>
          <w:sz w:val="32"/>
          <w:szCs w:val="32"/>
        </w:rPr>
        <w:t>起</w:t>
      </w:r>
      <w:r>
        <w:rPr>
          <w:rFonts w:hint="eastAsia" w:ascii="Arial Narrow" w:hAnsi="Arial Narrow" w:eastAsia="仿宋_GB2312"/>
          <w:sz w:val="32"/>
          <w:szCs w:val="32"/>
          <w:lang w:eastAsia="zh-CN"/>
        </w:rPr>
        <w:t>，</w:t>
      </w:r>
      <w:r>
        <w:rPr>
          <w:rFonts w:hint="eastAsia" w:ascii="仿宋" w:hAnsi="仿宋" w:eastAsia="仿宋" w:cs="仿宋"/>
          <w:color w:val="222222"/>
          <w:kern w:val="0"/>
          <w:sz w:val="32"/>
          <w:szCs w:val="32"/>
          <w:lang w:eastAsia="zh-CN"/>
        </w:rPr>
        <w:t>组织开展大型市容市貌集中整治行动</w:t>
      </w:r>
      <w:r>
        <w:rPr>
          <w:rFonts w:hint="eastAsia" w:ascii="仿宋" w:hAnsi="仿宋" w:eastAsia="仿宋" w:cs="仿宋"/>
          <w:color w:val="222222"/>
          <w:kern w:val="0"/>
          <w:sz w:val="32"/>
          <w:szCs w:val="32"/>
          <w:lang w:val="en-US" w:eastAsia="zh-CN"/>
        </w:rPr>
        <w:t>80次</w:t>
      </w:r>
      <w:r>
        <w:rPr>
          <w:rFonts w:hint="eastAsia" w:ascii="仿宋" w:hAnsi="仿宋" w:eastAsia="仿宋" w:cs="仿宋"/>
          <w:color w:val="222222"/>
          <w:kern w:val="0"/>
          <w:sz w:val="32"/>
          <w:szCs w:val="32"/>
          <w:lang w:eastAsia="zh-CN"/>
        </w:rPr>
        <w:t>，查处各类占道经营</w:t>
      </w:r>
      <w:r>
        <w:rPr>
          <w:rFonts w:hint="eastAsia" w:ascii="仿宋" w:hAnsi="仿宋" w:eastAsia="仿宋" w:cs="仿宋"/>
          <w:color w:val="222222"/>
          <w:kern w:val="0"/>
          <w:sz w:val="32"/>
          <w:szCs w:val="32"/>
          <w:lang w:val="en-US" w:eastAsia="zh-CN"/>
        </w:rPr>
        <w:t>5000起、流动摊点6000个</w:t>
      </w:r>
      <w:r>
        <w:rPr>
          <w:rFonts w:hint="eastAsia" w:ascii="仿宋" w:hAnsi="仿宋" w:eastAsia="仿宋" w:cs="仿宋"/>
          <w:color w:val="222222"/>
          <w:kern w:val="0"/>
          <w:sz w:val="32"/>
          <w:szCs w:val="32"/>
          <w:lang w:eastAsia="zh-CN"/>
        </w:rPr>
        <w:t>，取缔露天烧烤，依法扣押烧烤摊具</w:t>
      </w:r>
      <w:r>
        <w:rPr>
          <w:rFonts w:hint="eastAsia" w:ascii="仿宋" w:hAnsi="仿宋" w:eastAsia="仿宋" w:cs="仿宋"/>
          <w:color w:val="222222"/>
          <w:kern w:val="0"/>
          <w:sz w:val="32"/>
          <w:szCs w:val="32"/>
          <w:lang w:val="en-US" w:eastAsia="zh-CN"/>
        </w:rPr>
        <w:t>200个，</w:t>
      </w:r>
      <w:r>
        <w:rPr>
          <w:rFonts w:hint="eastAsia" w:ascii="仿宋" w:hAnsi="仿宋" w:eastAsia="仿宋" w:cs="仿宋"/>
          <w:color w:val="222222"/>
          <w:kern w:val="0"/>
          <w:sz w:val="32"/>
          <w:szCs w:val="32"/>
          <w:lang w:eastAsia="zh-CN"/>
        </w:rPr>
        <w:t>加强法制培训，规范卷宗制作，</w:t>
      </w:r>
      <w:r>
        <w:rPr>
          <w:rFonts w:hint="eastAsia" w:ascii="仿宋" w:hAnsi="仿宋" w:eastAsia="仿宋" w:cs="仿宋"/>
          <w:sz w:val="32"/>
          <w:szCs w:val="32"/>
        </w:rPr>
        <w:t>生活垃圾焚烧发电厂全面完工并投入运营</w:t>
      </w:r>
      <w:r>
        <w:rPr>
          <w:rFonts w:hint="eastAsia" w:ascii="仿宋" w:hAnsi="仿宋" w:eastAsia="仿宋" w:cs="仿宋"/>
          <w:sz w:val="32"/>
          <w:szCs w:val="32"/>
          <w:lang w:eastAsia="zh-CN"/>
        </w:rPr>
        <w:t>，</w:t>
      </w:r>
      <w:r>
        <w:rPr>
          <w:rFonts w:hint="eastAsia" w:ascii="仿宋" w:hAnsi="仿宋" w:eastAsia="仿宋" w:cs="仿宋"/>
          <w:sz w:val="32"/>
          <w:szCs w:val="32"/>
        </w:rPr>
        <w:t>完</w:t>
      </w:r>
      <w:r>
        <w:rPr>
          <w:rFonts w:hint="eastAsia" w:ascii="仿宋_GB2312" w:hAnsi="仿宋" w:eastAsia="仿宋_GB2312"/>
          <w:sz w:val="32"/>
          <w:szCs w:val="32"/>
        </w:rPr>
        <w:t>成城区“三改四化”部分路段移树600株</w:t>
      </w:r>
      <w:r>
        <w:rPr>
          <w:rFonts w:hint="eastAsia" w:ascii="仿宋_GB2312" w:hAnsi="仿宋" w:eastAsia="仿宋_GB2312"/>
          <w:sz w:val="32"/>
          <w:szCs w:val="32"/>
          <w:lang w:eastAsia="zh-CN"/>
        </w:rPr>
        <w:t>，</w:t>
      </w:r>
      <w:r>
        <w:rPr>
          <w:rFonts w:hint="eastAsia" w:ascii="仿宋_GB2312" w:hAnsi="仿宋" w:eastAsia="仿宋_GB2312"/>
          <w:sz w:val="32"/>
          <w:szCs w:val="32"/>
        </w:rPr>
        <w:t>完成津澧大道东段移树750株；澧浦北路绿化施工5000平方米</w:t>
      </w:r>
      <w:r>
        <w:rPr>
          <w:rFonts w:hint="eastAsia" w:ascii="仿宋_GB2312" w:hAnsi="仿宋" w:eastAsia="仿宋_GB2312"/>
          <w:sz w:val="32"/>
          <w:szCs w:val="32"/>
          <w:lang w:eastAsia="zh-CN"/>
        </w:rPr>
        <w:t>，</w:t>
      </w:r>
      <w:r>
        <w:rPr>
          <w:rFonts w:hint="eastAsia" w:ascii="仿宋_GB2312" w:hAnsi="仿宋" w:eastAsia="仿宋_GB2312"/>
          <w:sz w:val="32"/>
          <w:szCs w:val="32"/>
        </w:rPr>
        <w:t>义务植树460株</w:t>
      </w:r>
      <w:r>
        <w:rPr>
          <w:rFonts w:hint="eastAsia" w:ascii="仿宋_GB2312" w:hAnsi="仿宋" w:eastAsia="仿宋_GB2312"/>
          <w:sz w:val="32"/>
          <w:szCs w:val="32"/>
          <w:lang w:eastAsia="zh-CN"/>
        </w:rPr>
        <w:t>，</w:t>
      </w:r>
      <w:r>
        <w:rPr>
          <w:rFonts w:hint="eastAsia" w:ascii="仿宋" w:hAnsi="仿宋" w:eastAsia="仿宋" w:cs="仿宋"/>
          <w:color w:val="222222"/>
          <w:kern w:val="0"/>
          <w:sz w:val="32"/>
          <w:szCs w:val="32"/>
          <w:lang w:eastAsia="zh-CN"/>
        </w:rPr>
        <w:t>完成全年非税收入入库</w:t>
      </w:r>
      <w:r>
        <w:rPr>
          <w:rFonts w:hint="eastAsia" w:ascii="仿宋" w:hAnsi="仿宋" w:eastAsia="仿宋" w:cs="仿宋"/>
          <w:color w:val="222222"/>
          <w:kern w:val="0"/>
          <w:sz w:val="32"/>
          <w:szCs w:val="32"/>
          <w:lang w:val="en-US" w:eastAsia="zh-CN"/>
        </w:rPr>
        <w:t>99万元，合</w:t>
      </w:r>
      <w:r>
        <w:rPr>
          <w:rFonts w:hint="eastAsia" w:ascii="仿宋" w:hAnsi="仿宋" w:eastAsia="仿宋" w:cs="仿宋"/>
          <w:color w:val="222222"/>
          <w:kern w:val="0"/>
          <w:sz w:val="32"/>
          <w:szCs w:val="32"/>
        </w:rPr>
        <w:t>理支出提质指挥部经费，配合县委、</w:t>
      </w:r>
      <w:r>
        <w:rPr>
          <w:rFonts w:hint="eastAsia" w:ascii="仿宋" w:hAnsi="仿宋" w:eastAsia="仿宋" w:cs="仿宋"/>
          <w:color w:val="222222"/>
          <w:kern w:val="0"/>
          <w:sz w:val="32"/>
          <w:szCs w:val="32"/>
          <w:lang w:val="en-US" w:eastAsia="zh-CN"/>
        </w:rPr>
        <w:t>县</w:t>
      </w:r>
      <w:r>
        <w:rPr>
          <w:rFonts w:hint="eastAsia" w:ascii="仿宋" w:hAnsi="仿宋" w:eastAsia="仿宋" w:cs="仿宋"/>
          <w:color w:val="222222"/>
          <w:kern w:val="0"/>
          <w:sz w:val="32"/>
          <w:szCs w:val="32"/>
        </w:rPr>
        <w:t>政府落实</w:t>
      </w:r>
      <w:r>
        <w:rPr>
          <w:rFonts w:hint="eastAsia" w:ascii="仿宋" w:hAnsi="仿宋" w:eastAsia="仿宋" w:cs="仿宋"/>
          <w:color w:val="222222"/>
          <w:kern w:val="0"/>
          <w:sz w:val="32"/>
          <w:szCs w:val="32"/>
          <w:lang w:eastAsia="zh-CN"/>
        </w:rPr>
        <w:t>河湖连通、城区路改、美丽乡村建设、美丽澧州三年绿色植树造林活动、精准扶贫脱贫等</w:t>
      </w:r>
      <w:r>
        <w:rPr>
          <w:rFonts w:hint="eastAsia" w:ascii="仿宋" w:hAnsi="仿宋" w:eastAsia="仿宋" w:cs="仿宋"/>
          <w:color w:val="222222"/>
          <w:kern w:val="0"/>
          <w:sz w:val="32"/>
          <w:szCs w:val="32"/>
        </w:rPr>
        <w:t>其他工作。</w:t>
      </w:r>
    </w:p>
    <w:p>
      <w:pPr>
        <w:widowControl/>
        <w:numPr>
          <w:ilvl w:val="0"/>
          <w:numId w:val="1"/>
        </w:numPr>
        <w:autoSpaceDE w:val="0"/>
        <w:ind w:firstLine="643" w:firstLineChars="200"/>
        <w:rPr>
          <w:rFonts w:ascii="黑体" w:hAnsi="黑体" w:eastAsia="黑体" w:cs="黑体"/>
          <w:b/>
          <w:color w:val="222222"/>
          <w:kern w:val="0"/>
          <w:sz w:val="32"/>
          <w:szCs w:val="32"/>
        </w:rPr>
      </w:pPr>
      <w:r>
        <w:rPr>
          <w:rFonts w:hint="eastAsia" w:ascii="黑体" w:hAnsi="黑体" w:eastAsia="黑体" w:cs="黑体"/>
          <w:b/>
          <w:color w:val="222222"/>
          <w:kern w:val="0"/>
          <w:sz w:val="32"/>
          <w:szCs w:val="32"/>
        </w:rPr>
        <w:t>绩效评价工作情况</w:t>
      </w:r>
    </w:p>
    <w:p>
      <w:pPr>
        <w:widowControl/>
        <w:autoSpaceDE w:val="0"/>
        <w:ind w:firstLine="640" w:firstLineChars="200"/>
        <w:rPr>
          <w:rFonts w:ascii="仿宋" w:hAnsi="仿宋" w:eastAsia="仿宋" w:cs="仿宋"/>
          <w:bCs/>
          <w:color w:val="222222"/>
          <w:kern w:val="0"/>
          <w:sz w:val="32"/>
          <w:szCs w:val="32"/>
        </w:rPr>
      </w:pPr>
      <w:r>
        <w:rPr>
          <w:rFonts w:hint="eastAsia" w:ascii="仿宋" w:hAnsi="仿宋" w:eastAsia="仿宋" w:cs="仿宋"/>
          <w:bCs/>
          <w:color w:val="222222"/>
          <w:kern w:val="0"/>
          <w:sz w:val="32"/>
          <w:szCs w:val="32"/>
        </w:rPr>
        <w:t>我局高度重视绩效评价工作，按县财政局相关文件精神，坚持“谁花钱、评价谁”、“花钱无效要问责”的评价原则，将部门年初预算细化到各股室，明确专人负责，及时组织自评自查。</w:t>
      </w:r>
    </w:p>
    <w:p>
      <w:pPr>
        <w:widowControl/>
        <w:numPr>
          <w:ilvl w:val="0"/>
          <w:numId w:val="1"/>
        </w:numPr>
        <w:autoSpaceDE w:val="0"/>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综合评价结果</w:t>
      </w:r>
    </w:p>
    <w:p>
      <w:pPr>
        <w:widowControl/>
        <w:autoSpaceDE w:val="0"/>
        <w:ind w:firstLine="640" w:firstLineChars="200"/>
        <w:rPr>
          <w:rFonts w:ascii="仿宋" w:hAnsi="仿宋" w:eastAsia="仿宋" w:cs="仿宋"/>
          <w:bCs/>
          <w:color w:val="222222"/>
          <w:kern w:val="0"/>
          <w:sz w:val="32"/>
          <w:szCs w:val="32"/>
        </w:rPr>
      </w:pPr>
      <w:r>
        <w:rPr>
          <w:rFonts w:hint="eastAsia" w:ascii="仿宋" w:hAnsi="仿宋" w:eastAsia="仿宋" w:cs="仿宋"/>
          <w:bCs/>
          <w:color w:val="222222"/>
          <w:kern w:val="0"/>
          <w:sz w:val="32"/>
          <w:szCs w:val="32"/>
        </w:rPr>
        <w:t>按部门整体支出绩效评价指标从投入、过程、产出及效率方面细化评分：综合评价得分</w:t>
      </w:r>
      <w:r>
        <w:rPr>
          <w:rFonts w:ascii="仿宋" w:hAnsi="仿宋" w:eastAsia="仿宋" w:cs="仿宋"/>
          <w:bCs/>
          <w:color w:val="222222"/>
          <w:kern w:val="0"/>
          <w:sz w:val="32"/>
          <w:szCs w:val="32"/>
        </w:rPr>
        <w:t>8</w:t>
      </w:r>
      <w:r>
        <w:rPr>
          <w:rFonts w:hint="eastAsia" w:ascii="仿宋" w:hAnsi="仿宋" w:eastAsia="仿宋" w:cs="仿宋"/>
          <w:bCs/>
          <w:color w:val="222222"/>
          <w:kern w:val="0"/>
          <w:sz w:val="32"/>
          <w:szCs w:val="32"/>
          <w:lang w:val="en-US" w:eastAsia="zh-CN"/>
        </w:rPr>
        <w:t>9</w:t>
      </w:r>
      <w:r>
        <w:rPr>
          <w:rFonts w:hint="eastAsia" w:ascii="仿宋" w:hAnsi="仿宋" w:eastAsia="仿宋" w:cs="仿宋"/>
          <w:bCs/>
          <w:color w:val="222222"/>
          <w:kern w:val="0"/>
          <w:sz w:val="32"/>
          <w:szCs w:val="32"/>
        </w:rPr>
        <w:t>分，</w:t>
      </w:r>
      <w:r>
        <w:rPr>
          <w:rFonts w:hint="eastAsia" w:ascii="仿宋" w:hAnsi="仿宋" w:eastAsia="仿宋" w:cs="仿宋"/>
          <w:bCs/>
          <w:color w:val="222222"/>
          <w:kern w:val="0"/>
          <w:sz w:val="32"/>
          <w:szCs w:val="32"/>
          <w:lang w:eastAsia="zh-CN"/>
        </w:rPr>
        <w:t>评价等级为良好。</w:t>
      </w:r>
    </w:p>
    <w:p>
      <w:pPr>
        <w:widowControl/>
        <w:numPr>
          <w:ilvl w:val="0"/>
          <w:numId w:val="0"/>
        </w:numPr>
        <w:autoSpaceDE w:val="0"/>
        <w:ind w:firstLine="643" w:firstLineChars="200"/>
        <w:rPr>
          <w:rFonts w:ascii="黑体" w:hAnsi="黑体" w:eastAsia="黑体" w:cs="黑体"/>
          <w:b/>
          <w:color w:val="FF0000"/>
          <w:kern w:val="0"/>
          <w:sz w:val="32"/>
          <w:szCs w:val="32"/>
        </w:rPr>
      </w:pPr>
      <w:r>
        <w:rPr>
          <w:rFonts w:hint="eastAsia" w:ascii="黑体" w:hAnsi="黑体" w:eastAsia="黑体" w:cs="黑体"/>
          <w:b/>
          <w:color w:val="222222"/>
          <w:kern w:val="0"/>
          <w:sz w:val="32"/>
          <w:szCs w:val="32"/>
          <w:lang w:eastAsia="zh-CN"/>
        </w:rPr>
        <w:t>六、</w:t>
      </w:r>
      <w:r>
        <w:rPr>
          <w:rFonts w:hint="eastAsia" w:ascii="黑体" w:hAnsi="黑体" w:eastAsia="黑体" w:cs="黑体"/>
          <w:b/>
          <w:color w:val="222222"/>
          <w:kern w:val="0"/>
          <w:sz w:val="32"/>
          <w:szCs w:val="32"/>
        </w:rPr>
        <w:t>部门整体支出绩效情况</w:t>
      </w:r>
    </w:p>
    <w:p>
      <w:pPr>
        <w:widowControl/>
        <w:autoSpaceDE w:val="0"/>
        <w:ind w:firstLine="640" w:firstLineChars="200"/>
        <w:rPr>
          <w:rFonts w:hint="eastAsia" w:ascii="仿宋" w:hAnsi="仿宋" w:eastAsia="仿宋" w:cs="仿宋"/>
          <w:color w:val="222222"/>
          <w:kern w:val="0"/>
          <w:sz w:val="32"/>
          <w:szCs w:val="32"/>
          <w:lang w:eastAsia="zh-CN"/>
        </w:rPr>
      </w:pPr>
      <w:r>
        <w:rPr>
          <w:rFonts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eastAsia="zh-CN"/>
        </w:rPr>
        <w:t>为贯彻落实县委经济工作会议及县委全会精神，我局紧扣县委</w:t>
      </w:r>
      <w:r>
        <w:rPr>
          <w:rFonts w:hint="eastAsia" w:ascii="仿宋" w:hAnsi="仿宋" w:eastAsia="仿宋" w:cs="仿宋"/>
          <w:color w:val="222222"/>
          <w:kern w:val="0"/>
          <w:sz w:val="32"/>
          <w:szCs w:val="32"/>
          <w:lang w:val="en-US" w:eastAsia="zh-CN"/>
        </w:rPr>
        <w:t>县</w:t>
      </w:r>
      <w:r>
        <w:rPr>
          <w:rFonts w:hint="eastAsia" w:ascii="仿宋" w:hAnsi="仿宋" w:eastAsia="仿宋" w:cs="仿宋"/>
          <w:color w:val="222222"/>
          <w:kern w:val="0"/>
          <w:sz w:val="32"/>
          <w:szCs w:val="32"/>
          <w:lang w:eastAsia="zh-CN"/>
        </w:rPr>
        <w:t>政府工作要点，主动担责，积极作为，以项目服务为主抓手，在“五大会战”中发挥了生力军作用，取得了较好的经济效益和社会效益。</w:t>
      </w:r>
    </w:p>
    <w:p>
      <w:pPr>
        <w:widowControl/>
        <w:numPr>
          <w:ilvl w:val="0"/>
          <w:numId w:val="2"/>
        </w:numPr>
        <w:autoSpaceDE w:val="0"/>
        <w:ind w:firstLine="640" w:firstLineChars="200"/>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eastAsia="zh-CN"/>
        </w:rPr>
        <w:t>社会效益</w:t>
      </w:r>
    </w:p>
    <w:p>
      <w:pPr>
        <w:spacing w:line="560" w:lineRule="exact"/>
        <w:ind w:firstLine="640" w:firstLineChars="200"/>
        <w:rPr>
          <w:rFonts w:hint="eastAsia" w:ascii="仿宋" w:hAnsi="仿宋" w:eastAsia="仿宋" w:cs="仿宋"/>
          <w:color w:val="222222"/>
          <w:kern w:val="0"/>
          <w:sz w:val="32"/>
          <w:szCs w:val="32"/>
          <w:lang w:val="en-US" w:eastAsia="zh-CN"/>
        </w:rPr>
      </w:pPr>
      <w:r>
        <w:rPr>
          <w:rFonts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eastAsia="zh-CN"/>
        </w:rPr>
        <w:t>落实意识形态工作主体责任，</w:t>
      </w:r>
      <w:r>
        <w:rPr>
          <w:rFonts w:hint="eastAsia" w:ascii="仿宋_GB2312" w:hAnsi="仿宋" w:eastAsia="仿宋_GB2312"/>
          <w:sz w:val="32"/>
          <w:szCs w:val="32"/>
        </w:rPr>
        <w:t>调度党建工作2次，专题研究部署党建工作12 次，组织集中学习党章、党的十九大精神21次、理论宣讲1次、邀请县委党校专家理论辅导1次，</w:t>
      </w:r>
      <w:r>
        <w:rPr>
          <w:rFonts w:hint="eastAsia" w:ascii="仿宋" w:hAnsi="仿宋" w:eastAsia="仿宋" w:cs="仿宋"/>
          <w:color w:val="222222"/>
          <w:kern w:val="0"/>
          <w:sz w:val="32"/>
          <w:szCs w:val="32"/>
        </w:rPr>
        <w:t>开展“四个专项行动”，</w:t>
      </w:r>
      <w:r>
        <w:rPr>
          <w:rFonts w:hint="eastAsia" w:ascii="仿宋" w:hAnsi="仿宋" w:eastAsia="仿宋"/>
          <w:sz w:val="32"/>
          <w:szCs w:val="32"/>
          <w:lang w:eastAsia="zh-CN"/>
        </w:rPr>
        <w:t>“百日百街专项</w:t>
      </w:r>
      <w:r>
        <w:rPr>
          <w:rFonts w:hint="eastAsia" w:ascii="仿宋" w:hAnsi="仿宋" w:eastAsia="仿宋" w:cs="仿宋"/>
          <w:sz w:val="32"/>
          <w:szCs w:val="32"/>
          <w:lang w:eastAsia="zh-CN"/>
        </w:rPr>
        <w:t>整治行动”，</w:t>
      </w:r>
      <w:r>
        <w:rPr>
          <w:rFonts w:hint="eastAsia" w:ascii="仿宋" w:hAnsi="仿宋" w:eastAsia="仿宋" w:cs="仿宋"/>
          <w:color w:val="222222"/>
          <w:kern w:val="0"/>
          <w:sz w:val="32"/>
          <w:szCs w:val="32"/>
        </w:rPr>
        <w:t>全面整治城区“六乱”，</w:t>
      </w:r>
      <w:r>
        <w:rPr>
          <w:rFonts w:hint="eastAsia" w:ascii="仿宋" w:hAnsi="仿宋" w:eastAsia="仿宋" w:cs="仿宋"/>
          <w:sz w:val="32"/>
          <w:szCs w:val="32"/>
        </w:rPr>
        <w:t>拆除横幅、条幅、气球、拱门850余处，清理喷绘广告、落地广告3500多处，规范围挡作业700余处。</w:t>
      </w:r>
      <w:r>
        <w:rPr>
          <w:rFonts w:hint="eastAsia" w:ascii="仿宋" w:hAnsi="仿宋" w:eastAsia="仿宋" w:cs="仿宋"/>
          <w:color w:val="222222"/>
          <w:kern w:val="0"/>
          <w:sz w:val="32"/>
          <w:szCs w:val="32"/>
          <w:lang w:val="en-US" w:eastAsia="zh-CN"/>
        </w:rPr>
        <w:t>清理</w:t>
      </w:r>
      <w:r>
        <w:rPr>
          <w:rFonts w:hint="eastAsia" w:ascii="仿宋" w:hAnsi="仿宋" w:eastAsia="仿宋" w:cs="仿宋"/>
          <w:color w:val="222222"/>
          <w:kern w:val="0"/>
          <w:sz w:val="32"/>
          <w:szCs w:val="32"/>
        </w:rPr>
        <w:t>牛皮癣</w:t>
      </w:r>
      <w:r>
        <w:rPr>
          <w:rFonts w:hint="eastAsia" w:ascii="仿宋" w:hAnsi="仿宋" w:eastAsia="仿宋" w:cs="仿宋"/>
          <w:color w:val="222222"/>
          <w:kern w:val="0"/>
          <w:sz w:val="32"/>
          <w:szCs w:val="32"/>
          <w:lang w:val="en-US" w:eastAsia="zh-CN"/>
        </w:rPr>
        <w:t>6500余处</w:t>
      </w:r>
      <w:r>
        <w:rPr>
          <w:rFonts w:hint="eastAsia" w:ascii="仿宋" w:hAnsi="仿宋" w:eastAsia="仿宋" w:cs="仿宋"/>
          <w:color w:val="222222"/>
          <w:kern w:val="0"/>
          <w:sz w:val="32"/>
          <w:szCs w:val="32"/>
        </w:rPr>
        <w:t>，</w:t>
      </w:r>
      <w:r>
        <w:rPr>
          <w:rFonts w:hint="eastAsia" w:ascii="仿宋" w:hAnsi="仿宋" w:eastAsia="仿宋" w:cs="仿宋"/>
          <w:color w:val="000000" w:themeColor="text1"/>
          <w:spacing w:val="15"/>
          <w:sz w:val="32"/>
          <w:szCs w:val="32"/>
          <w:shd w:val="clear" w:color="auto" w:fill="FFFFFF"/>
          <w14:textFill>
            <w14:solidFill>
              <w14:schemeClr w14:val="tx1"/>
            </w14:solidFill>
          </w14:textFill>
        </w:rPr>
        <w:t>清理老旧灯笼963个、临街各类违法建筑1250处、水泥墩路障166处，清运拆除垃圾1288车，拆除违建面积15800余平方米</w:t>
      </w:r>
      <w:r>
        <w:rPr>
          <w:rFonts w:hint="eastAsia" w:ascii="仿宋" w:hAnsi="仿宋" w:eastAsia="仿宋" w:cs="仿宋"/>
          <w:color w:val="000000" w:themeColor="text1"/>
          <w:spacing w:val="15"/>
          <w:sz w:val="32"/>
          <w:szCs w:val="32"/>
          <w:shd w:val="clear" w:color="auto" w:fill="FFFFFF"/>
          <w:lang w:eastAsia="zh-CN"/>
          <w14:textFill>
            <w14:solidFill>
              <w14:schemeClr w14:val="tx1"/>
            </w14:solidFill>
          </w14:textFill>
        </w:rPr>
        <w:t>，</w:t>
      </w:r>
      <w:r>
        <w:rPr>
          <w:rFonts w:hint="eastAsia" w:ascii="仿宋" w:hAnsi="仿宋" w:eastAsia="仿宋" w:cs="仿宋"/>
          <w:sz w:val="32"/>
          <w:szCs w:val="32"/>
        </w:rPr>
        <w:t>查处各类夜市违规经营行为170余起</w:t>
      </w:r>
      <w:r>
        <w:rPr>
          <w:rFonts w:hint="eastAsia" w:ascii="仿宋" w:hAnsi="仿宋" w:eastAsia="仿宋" w:cs="仿宋"/>
          <w:sz w:val="32"/>
          <w:szCs w:val="32"/>
          <w:lang w:eastAsia="zh-CN"/>
        </w:rPr>
        <w:t>，</w:t>
      </w:r>
      <w:r>
        <w:rPr>
          <w:rFonts w:hint="eastAsia" w:ascii="仿宋" w:hAnsi="仿宋" w:eastAsia="仿宋" w:cs="仿宋"/>
          <w:color w:val="222222"/>
          <w:kern w:val="0"/>
          <w:sz w:val="32"/>
          <w:szCs w:val="32"/>
          <w:lang w:eastAsia="zh-CN"/>
        </w:rPr>
        <w:t>组织开展大型市容市貌集中整治行动</w:t>
      </w:r>
      <w:r>
        <w:rPr>
          <w:rFonts w:hint="eastAsia" w:ascii="仿宋" w:hAnsi="仿宋" w:eastAsia="仿宋" w:cs="仿宋"/>
          <w:color w:val="222222"/>
          <w:kern w:val="0"/>
          <w:sz w:val="32"/>
          <w:szCs w:val="32"/>
          <w:lang w:val="en-US" w:eastAsia="zh-CN"/>
        </w:rPr>
        <w:t>86次</w:t>
      </w:r>
      <w:r>
        <w:rPr>
          <w:rFonts w:hint="eastAsia" w:ascii="仿宋" w:hAnsi="仿宋" w:eastAsia="仿宋" w:cs="仿宋"/>
          <w:color w:val="222222"/>
          <w:kern w:val="0"/>
          <w:sz w:val="32"/>
          <w:szCs w:val="32"/>
          <w:lang w:eastAsia="zh-CN"/>
        </w:rPr>
        <w:t>，查处各类占道经营</w:t>
      </w:r>
      <w:r>
        <w:rPr>
          <w:rFonts w:hint="eastAsia" w:ascii="仿宋" w:hAnsi="仿宋" w:eastAsia="仿宋" w:cs="仿宋"/>
          <w:color w:val="222222"/>
          <w:kern w:val="0"/>
          <w:sz w:val="32"/>
          <w:szCs w:val="32"/>
          <w:lang w:val="en-US" w:eastAsia="zh-CN"/>
        </w:rPr>
        <w:t>5626起、流动摊点6835个</w:t>
      </w:r>
      <w:r>
        <w:rPr>
          <w:rFonts w:hint="eastAsia" w:ascii="仿宋" w:hAnsi="仿宋" w:eastAsia="仿宋" w:cs="仿宋"/>
          <w:color w:val="222222"/>
          <w:kern w:val="0"/>
          <w:sz w:val="32"/>
          <w:szCs w:val="32"/>
          <w:lang w:eastAsia="zh-CN"/>
        </w:rPr>
        <w:t>，取缔露天烧烤，依法扣押烧烤摊具</w:t>
      </w:r>
      <w:r>
        <w:rPr>
          <w:rFonts w:hint="eastAsia" w:ascii="仿宋" w:hAnsi="仿宋" w:eastAsia="仿宋" w:cs="仿宋"/>
          <w:color w:val="222222"/>
          <w:kern w:val="0"/>
          <w:sz w:val="32"/>
          <w:szCs w:val="32"/>
          <w:lang w:val="en-US" w:eastAsia="zh-CN"/>
        </w:rPr>
        <w:t>265个，</w:t>
      </w:r>
      <w:r>
        <w:rPr>
          <w:rFonts w:hint="eastAsia" w:ascii="仿宋" w:hAnsi="仿宋" w:eastAsia="仿宋" w:cs="仿宋"/>
          <w:sz w:val="32"/>
          <w:szCs w:val="32"/>
        </w:rPr>
        <w:t>组织法制培训2次、政策理论学习7次，正确办理各类行政执法案例1500余件，确保行政诉讼败诉率为0、行政复议撤销变更率为0，并被推荐为常德市城管系统唯一在省住建厅获评的行政执法先进单位</w:t>
      </w:r>
      <w:r>
        <w:rPr>
          <w:rFonts w:hint="eastAsia" w:ascii="仿宋" w:hAnsi="仿宋" w:eastAsia="仿宋" w:cs="仿宋"/>
          <w:color w:val="222222"/>
          <w:kern w:val="0"/>
          <w:sz w:val="32"/>
          <w:szCs w:val="32"/>
          <w:lang w:eastAsia="zh-CN"/>
        </w:rPr>
        <w:t>，</w:t>
      </w:r>
      <w:r>
        <w:rPr>
          <w:rFonts w:hint="eastAsia" w:ascii="仿宋" w:hAnsi="仿宋" w:eastAsia="仿宋" w:cs="仿宋"/>
          <w:sz w:val="32"/>
          <w:szCs w:val="32"/>
        </w:rPr>
        <w:t>总投资3.97亿元生活垃圾焚烧发电厂第一条生产线于2018年5月21日投产运营，第二条生产线于今年10月底全面完工并投入运营</w:t>
      </w:r>
      <w:r>
        <w:rPr>
          <w:rFonts w:hint="eastAsia" w:ascii="仿宋" w:hAnsi="仿宋" w:eastAsia="仿宋" w:cs="仿宋"/>
          <w:sz w:val="32"/>
          <w:szCs w:val="32"/>
          <w:lang w:eastAsia="zh-CN"/>
        </w:rPr>
        <w:t>，</w:t>
      </w:r>
      <w:r>
        <w:rPr>
          <w:rFonts w:hint="eastAsia" w:ascii="仿宋" w:hAnsi="仿宋" w:eastAsia="仿宋" w:cs="仿宋"/>
          <w:sz w:val="32"/>
          <w:szCs w:val="32"/>
        </w:rPr>
        <w:t>完成城区“三改四化”部分路段移树</w:t>
      </w:r>
      <w:r>
        <w:rPr>
          <w:rFonts w:hint="eastAsia" w:ascii="仿宋_GB2312" w:hAnsi="仿宋" w:eastAsia="仿宋_GB2312"/>
          <w:sz w:val="32"/>
          <w:szCs w:val="32"/>
        </w:rPr>
        <w:t>600余株</w:t>
      </w:r>
      <w:r>
        <w:rPr>
          <w:rFonts w:hint="eastAsia" w:ascii="仿宋_GB2312" w:hAnsi="仿宋" w:eastAsia="仿宋_GB2312"/>
          <w:sz w:val="32"/>
          <w:szCs w:val="32"/>
          <w:lang w:eastAsia="zh-CN"/>
        </w:rPr>
        <w:t>，</w:t>
      </w:r>
      <w:r>
        <w:rPr>
          <w:rFonts w:hint="eastAsia" w:ascii="仿宋_GB2312" w:hAnsi="仿宋" w:eastAsia="仿宋_GB2312"/>
          <w:sz w:val="32"/>
          <w:szCs w:val="32"/>
        </w:rPr>
        <w:t>完成津澧大道东段移树750株</w:t>
      </w:r>
      <w:r>
        <w:rPr>
          <w:rFonts w:hint="eastAsia" w:ascii="仿宋_GB2312" w:hAnsi="仿宋" w:eastAsia="仿宋_GB2312"/>
          <w:sz w:val="32"/>
          <w:szCs w:val="32"/>
          <w:lang w:eastAsia="zh-CN"/>
        </w:rPr>
        <w:t>，</w:t>
      </w:r>
      <w:r>
        <w:rPr>
          <w:rFonts w:hint="eastAsia" w:ascii="仿宋_GB2312" w:hAnsi="仿宋" w:eastAsia="仿宋_GB2312"/>
          <w:sz w:val="32"/>
          <w:szCs w:val="32"/>
        </w:rPr>
        <w:t>澧浦北路绿化施工5000平方米</w:t>
      </w:r>
      <w:r>
        <w:rPr>
          <w:rFonts w:hint="eastAsia" w:ascii="仿宋_GB2312" w:hAnsi="仿宋" w:eastAsia="仿宋_GB2312"/>
          <w:sz w:val="32"/>
          <w:szCs w:val="32"/>
          <w:lang w:eastAsia="zh-CN"/>
        </w:rPr>
        <w:t>，</w:t>
      </w:r>
      <w:r>
        <w:rPr>
          <w:rFonts w:hint="eastAsia" w:ascii="仿宋_GB2312" w:hAnsi="仿宋" w:eastAsia="仿宋_GB2312"/>
          <w:sz w:val="32"/>
          <w:szCs w:val="32"/>
        </w:rPr>
        <w:t>义务植树460株</w:t>
      </w:r>
      <w:r>
        <w:rPr>
          <w:rFonts w:hint="eastAsia" w:ascii="仿宋_GB2312" w:hAnsi="仿宋" w:eastAsia="仿宋_GB2312"/>
          <w:sz w:val="32"/>
          <w:szCs w:val="32"/>
          <w:lang w:eastAsia="zh-CN"/>
        </w:rPr>
        <w:t>，</w:t>
      </w:r>
      <w:r>
        <w:rPr>
          <w:rFonts w:hint="eastAsia" w:ascii="仿宋" w:hAnsi="仿宋" w:eastAsia="仿宋" w:cs="仿宋"/>
          <w:color w:val="222222"/>
          <w:kern w:val="0"/>
          <w:sz w:val="32"/>
          <w:szCs w:val="32"/>
          <w:lang w:val="en-US" w:eastAsia="zh-CN"/>
        </w:rPr>
        <w:t>合</w:t>
      </w:r>
      <w:r>
        <w:rPr>
          <w:rFonts w:hint="eastAsia" w:ascii="仿宋" w:hAnsi="仿宋" w:eastAsia="仿宋" w:cs="仿宋"/>
          <w:color w:val="222222"/>
          <w:kern w:val="0"/>
          <w:sz w:val="32"/>
          <w:szCs w:val="32"/>
        </w:rPr>
        <w:t>理支出提质指挥部经费</w:t>
      </w:r>
      <w:r>
        <w:rPr>
          <w:rFonts w:hint="eastAsia" w:ascii="仿宋" w:hAnsi="仿宋" w:eastAsia="仿宋" w:cs="仿宋"/>
          <w:color w:val="222222"/>
          <w:kern w:val="0"/>
          <w:sz w:val="32"/>
          <w:szCs w:val="32"/>
          <w:lang w:eastAsia="zh-CN"/>
        </w:rPr>
        <w:t>；完成全年非税收入入库</w:t>
      </w:r>
      <w:r>
        <w:rPr>
          <w:rFonts w:hint="eastAsia" w:ascii="仿宋" w:hAnsi="仿宋" w:eastAsia="仿宋" w:cs="仿宋"/>
          <w:color w:val="222222"/>
          <w:kern w:val="0"/>
          <w:sz w:val="32"/>
          <w:szCs w:val="32"/>
          <w:lang w:val="en-US" w:eastAsia="zh-CN"/>
        </w:rPr>
        <w:t>112.25万元，合</w:t>
      </w:r>
      <w:r>
        <w:rPr>
          <w:rFonts w:hint="eastAsia" w:ascii="仿宋" w:hAnsi="仿宋" w:eastAsia="仿宋" w:cs="仿宋"/>
          <w:color w:val="222222"/>
          <w:kern w:val="0"/>
          <w:sz w:val="32"/>
          <w:szCs w:val="32"/>
        </w:rPr>
        <w:t>理支出提质指挥部经费，配合县委、</w:t>
      </w:r>
      <w:r>
        <w:rPr>
          <w:rFonts w:hint="eastAsia" w:ascii="仿宋" w:hAnsi="仿宋" w:eastAsia="仿宋" w:cs="仿宋"/>
          <w:color w:val="222222"/>
          <w:kern w:val="0"/>
          <w:sz w:val="32"/>
          <w:szCs w:val="32"/>
          <w:lang w:val="en-US" w:eastAsia="zh-CN"/>
        </w:rPr>
        <w:t>县</w:t>
      </w:r>
      <w:r>
        <w:rPr>
          <w:rFonts w:hint="eastAsia" w:ascii="仿宋" w:hAnsi="仿宋" w:eastAsia="仿宋" w:cs="仿宋"/>
          <w:color w:val="222222"/>
          <w:kern w:val="0"/>
          <w:sz w:val="32"/>
          <w:szCs w:val="32"/>
        </w:rPr>
        <w:t>政府落实</w:t>
      </w:r>
      <w:r>
        <w:rPr>
          <w:rFonts w:hint="eastAsia" w:ascii="仿宋" w:hAnsi="仿宋" w:eastAsia="仿宋" w:cs="仿宋"/>
          <w:color w:val="222222"/>
          <w:kern w:val="0"/>
          <w:sz w:val="32"/>
          <w:szCs w:val="32"/>
          <w:lang w:eastAsia="zh-CN"/>
        </w:rPr>
        <w:t>河湖连通、城区路改、美丽乡村建设、美丽澧州三年绿色植树造林活动、精准扶贫脱贫等</w:t>
      </w:r>
      <w:r>
        <w:rPr>
          <w:rFonts w:hint="eastAsia" w:ascii="仿宋" w:hAnsi="仿宋" w:eastAsia="仿宋" w:cs="仿宋"/>
          <w:color w:val="222222"/>
          <w:kern w:val="0"/>
          <w:sz w:val="32"/>
          <w:szCs w:val="32"/>
        </w:rPr>
        <w:t>其他工作</w:t>
      </w:r>
      <w:r>
        <w:rPr>
          <w:rFonts w:hint="eastAsia" w:ascii="仿宋" w:hAnsi="仿宋" w:eastAsia="仿宋" w:cs="仿宋"/>
          <w:color w:val="222222"/>
          <w:kern w:val="0"/>
          <w:sz w:val="32"/>
          <w:szCs w:val="32"/>
          <w:lang w:eastAsia="zh-CN"/>
        </w:rPr>
        <w:t>给予一定的经济支持</w:t>
      </w:r>
      <w:r>
        <w:rPr>
          <w:rFonts w:hint="eastAsia" w:ascii="仿宋" w:hAnsi="仿宋" w:eastAsia="仿宋" w:cs="仿宋"/>
          <w:color w:val="222222"/>
          <w:kern w:val="0"/>
          <w:sz w:val="32"/>
          <w:szCs w:val="32"/>
          <w:lang w:val="en-US" w:eastAsia="zh-CN"/>
        </w:rPr>
        <w:t>。对服务对象调查满意度达96%。</w:t>
      </w:r>
    </w:p>
    <w:p>
      <w:pPr>
        <w:widowControl/>
        <w:numPr>
          <w:ilvl w:val="0"/>
          <w:numId w:val="2"/>
        </w:numPr>
        <w:autoSpaceDE w:val="0"/>
        <w:ind w:left="0" w:leftChars="0"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经济效益</w:t>
      </w:r>
    </w:p>
    <w:p>
      <w:pPr>
        <w:widowControl/>
        <w:numPr>
          <w:ilvl w:val="0"/>
          <w:numId w:val="0"/>
        </w:numPr>
        <w:autoSpaceDE w:val="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 xml:space="preserve">    根据湘发改价费（2016）716号文件标准，全年完成非税收入112.25万元，并及时缴存国库。</w:t>
      </w:r>
    </w:p>
    <w:p>
      <w:pPr>
        <w:widowControl/>
        <w:autoSpaceDE w:val="0"/>
        <w:ind w:firstLine="643" w:firstLineChars="200"/>
        <w:rPr>
          <w:rFonts w:ascii="宋体"/>
          <w:b/>
          <w:color w:val="222222"/>
          <w:kern w:val="0"/>
          <w:szCs w:val="21"/>
        </w:rPr>
      </w:pPr>
      <w:r>
        <w:rPr>
          <w:rFonts w:hint="eastAsia" w:ascii="黑体" w:hAnsi="黑体" w:eastAsia="黑体" w:cs="黑体"/>
          <w:b/>
          <w:color w:val="222222"/>
          <w:kern w:val="0"/>
          <w:sz w:val="32"/>
          <w:szCs w:val="32"/>
        </w:rPr>
        <w:t>七、存在的主要问题</w:t>
      </w:r>
    </w:p>
    <w:p>
      <w:pPr>
        <w:widowControl/>
        <w:autoSpaceDE w:val="0"/>
        <w:ind w:firstLine="640" w:firstLineChars="200"/>
        <w:rPr>
          <w:rFonts w:hint="eastAsia" w:ascii="仿宋" w:hAnsi="仿宋" w:eastAsia="仿宋" w:cs="仿宋"/>
          <w:bCs/>
          <w:color w:val="222222"/>
          <w:kern w:val="0"/>
          <w:sz w:val="32"/>
          <w:szCs w:val="32"/>
          <w:lang w:val="en-US" w:eastAsia="zh-CN"/>
        </w:rPr>
      </w:pPr>
      <w:r>
        <w:rPr>
          <w:rFonts w:ascii="仿宋" w:hAnsi="仿宋" w:eastAsia="仿宋" w:cs="仿宋"/>
          <w:bCs/>
          <w:color w:val="222222"/>
          <w:kern w:val="0"/>
          <w:sz w:val="32"/>
          <w:szCs w:val="32"/>
        </w:rPr>
        <w:t>1</w:t>
      </w:r>
      <w:r>
        <w:rPr>
          <w:rFonts w:hint="eastAsia" w:ascii="仿宋" w:hAnsi="仿宋" w:eastAsia="仿宋" w:cs="仿宋"/>
          <w:bCs/>
          <w:color w:val="222222"/>
          <w:kern w:val="0"/>
          <w:sz w:val="32"/>
          <w:szCs w:val="32"/>
        </w:rPr>
        <w:t>、预算控制率差，差异原因，</w:t>
      </w:r>
      <w:r>
        <w:rPr>
          <w:rFonts w:ascii="仿宋" w:hAnsi="仿宋" w:eastAsia="仿宋" w:cs="仿宋"/>
          <w:bCs/>
          <w:color w:val="222222"/>
          <w:kern w:val="0"/>
          <w:sz w:val="32"/>
          <w:szCs w:val="32"/>
        </w:rPr>
        <w:t>201</w:t>
      </w:r>
      <w:r>
        <w:rPr>
          <w:rFonts w:hint="eastAsia" w:ascii="仿宋" w:hAnsi="仿宋" w:eastAsia="仿宋" w:cs="仿宋"/>
          <w:bCs/>
          <w:color w:val="222222"/>
          <w:kern w:val="0"/>
          <w:sz w:val="32"/>
          <w:szCs w:val="32"/>
          <w:lang w:val="en-US" w:eastAsia="zh-CN"/>
        </w:rPr>
        <w:t>9</w:t>
      </w:r>
      <w:r>
        <w:rPr>
          <w:rFonts w:hint="eastAsia" w:ascii="仿宋" w:hAnsi="仿宋" w:eastAsia="仿宋" w:cs="仿宋"/>
          <w:bCs/>
          <w:color w:val="222222"/>
          <w:kern w:val="0"/>
          <w:sz w:val="32"/>
          <w:szCs w:val="32"/>
        </w:rPr>
        <w:t>年</w:t>
      </w:r>
      <w:r>
        <w:rPr>
          <w:rFonts w:hint="eastAsia" w:ascii="仿宋" w:hAnsi="仿宋" w:eastAsia="仿宋" w:cs="仿宋"/>
          <w:bCs/>
          <w:color w:val="222222"/>
          <w:kern w:val="0"/>
          <w:sz w:val="32"/>
          <w:szCs w:val="32"/>
          <w:lang w:eastAsia="zh-CN"/>
        </w:rPr>
        <w:t>追加预算</w:t>
      </w:r>
      <w:r>
        <w:rPr>
          <w:rFonts w:hint="eastAsia" w:ascii="仿宋" w:hAnsi="仿宋" w:eastAsia="仿宋" w:cs="仿宋"/>
          <w:bCs/>
          <w:color w:val="222222"/>
          <w:kern w:val="0"/>
          <w:sz w:val="32"/>
          <w:szCs w:val="32"/>
          <w:lang w:val="en-US" w:eastAsia="zh-CN"/>
        </w:rPr>
        <w:t>670万元，其中：海创进场道路及场外进水管网补偿款200万元，弃土压浸处置费145万元，垃垃圾填埋场雨污分流工程100万元，三年广告宣传费35万元，2018经济工作奖34万元，信息网络及软件购置更新等156万元。</w:t>
      </w:r>
    </w:p>
    <w:p>
      <w:pPr>
        <w:widowControl/>
        <w:autoSpaceDE w:val="0"/>
        <w:ind w:firstLine="640" w:firstLineChars="200"/>
        <w:rPr>
          <w:rFonts w:ascii="仿宋" w:hAnsi="仿宋" w:eastAsia="仿宋" w:cs="仿宋"/>
          <w:bCs/>
          <w:color w:val="222222"/>
          <w:kern w:val="0"/>
          <w:sz w:val="32"/>
          <w:szCs w:val="32"/>
        </w:rPr>
      </w:pPr>
      <w:r>
        <w:rPr>
          <w:rFonts w:ascii="仿宋" w:hAnsi="仿宋" w:eastAsia="仿宋" w:cs="仿宋"/>
          <w:bCs/>
          <w:color w:val="222222"/>
          <w:kern w:val="0"/>
          <w:sz w:val="32"/>
          <w:szCs w:val="32"/>
        </w:rPr>
        <w:t>2</w:t>
      </w:r>
      <w:r>
        <w:rPr>
          <w:rFonts w:hint="eastAsia" w:ascii="仿宋" w:hAnsi="仿宋" w:eastAsia="仿宋" w:cs="仿宋"/>
          <w:bCs/>
          <w:color w:val="222222"/>
          <w:kern w:val="0"/>
          <w:sz w:val="32"/>
          <w:szCs w:val="32"/>
        </w:rPr>
        <w:t>、政府采购执行率差，差异原因，实际政府采购金额</w:t>
      </w:r>
      <w:r>
        <w:rPr>
          <w:rFonts w:hint="eastAsia" w:ascii="仿宋" w:hAnsi="仿宋" w:eastAsia="仿宋" w:cs="仿宋"/>
          <w:bCs/>
          <w:color w:val="222222"/>
          <w:kern w:val="0"/>
          <w:sz w:val="32"/>
          <w:szCs w:val="32"/>
          <w:lang w:eastAsia="zh-CN"/>
        </w:rPr>
        <w:t>大</w:t>
      </w:r>
      <w:r>
        <w:rPr>
          <w:rFonts w:hint="eastAsia" w:ascii="仿宋" w:hAnsi="仿宋" w:eastAsia="仿宋" w:cs="仿宋"/>
          <w:bCs/>
          <w:color w:val="222222"/>
          <w:kern w:val="0"/>
          <w:sz w:val="32"/>
          <w:szCs w:val="32"/>
        </w:rPr>
        <w:t>于预算数</w:t>
      </w:r>
      <w:r>
        <w:rPr>
          <w:rFonts w:hint="eastAsia" w:ascii="仿宋" w:hAnsi="仿宋" w:eastAsia="仿宋" w:cs="仿宋"/>
          <w:bCs/>
          <w:color w:val="222222"/>
          <w:kern w:val="0"/>
          <w:sz w:val="32"/>
          <w:szCs w:val="32"/>
          <w:lang w:eastAsia="zh-CN"/>
        </w:rPr>
        <w:t>，</w:t>
      </w:r>
      <w:r>
        <w:rPr>
          <w:rFonts w:hint="eastAsia" w:ascii="仿宋" w:hAnsi="仿宋" w:eastAsia="仿宋" w:cs="仿宋"/>
          <w:bCs/>
          <w:color w:val="222222"/>
          <w:kern w:val="0"/>
          <w:sz w:val="32"/>
          <w:szCs w:val="32"/>
          <w:lang w:val="en-US" w:eastAsia="zh-CN"/>
        </w:rPr>
        <w:t>弃土压浸处置费增加145万元，</w:t>
      </w:r>
      <w:r>
        <w:rPr>
          <w:rFonts w:hint="eastAsia" w:ascii="仿宋" w:hAnsi="仿宋" w:eastAsia="仿宋" w:cs="仿宋"/>
          <w:bCs/>
          <w:color w:val="222222"/>
          <w:kern w:val="0"/>
          <w:sz w:val="32"/>
          <w:szCs w:val="32"/>
          <w:lang w:eastAsia="zh-CN"/>
        </w:rPr>
        <w:t>垃圾填埋场雨污分流项目增加</w:t>
      </w:r>
      <w:r>
        <w:rPr>
          <w:rFonts w:hint="eastAsia" w:ascii="仿宋" w:hAnsi="仿宋" w:eastAsia="仿宋" w:cs="仿宋"/>
          <w:bCs/>
          <w:color w:val="222222"/>
          <w:kern w:val="0"/>
          <w:sz w:val="32"/>
          <w:szCs w:val="32"/>
          <w:lang w:val="en-US" w:eastAsia="zh-CN"/>
        </w:rPr>
        <w:t>100万元</w:t>
      </w:r>
      <w:r>
        <w:rPr>
          <w:rFonts w:hint="eastAsia" w:ascii="仿宋" w:hAnsi="仿宋" w:eastAsia="仿宋" w:cs="仿宋"/>
          <w:bCs/>
          <w:color w:val="222222"/>
          <w:kern w:val="0"/>
          <w:sz w:val="32"/>
          <w:szCs w:val="32"/>
        </w:rPr>
        <w:t>。</w:t>
      </w:r>
    </w:p>
    <w:p>
      <w:pPr>
        <w:widowControl/>
        <w:autoSpaceDE w:val="0"/>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rPr>
        <w:t>八、有关建议</w:t>
      </w:r>
    </w:p>
    <w:p>
      <w:pPr>
        <w:widowControl/>
        <w:autoSpaceDE w:val="0"/>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1</w:t>
      </w:r>
      <w:r>
        <w:rPr>
          <w:rFonts w:hint="eastAsia" w:ascii="仿宋" w:hAnsi="仿宋" w:eastAsia="仿宋" w:cs="仿宋"/>
          <w:bCs/>
          <w:color w:val="000000"/>
          <w:sz w:val="32"/>
          <w:szCs w:val="32"/>
        </w:rPr>
        <w:t>、合理预算，要有前瞻性，及时和有关部门沟通协调，把工作做细致。</w:t>
      </w:r>
    </w:p>
    <w:p>
      <w:pPr>
        <w:widowControl/>
        <w:autoSpaceDE w:val="0"/>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2</w:t>
      </w:r>
      <w:r>
        <w:rPr>
          <w:rFonts w:hint="eastAsia" w:ascii="仿宋" w:hAnsi="仿宋" w:eastAsia="仿宋" w:cs="仿宋"/>
          <w:bCs/>
          <w:color w:val="000000"/>
          <w:sz w:val="32"/>
          <w:szCs w:val="32"/>
        </w:rPr>
        <w:t>、合理预算政府采购额度，尽量做到无偏差。</w:t>
      </w:r>
    </w:p>
    <w:p>
      <w:pPr>
        <w:rPr>
          <w:szCs w:val="21"/>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center"/>
        <w:rPr>
          <w:rFonts w:ascii="宋体" w:cs="宋体"/>
          <w:b/>
          <w:bCs/>
          <w:kern w:val="0"/>
          <w:sz w:val="36"/>
          <w:szCs w:val="36"/>
        </w:rPr>
      </w:pPr>
    </w:p>
    <w:p>
      <w:pPr>
        <w:spacing w:line="560" w:lineRule="exact"/>
        <w:jc w:val="center"/>
        <w:rPr>
          <w:rFonts w:ascii="宋体" w:cs="宋体"/>
          <w:b/>
          <w:bCs/>
          <w:kern w:val="0"/>
          <w:sz w:val="36"/>
          <w:szCs w:val="36"/>
        </w:rPr>
      </w:pPr>
    </w:p>
    <w:p>
      <w:pPr>
        <w:spacing w:line="560" w:lineRule="exact"/>
        <w:jc w:val="center"/>
        <w:rPr>
          <w:rFonts w:ascii="宋体" w:cs="宋体"/>
          <w:b/>
          <w:bCs/>
          <w:kern w:val="0"/>
          <w:sz w:val="36"/>
          <w:szCs w:val="36"/>
        </w:rPr>
      </w:pPr>
    </w:p>
    <w:p>
      <w:pPr>
        <w:spacing w:line="560" w:lineRule="exact"/>
        <w:jc w:val="center"/>
        <w:rPr>
          <w:rFonts w:ascii="宋体" w:cs="宋体"/>
          <w:b/>
          <w:bCs/>
          <w:kern w:val="0"/>
          <w:sz w:val="36"/>
          <w:szCs w:val="36"/>
        </w:rPr>
      </w:pPr>
    </w:p>
    <w:p>
      <w:pPr>
        <w:widowControl/>
        <w:spacing w:line="560" w:lineRule="exact"/>
        <w:rPr>
          <w:rFonts w:ascii="Times New Roman" w:hAnsi="Times New Roman" w:eastAsia="黑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83480"/>
    <w:multiLevelType w:val="singleLevel"/>
    <w:tmpl w:val="86C83480"/>
    <w:lvl w:ilvl="0" w:tentative="0">
      <w:start w:val="1"/>
      <w:numFmt w:val="chineseCounting"/>
      <w:suff w:val="nothing"/>
      <w:lvlText w:val="（%1）"/>
      <w:lvlJc w:val="left"/>
      <w:rPr>
        <w:rFonts w:hint="eastAsia"/>
      </w:rPr>
    </w:lvl>
  </w:abstractNum>
  <w:abstractNum w:abstractNumId="1">
    <w:nsid w:val="FBB1CE2C"/>
    <w:multiLevelType w:val="singleLevel"/>
    <w:tmpl w:val="FBB1CE2C"/>
    <w:lvl w:ilvl="0" w:tentative="0">
      <w:start w:val="4"/>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87150"/>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3A5"/>
    <w:rsid w:val="005438D0"/>
    <w:rsid w:val="0054486C"/>
    <w:rsid w:val="005473E0"/>
    <w:rsid w:val="0055022D"/>
    <w:rsid w:val="00550C9A"/>
    <w:rsid w:val="00553BA4"/>
    <w:rsid w:val="00565AE9"/>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2712"/>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87F11"/>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49F"/>
    <w:rsid w:val="00B21F2B"/>
    <w:rsid w:val="00B23A19"/>
    <w:rsid w:val="00B3064B"/>
    <w:rsid w:val="00B30E1F"/>
    <w:rsid w:val="00B32F56"/>
    <w:rsid w:val="00B5069E"/>
    <w:rsid w:val="00B54FA2"/>
    <w:rsid w:val="00B559AE"/>
    <w:rsid w:val="00B576D4"/>
    <w:rsid w:val="00B605B4"/>
    <w:rsid w:val="00B65994"/>
    <w:rsid w:val="00B718B5"/>
    <w:rsid w:val="00B71D10"/>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1BB9"/>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210B36"/>
    <w:rsid w:val="021D1FC9"/>
    <w:rsid w:val="03EC1C2E"/>
    <w:rsid w:val="06C37F3C"/>
    <w:rsid w:val="08A24D94"/>
    <w:rsid w:val="0967069F"/>
    <w:rsid w:val="0B5B5A73"/>
    <w:rsid w:val="0F4910D2"/>
    <w:rsid w:val="147A4134"/>
    <w:rsid w:val="148F5C9B"/>
    <w:rsid w:val="158E3E28"/>
    <w:rsid w:val="17203872"/>
    <w:rsid w:val="18B232E8"/>
    <w:rsid w:val="19035E26"/>
    <w:rsid w:val="1C366D26"/>
    <w:rsid w:val="20253948"/>
    <w:rsid w:val="20C51591"/>
    <w:rsid w:val="21F35F58"/>
    <w:rsid w:val="22BF0D8E"/>
    <w:rsid w:val="2650692D"/>
    <w:rsid w:val="269E3F7E"/>
    <w:rsid w:val="279F0EBC"/>
    <w:rsid w:val="29B02929"/>
    <w:rsid w:val="2B1A7A96"/>
    <w:rsid w:val="2F082FE1"/>
    <w:rsid w:val="313978F2"/>
    <w:rsid w:val="31C15622"/>
    <w:rsid w:val="31D90DB3"/>
    <w:rsid w:val="32FA6157"/>
    <w:rsid w:val="356A288B"/>
    <w:rsid w:val="399E52C4"/>
    <w:rsid w:val="3C601242"/>
    <w:rsid w:val="3D296685"/>
    <w:rsid w:val="416E11C7"/>
    <w:rsid w:val="43302B9F"/>
    <w:rsid w:val="440928DC"/>
    <w:rsid w:val="48337CA1"/>
    <w:rsid w:val="4A9D736B"/>
    <w:rsid w:val="4BCF567B"/>
    <w:rsid w:val="4C6D5295"/>
    <w:rsid w:val="4CD56EE2"/>
    <w:rsid w:val="4ECF194F"/>
    <w:rsid w:val="52287CA0"/>
    <w:rsid w:val="52CD5E34"/>
    <w:rsid w:val="549C4D68"/>
    <w:rsid w:val="57A33725"/>
    <w:rsid w:val="57E714CD"/>
    <w:rsid w:val="58017240"/>
    <w:rsid w:val="5844522C"/>
    <w:rsid w:val="591E7C28"/>
    <w:rsid w:val="5A055F23"/>
    <w:rsid w:val="5C901A20"/>
    <w:rsid w:val="5C996800"/>
    <w:rsid w:val="5FDD4FBC"/>
    <w:rsid w:val="623C7564"/>
    <w:rsid w:val="63F25EBD"/>
    <w:rsid w:val="65555469"/>
    <w:rsid w:val="67792B66"/>
    <w:rsid w:val="68F81281"/>
    <w:rsid w:val="6C334430"/>
    <w:rsid w:val="6D275ED7"/>
    <w:rsid w:val="6EE20AC8"/>
    <w:rsid w:val="71A66CE0"/>
    <w:rsid w:val="72840152"/>
    <w:rsid w:val="77F51F92"/>
    <w:rsid w:val="78643DB4"/>
    <w:rsid w:val="7907229B"/>
    <w:rsid w:val="7CE566CB"/>
    <w:rsid w:val="7D6A6580"/>
    <w:rsid w:val="7F8A19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Heading 1 Char"/>
    <w:basedOn w:val="13"/>
    <w:link w:val="2"/>
    <w:qFormat/>
    <w:locked/>
    <w:uiPriority w:val="99"/>
    <w:rPr>
      <w:rFonts w:ascii="宋体" w:hAnsi="宋体" w:eastAsia="宋体" w:cs="宋体"/>
      <w:kern w:val="36"/>
      <w:sz w:val="48"/>
      <w:szCs w:val="48"/>
    </w:rPr>
  </w:style>
  <w:style w:type="character" w:customStyle="1" w:styleId="20">
    <w:name w:val="Heading 2 Char"/>
    <w:basedOn w:val="13"/>
    <w:link w:val="3"/>
    <w:qFormat/>
    <w:locked/>
    <w:uiPriority w:val="99"/>
    <w:rPr>
      <w:rFonts w:ascii="宋体" w:hAnsi="宋体" w:eastAsia="宋体" w:cs="宋体"/>
      <w:kern w:val="0"/>
      <w:sz w:val="36"/>
      <w:szCs w:val="36"/>
    </w:rPr>
  </w:style>
  <w:style w:type="character" w:customStyle="1" w:styleId="21">
    <w:name w:val="Heading 3 Char"/>
    <w:basedOn w:val="13"/>
    <w:link w:val="4"/>
    <w:qFormat/>
    <w:locked/>
    <w:uiPriority w:val="99"/>
    <w:rPr>
      <w:rFonts w:ascii="宋体" w:hAnsi="宋体" w:eastAsia="宋体" w:cs="宋体"/>
      <w:kern w:val="0"/>
      <w:sz w:val="27"/>
      <w:szCs w:val="27"/>
    </w:rPr>
  </w:style>
  <w:style w:type="character" w:customStyle="1" w:styleId="22">
    <w:name w:val="Heading 4 Char"/>
    <w:basedOn w:val="13"/>
    <w:link w:val="5"/>
    <w:qFormat/>
    <w:locked/>
    <w:uiPriority w:val="99"/>
    <w:rPr>
      <w:rFonts w:ascii="宋体" w:hAnsi="宋体" w:eastAsia="宋体" w:cs="宋体"/>
      <w:kern w:val="0"/>
      <w:sz w:val="24"/>
      <w:szCs w:val="24"/>
    </w:rPr>
  </w:style>
  <w:style w:type="character" w:customStyle="1" w:styleId="23">
    <w:name w:val="Heading 5 Char"/>
    <w:basedOn w:val="13"/>
    <w:link w:val="6"/>
    <w:qFormat/>
    <w:locked/>
    <w:uiPriority w:val="99"/>
    <w:rPr>
      <w:rFonts w:ascii="宋体" w:hAnsi="宋体" w:eastAsia="宋体" w:cs="宋体"/>
      <w:kern w:val="0"/>
      <w:sz w:val="20"/>
      <w:szCs w:val="20"/>
    </w:rPr>
  </w:style>
  <w:style w:type="character" w:customStyle="1" w:styleId="24">
    <w:name w:val="Heading 6 Char"/>
    <w:basedOn w:val="13"/>
    <w:link w:val="7"/>
    <w:qFormat/>
    <w:locked/>
    <w:uiPriority w:val="99"/>
    <w:rPr>
      <w:rFonts w:ascii="宋体" w:hAnsi="宋体" w:eastAsia="宋体" w:cs="宋体"/>
      <w:kern w:val="0"/>
      <w:sz w:val="15"/>
      <w:szCs w:val="15"/>
    </w:rPr>
  </w:style>
  <w:style w:type="character" w:customStyle="1" w:styleId="25">
    <w:name w:val="HTML Address Char"/>
    <w:basedOn w:val="13"/>
    <w:link w:val="8"/>
    <w:semiHidden/>
    <w:qFormat/>
    <w:locked/>
    <w:uiPriority w:val="99"/>
    <w:rPr>
      <w:rFonts w:ascii="宋体" w:hAnsi="宋体" w:eastAsia="宋体" w:cs="宋体"/>
      <w:kern w:val="0"/>
      <w:sz w:val="24"/>
      <w:szCs w:val="24"/>
    </w:rPr>
  </w:style>
  <w:style w:type="character" w:customStyle="1" w:styleId="26">
    <w:name w:val="Footer Char"/>
    <w:basedOn w:val="13"/>
    <w:link w:val="9"/>
    <w:qFormat/>
    <w:locked/>
    <w:uiPriority w:val="99"/>
    <w:rPr>
      <w:rFonts w:cs="Times New Roman"/>
      <w:sz w:val="18"/>
      <w:szCs w:val="18"/>
    </w:rPr>
  </w:style>
  <w:style w:type="character" w:customStyle="1" w:styleId="27">
    <w:name w:val="Header Char"/>
    <w:basedOn w:val="13"/>
    <w:link w:val="10"/>
    <w:semiHidden/>
    <w:qFormat/>
    <w:locked/>
    <w:uiPriority w:val="99"/>
    <w:rPr>
      <w:rFonts w:cs="Times New Roman"/>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9">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5">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6">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6">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9">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3"/>
    <w:qFormat/>
    <w:uiPriority w:val="99"/>
    <w:rPr>
      <w:rFonts w:cs="Times New Roman"/>
    </w:rPr>
  </w:style>
  <w:style w:type="paragraph" w:customStyle="1" w:styleId="105">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qFormat/>
    <w:uiPriority w:val="99"/>
    <w:pPr>
      <w:widowControl/>
      <w:spacing w:line="660" w:lineRule="atLeast"/>
      <w:jc w:val="left"/>
    </w:pPr>
    <w:rPr>
      <w:rFonts w:ascii="宋体" w:hAnsi="宋体" w:cs="宋体"/>
      <w:kern w:val="0"/>
      <w:sz w:val="24"/>
      <w:szCs w:val="24"/>
    </w:rPr>
  </w:style>
  <w:style w:type="paragraph" w:customStyle="1" w:styleId="108">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qFormat/>
    <w:uiPriority w:val="99"/>
    <w:pPr>
      <w:widowControl/>
      <w:jc w:val="left"/>
    </w:pPr>
    <w:rPr>
      <w:rFonts w:ascii="宋体" w:hAnsi="宋体" w:cs="宋体"/>
      <w:kern w:val="0"/>
      <w:sz w:val="24"/>
      <w:szCs w:val="24"/>
    </w:rPr>
  </w:style>
  <w:style w:type="paragraph" w:customStyle="1" w:styleId="119">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3"/>
    <w:qFormat/>
    <w:uiPriority w:val="99"/>
    <w:rPr>
      <w:rFonts w:cs="Times New Roman"/>
      <w:shd w:val="clear" w:color="auto" w:fill="auto"/>
    </w:rPr>
  </w:style>
  <w:style w:type="paragraph" w:customStyle="1" w:styleId="122">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779</Words>
  <Characters>4443</Characters>
  <Lines>0</Lines>
  <Paragraphs>0</Paragraphs>
  <TotalTime>44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2018-05-30T01:56:00Z</cp:lastPrinted>
  <dcterms:modified xsi:type="dcterms:W3CDTF">2024-05-15T08:40:53Z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