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黑体" w:hAnsi="黑体" w:eastAsia="黑体" w:cs="宋体"/>
          <w:sz w:val="44"/>
          <w:szCs w:val="44"/>
        </w:rPr>
      </w:pPr>
      <w:r>
        <w:rPr>
          <w:rFonts w:hint="eastAsia" w:ascii="黑体" w:hAnsi="黑体" w:eastAsia="黑体" w:cs="宋体"/>
          <w:sz w:val="44"/>
          <w:szCs w:val="44"/>
        </w:rPr>
        <w:t>澧县工商业联合会202</w:t>
      </w:r>
      <w:r>
        <w:rPr>
          <w:rFonts w:hint="eastAsia" w:ascii="黑体" w:hAnsi="黑体" w:eastAsia="黑体" w:cs="宋体"/>
          <w:sz w:val="44"/>
          <w:szCs w:val="44"/>
          <w:lang w:val="en-US" w:eastAsia="zh-CN"/>
        </w:rPr>
        <w:t>1</w:t>
      </w:r>
      <w:r>
        <w:rPr>
          <w:rFonts w:hint="eastAsia" w:ascii="黑体" w:hAnsi="黑体" w:eastAsia="黑体" w:cs="宋体"/>
          <w:sz w:val="44"/>
          <w:szCs w:val="44"/>
        </w:rPr>
        <w:t>年度整体绩效评价报告</w:t>
      </w:r>
    </w:p>
    <w:p>
      <w:pPr>
        <w:ind w:firstLine="880" w:firstLineChars="200"/>
        <w:jc w:val="center"/>
        <w:rPr>
          <w:rFonts w:ascii="黑体" w:hAnsi="黑体" w:eastAsia="黑体" w:cs="Times New Roman"/>
          <w:sz w:val="44"/>
          <w:szCs w:val="44"/>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宋体" w:hAnsi="宋体"/>
          <w:color w:val="222222"/>
          <w:kern w:val="0"/>
          <w:sz w:val="32"/>
          <w:szCs w:val="32"/>
        </w:rPr>
      </w:pPr>
      <w:r>
        <w:rPr>
          <w:rFonts w:ascii="宋体" w:hAnsi="宋体"/>
          <w:color w:val="222222"/>
          <w:kern w:val="0"/>
          <w:sz w:val="32"/>
          <w:szCs w:val="32"/>
        </w:rPr>
        <w:t>（一） 机构、人员构成</w:t>
      </w:r>
    </w:p>
    <w:p>
      <w:pPr>
        <w:spacing w:line="600" w:lineRule="exact"/>
        <w:ind w:right="-512" w:rightChars="-244" w:firstLine="640" w:firstLineChars="200"/>
        <w:rPr>
          <w:rFonts w:hint="default" w:ascii="仿宋" w:hAnsi="仿宋" w:eastAsia="仿宋"/>
          <w:color w:val="333333"/>
          <w:sz w:val="32"/>
          <w:szCs w:val="32"/>
          <w:shd w:val="clear" w:color="auto" w:fill="FFFFFF"/>
          <w:lang w:val="en-US" w:eastAsia="zh-CN"/>
        </w:rPr>
      </w:pPr>
      <w:r>
        <w:rPr>
          <w:rFonts w:hint="eastAsia" w:ascii="仿宋" w:hAnsi="仿宋" w:eastAsia="仿宋"/>
          <w:color w:val="333333"/>
          <w:sz w:val="32"/>
          <w:szCs w:val="32"/>
          <w:shd w:val="clear" w:color="auto" w:fill="FFFFFF"/>
        </w:rPr>
        <w:t>工商联是党领导的以非公有制企业和非公有制人士为主体的人民团体和商会组织，是全额拨款的一级预算单位，根据编委核定，我单位编制数</w:t>
      </w:r>
      <w:r>
        <w:rPr>
          <w:rFonts w:hint="eastAsia" w:ascii="仿宋" w:hAnsi="仿宋" w:eastAsia="仿宋"/>
          <w:color w:val="333333"/>
          <w:sz w:val="32"/>
          <w:szCs w:val="32"/>
          <w:shd w:val="clear" w:color="auto" w:fill="FFFFFF"/>
          <w:lang w:val="en-US" w:eastAsia="zh-CN"/>
        </w:rPr>
        <w:t>3</w:t>
      </w:r>
      <w:r>
        <w:rPr>
          <w:rFonts w:hint="eastAsia" w:ascii="仿宋" w:hAnsi="仿宋" w:eastAsia="仿宋"/>
          <w:color w:val="333333"/>
          <w:sz w:val="32"/>
          <w:szCs w:val="32"/>
          <w:shd w:val="clear" w:color="auto" w:fill="FFFFFF"/>
        </w:rPr>
        <w:t>人，实际在职人数</w:t>
      </w:r>
      <w:r>
        <w:rPr>
          <w:rFonts w:hint="eastAsia" w:ascii="仿宋" w:hAnsi="仿宋" w:eastAsia="仿宋"/>
          <w:color w:val="333333"/>
          <w:sz w:val="32"/>
          <w:szCs w:val="32"/>
          <w:shd w:val="clear" w:color="auto" w:fill="FFFFFF"/>
          <w:lang w:val="en-US" w:eastAsia="zh-CN"/>
        </w:rPr>
        <w:t>4</w:t>
      </w:r>
      <w:r>
        <w:rPr>
          <w:rFonts w:hint="eastAsia" w:ascii="仿宋" w:hAnsi="仿宋" w:eastAsia="仿宋"/>
          <w:color w:val="333333"/>
          <w:sz w:val="32"/>
          <w:szCs w:val="32"/>
          <w:shd w:val="clear" w:color="auto" w:fill="FFFFFF"/>
        </w:rPr>
        <w:t>人。</w:t>
      </w:r>
      <w:r>
        <w:rPr>
          <w:rFonts w:hint="eastAsia" w:ascii="仿宋" w:hAnsi="仿宋" w:eastAsia="仿宋"/>
          <w:color w:val="333333"/>
          <w:sz w:val="32"/>
          <w:szCs w:val="32"/>
          <w:shd w:val="clear" w:color="auto" w:fill="FFFFFF"/>
          <w:lang w:eastAsia="zh-CN"/>
        </w:rPr>
        <w:t>下设一个非独立核算的二级事业机构：澧县非公有制经济服务中心，全额事业编制数</w:t>
      </w:r>
      <w:r>
        <w:rPr>
          <w:rFonts w:hint="eastAsia" w:ascii="仿宋" w:hAnsi="仿宋" w:eastAsia="仿宋"/>
          <w:color w:val="333333"/>
          <w:sz w:val="32"/>
          <w:szCs w:val="32"/>
          <w:shd w:val="clear" w:color="auto" w:fill="FFFFFF"/>
          <w:lang w:val="en-US" w:eastAsia="zh-CN"/>
        </w:rPr>
        <w:t>2人，实际在职人数2人。</w:t>
      </w:r>
    </w:p>
    <w:p>
      <w:pPr>
        <w:spacing w:line="600" w:lineRule="exact"/>
        <w:ind w:right="-512" w:rightChars="-244" w:firstLine="640" w:firstLineChars="200"/>
        <w:rPr>
          <w:rFonts w:ascii="宋体" w:hAnsi="宋体"/>
          <w:color w:val="222222"/>
          <w:kern w:val="0"/>
          <w:sz w:val="32"/>
          <w:szCs w:val="32"/>
        </w:rPr>
      </w:pPr>
      <w:r>
        <w:rPr>
          <w:rFonts w:ascii="宋体" w:hAnsi="宋体"/>
          <w:color w:val="222222"/>
          <w:kern w:val="0"/>
          <w:sz w:val="32"/>
          <w:szCs w:val="32"/>
        </w:rPr>
        <w:t>（二） 单位主要职责</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w:t>
      </w:r>
      <w:r>
        <w:rPr>
          <w:rFonts w:hint="eastAsia" w:ascii="仿宋" w:hAnsi="仿宋" w:eastAsia="仿宋"/>
          <w:sz w:val="32"/>
          <w:szCs w:val="32"/>
        </w:rPr>
        <w:t>加强和改进非公有制经济人士思想政治工作</w:t>
      </w:r>
      <w:r>
        <w:rPr>
          <w:rFonts w:hint="eastAsia" w:ascii="仿宋" w:hAnsi="仿宋" w:eastAsia="仿宋"/>
          <w:sz w:val="32"/>
          <w:szCs w:val="32"/>
          <w:shd w:val="clear" w:color="auto" w:fill="FFFFFF"/>
        </w:rPr>
        <w:t>，促进</w:t>
      </w:r>
      <w:r>
        <w:rPr>
          <w:rFonts w:hint="eastAsia" w:ascii="仿宋" w:hAnsi="仿宋" w:eastAsia="仿宋"/>
          <w:sz w:val="32"/>
          <w:szCs w:val="32"/>
        </w:rPr>
        <w:t>非公有制经济人士健康成长。</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rPr>
        <w:t>2、</w:t>
      </w:r>
      <w:r>
        <w:rPr>
          <w:rFonts w:hint="eastAsia" w:ascii="仿宋" w:hAnsi="仿宋" w:eastAsia="仿宋"/>
          <w:sz w:val="32"/>
          <w:szCs w:val="32"/>
          <w:shd w:val="clear" w:color="auto" w:fill="FFFFFF"/>
        </w:rPr>
        <w:t>教育引导非公有制经济人士积极参加国家经济建设，发挥在政府管理和服务非公有制经济中的助手作用，促进非公有制经济健康发展。</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3、</w:t>
      </w:r>
      <w:r>
        <w:rPr>
          <w:rFonts w:hint="eastAsia" w:ascii="仿宋" w:hAnsi="仿宋" w:eastAsia="仿宋"/>
          <w:sz w:val="32"/>
          <w:szCs w:val="32"/>
        </w:rPr>
        <w:t>密切与会员的联系，表彰宣传他们中的先进典型，</w:t>
      </w:r>
      <w:r>
        <w:rPr>
          <w:rFonts w:hint="eastAsia" w:ascii="仿宋" w:hAnsi="仿宋" w:eastAsia="仿宋"/>
          <w:sz w:val="32"/>
          <w:szCs w:val="32"/>
          <w:shd w:val="clear" w:color="auto" w:fill="FFFFFF"/>
        </w:rPr>
        <w:t>做好工商界代表人士政治安排的推荐工作，引导非公有制经济人士参政议政，发挥民主监督作用。</w:t>
      </w:r>
    </w:p>
    <w:p>
      <w:pPr>
        <w:pStyle w:val="4"/>
        <w:shd w:val="clear" w:color="auto" w:fill="FFFFFF"/>
        <w:spacing w:before="0" w:beforeAutospacing="0" w:after="0" w:afterAutospacing="0" w:line="375" w:lineRule="atLeast"/>
        <w:ind w:firstLine="640" w:firstLineChars="200"/>
        <w:rPr>
          <w:rFonts w:ascii="仿宋" w:hAnsi="仿宋" w:eastAsia="仿宋"/>
          <w:sz w:val="32"/>
          <w:szCs w:val="32"/>
        </w:rPr>
      </w:pPr>
      <w:r>
        <w:rPr>
          <w:rFonts w:hint="eastAsia" w:ascii="仿宋" w:hAnsi="仿宋" w:eastAsia="仿宋"/>
          <w:sz w:val="32"/>
          <w:szCs w:val="32"/>
          <w:shd w:val="clear" w:color="auto" w:fill="FFFFFF"/>
        </w:rPr>
        <w:t>4、积极指导</w:t>
      </w:r>
      <w:r>
        <w:rPr>
          <w:rFonts w:hint="eastAsia" w:ascii="仿宋" w:hAnsi="仿宋" w:eastAsia="仿宋"/>
          <w:sz w:val="32"/>
          <w:szCs w:val="32"/>
        </w:rPr>
        <w:t>行业商（协）会和基层商会积极开展工作，促进行业组织和基层商会的规范发展。</w:t>
      </w:r>
    </w:p>
    <w:p>
      <w:pPr>
        <w:pStyle w:val="4"/>
        <w:shd w:val="clear" w:color="auto" w:fill="FFFFFF"/>
        <w:spacing w:before="0" w:beforeAutospacing="0" w:after="0" w:afterAutospacing="0" w:line="375" w:lineRule="atLeast"/>
        <w:ind w:firstLine="640" w:firstLineChars="200"/>
        <w:rPr>
          <w:rFonts w:ascii="仿宋" w:hAnsi="仿宋" w:eastAsia="仿宋"/>
          <w:sz w:val="32"/>
          <w:szCs w:val="32"/>
        </w:rPr>
      </w:pPr>
      <w:r>
        <w:rPr>
          <w:rFonts w:hint="eastAsia" w:ascii="仿宋" w:hAnsi="仿宋" w:eastAsia="仿宋"/>
          <w:sz w:val="32"/>
          <w:szCs w:val="32"/>
        </w:rPr>
        <w:t>5、加强异地商会联络服务工作，为县委</w:t>
      </w:r>
      <w:r>
        <w:rPr>
          <w:rFonts w:hint="eastAsia" w:ascii="仿宋" w:hAnsi="仿宋" w:eastAsia="仿宋"/>
          <w:sz w:val="32"/>
          <w:szCs w:val="32"/>
          <w:lang w:val="en-US" w:eastAsia="zh-CN"/>
        </w:rPr>
        <w:t>县</w:t>
      </w:r>
      <w:r>
        <w:rPr>
          <w:rFonts w:hint="eastAsia" w:ascii="仿宋" w:hAnsi="仿宋" w:eastAsia="仿宋"/>
          <w:sz w:val="32"/>
          <w:szCs w:val="32"/>
        </w:rPr>
        <w:t>政府招商引资提供信息支持和联络服务工作。</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rPr>
        <w:t>6、</w:t>
      </w:r>
      <w:r>
        <w:rPr>
          <w:rFonts w:hint="eastAsia" w:ascii="仿宋" w:hAnsi="仿宋" w:eastAsia="仿宋"/>
          <w:sz w:val="32"/>
          <w:szCs w:val="32"/>
          <w:shd w:val="clear" w:color="auto" w:fill="FFFFFF"/>
        </w:rPr>
        <w:t>维护会员的合法权益，反映会员的意见、要求和建议，参与经济纠纷的调解、仲裁，为会员提供培训、融资、科技、法律、信息咨询等服务。</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7、县委、县政府和市工商联交办的事项。</w:t>
      </w:r>
    </w:p>
    <w:p>
      <w:pPr>
        <w:widowControl/>
        <w:rPr>
          <w:rFonts w:ascii="仿宋" w:hAnsi="仿宋" w:eastAsia="仿宋"/>
          <w:color w:val="222222"/>
          <w:kern w:val="0"/>
          <w:sz w:val="32"/>
          <w:szCs w:val="32"/>
        </w:rPr>
      </w:pP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9"/>
        <w:ind w:firstLine="640" w:firstLineChars="200"/>
        <w:rPr>
          <w:rFonts w:ascii="宋体" w:hAnsi="宋体" w:eastAsia="宋体"/>
          <w:color w:val="222222"/>
          <w:sz w:val="32"/>
          <w:szCs w:val="32"/>
        </w:rPr>
      </w:pPr>
      <w:r>
        <w:rPr>
          <w:rFonts w:ascii="宋体" w:hAnsi="宋体" w:eastAsia="宋体"/>
          <w:color w:val="222222"/>
          <w:sz w:val="32"/>
          <w:szCs w:val="32"/>
        </w:rPr>
        <w:t>（一）部门整体支出情况</w:t>
      </w:r>
    </w:p>
    <w:p>
      <w:pPr>
        <w:pStyle w:val="9"/>
        <w:ind w:firstLine="640" w:firstLineChars="200"/>
        <w:rPr>
          <w:rFonts w:hint="eastAsia" w:ascii="仿宋" w:hAnsi="仿宋" w:eastAsia="仿宋" w:cs="Times New Roman"/>
          <w:sz w:val="32"/>
          <w:szCs w:val="32"/>
          <w:lang w:val="en-US" w:eastAsia="zh-CN"/>
        </w:rPr>
      </w:pPr>
      <w:r>
        <w:rPr>
          <w:rFonts w:ascii="仿宋" w:hAnsi="仿宋" w:eastAsia="仿宋" w:cs="宋体"/>
          <w:sz w:val="32"/>
          <w:szCs w:val="32"/>
        </w:rPr>
        <w:t>202</w:t>
      </w:r>
      <w:r>
        <w:rPr>
          <w:rFonts w:hint="eastAsia" w:ascii="仿宋" w:hAnsi="仿宋" w:eastAsia="仿宋" w:cs="宋体"/>
          <w:sz w:val="32"/>
          <w:szCs w:val="32"/>
          <w:lang w:val="en-US" w:eastAsia="zh-CN"/>
        </w:rPr>
        <w:t>1</w:t>
      </w:r>
      <w:r>
        <w:rPr>
          <w:rFonts w:hint="eastAsia" w:ascii="仿宋" w:hAnsi="仿宋" w:eastAsia="仿宋" w:cs="宋体"/>
          <w:sz w:val="32"/>
          <w:szCs w:val="32"/>
        </w:rPr>
        <w:t>年度财政拨款支出</w:t>
      </w:r>
      <w:r>
        <w:rPr>
          <w:rFonts w:hint="eastAsia" w:ascii="仿宋" w:hAnsi="仿宋" w:eastAsia="仿宋" w:cs="宋体"/>
          <w:sz w:val="32"/>
          <w:szCs w:val="32"/>
          <w:lang w:val="en-US" w:eastAsia="zh-CN"/>
        </w:rPr>
        <w:t>143.05</w:t>
      </w:r>
      <w:r>
        <w:rPr>
          <w:rFonts w:hint="eastAsia" w:ascii="仿宋" w:hAnsi="仿宋" w:eastAsia="仿宋" w:cs="宋体"/>
          <w:sz w:val="32"/>
          <w:szCs w:val="32"/>
        </w:rPr>
        <w:t>万元，主要用于以下方面：一般公共服务（类）支出</w:t>
      </w:r>
      <w:r>
        <w:rPr>
          <w:rFonts w:hint="eastAsia" w:ascii="仿宋" w:hAnsi="仿宋" w:eastAsia="仿宋" w:cs="宋体"/>
          <w:sz w:val="32"/>
          <w:szCs w:val="32"/>
          <w:lang w:val="en-US" w:eastAsia="zh-CN"/>
        </w:rPr>
        <w:t>114.41</w:t>
      </w:r>
      <w:r>
        <w:rPr>
          <w:rFonts w:hint="eastAsia" w:ascii="仿宋" w:hAnsi="仿宋" w:eastAsia="仿宋" w:cs="宋体"/>
          <w:sz w:val="32"/>
          <w:szCs w:val="32"/>
        </w:rPr>
        <w:t>万元，占</w:t>
      </w:r>
      <w:r>
        <w:rPr>
          <w:rFonts w:hint="eastAsia" w:ascii="仿宋" w:hAnsi="仿宋" w:eastAsia="仿宋" w:cs="宋体"/>
          <w:sz w:val="32"/>
          <w:szCs w:val="32"/>
          <w:lang w:val="en-US" w:eastAsia="zh-CN"/>
        </w:rPr>
        <w:t>79.97</w:t>
      </w:r>
      <w:r>
        <w:rPr>
          <w:rFonts w:ascii="仿宋" w:hAnsi="仿宋" w:eastAsia="仿宋" w:cs="宋体"/>
          <w:sz w:val="32"/>
          <w:szCs w:val="32"/>
        </w:rPr>
        <w:t>%</w:t>
      </w:r>
      <w:r>
        <w:rPr>
          <w:rFonts w:hint="eastAsia" w:ascii="仿宋" w:hAnsi="仿宋" w:eastAsia="仿宋" w:cs="宋体"/>
          <w:sz w:val="32"/>
          <w:szCs w:val="32"/>
        </w:rPr>
        <w:t>；社会保障和就业（类）支出</w:t>
      </w:r>
      <w:r>
        <w:rPr>
          <w:rFonts w:hint="eastAsia" w:ascii="仿宋" w:hAnsi="仿宋" w:eastAsia="仿宋" w:cs="宋体"/>
          <w:sz w:val="32"/>
          <w:szCs w:val="32"/>
          <w:lang w:val="en-US" w:eastAsia="zh-CN"/>
        </w:rPr>
        <w:t>6.18</w:t>
      </w:r>
      <w:r>
        <w:rPr>
          <w:rFonts w:hint="eastAsia" w:ascii="仿宋" w:hAnsi="仿宋" w:eastAsia="仿宋" w:cs="宋体"/>
          <w:sz w:val="32"/>
          <w:szCs w:val="32"/>
        </w:rPr>
        <w:t>万元，占4.</w:t>
      </w:r>
      <w:r>
        <w:rPr>
          <w:rFonts w:hint="eastAsia" w:ascii="仿宋" w:hAnsi="仿宋" w:eastAsia="仿宋" w:cs="宋体"/>
          <w:sz w:val="32"/>
          <w:szCs w:val="32"/>
          <w:lang w:val="en-US" w:eastAsia="zh-CN"/>
        </w:rPr>
        <w:t>32</w:t>
      </w:r>
      <w:r>
        <w:rPr>
          <w:rFonts w:ascii="仿宋" w:hAnsi="仿宋" w:eastAsia="仿宋" w:cs="宋体"/>
          <w:sz w:val="32"/>
          <w:szCs w:val="32"/>
        </w:rPr>
        <w:t>%</w:t>
      </w:r>
      <w:r>
        <w:rPr>
          <w:rFonts w:hint="eastAsia" w:ascii="仿宋" w:hAnsi="仿宋" w:eastAsia="仿宋" w:cs="宋体"/>
          <w:sz w:val="32"/>
          <w:szCs w:val="32"/>
        </w:rPr>
        <w:t>；卫生健康（类）支出</w:t>
      </w:r>
      <w:r>
        <w:rPr>
          <w:rFonts w:hint="eastAsia" w:ascii="仿宋" w:hAnsi="仿宋" w:eastAsia="仿宋" w:cs="宋体"/>
          <w:sz w:val="32"/>
          <w:szCs w:val="32"/>
          <w:lang w:val="en-US" w:eastAsia="zh-CN"/>
        </w:rPr>
        <w:t>2.9</w:t>
      </w:r>
      <w:r>
        <w:rPr>
          <w:rFonts w:hint="eastAsia" w:ascii="仿宋" w:hAnsi="仿宋" w:eastAsia="仿宋" w:cs="宋体"/>
          <w:sz w:val="32"/>
          <w:szCs w:val="32"/>
        </w:rPr>
        <w:t>万元，占</w:t>
      </w:r>
      <w:r>
        <w:rPr>
          <w:rFonts w:hint="eastAsia" w:ascii="仿宋" w:hAnsi="仿宋" w:eastAsia="仿宋" w:cs="宋体"/>
          <w:sz w:val="32"/>
          <w:szCs w:val="32"/>
          <w:lang w:val="en-US" w:eastAsia="zh-CN"/>
        </w:rPr>
        <w:t>2.03</w:t>
      </w:r>
      <w:r>
        <w:rPr>
          <w:rFonts w:hint="eastAsia" w:ascii="仿宋" w:hAnsi="仿宋" w:eastAsia="仿宋" w:cs="宋体"/>
          <w:sz w:val="32"/>
          <w:szCs w:val="32"/>
        </w:rPr>
        <w:t>%；住房保障（类）支出</w:t>
      </w:r>
      <w:r>
        <w:rPr>
          <w:rFonts w:hint="eastAsia" w:ascii="仿宋" w:hAnsi="仿宋" w:eastAsia="仿宋" w:cs="宋体"/>
          <w:sz w:val="32"/>
          <w:szCs w:val="32"/>
          <w:lang w:val="en-US" w:eastAsia="zh-CN"/>
        </w:rPr>
        <w:t>4.64</w:t>
      </w:r>
      <w:r>
        <w:rPr>
          <w:rFonts w:hint="eastAsia" w:ascii="仿宋" w:hAnsi="仿宋" w:eastAsia="仿宋" w:cs="宋体"/>
          <w:sz w:val="32"/>
          <w:szCs w:val="32"/>
        </w:rPr>
        <w:t>万元，占</w:t>
      </w:r>
      <w:r>
        <w:rPr>
          <w:rFonts w:hint="eastAsia" w:ascii="仿宋" w:hAnsi="仿宋" w:eastAsia="仿宋" w:cs="宋体"/>
          <w:sz w:val="32"/>
          <w:szCs w:val="32"/>
          <w:lang w:val="en-US" w:eastAsia="zh-CN"/>
        </w:rPr>
        <w:t>3.24</w:t>
      </w:r>
      <w:r>
        <w:rPr>
          <w:rFonts w:hint="eastAsia" w:ascii="仿宋" w:hAnsi="仿宋" w:eastAsia="仿宋" w:cs="宋体"/>
          <w:sz w:val="32"/>
          <w:szCs w:val="32"/>
        </w:rPr>
        <w:t>%</w:t>
      </w:r>
      <w:r>
        <w:rPr>
          <w:rFonts w:hint="eastAsia" w:ascii="仿宋" w:hAnsi="仿宋" w:eastAsia="仿宋" w:cs="宋体"/>
          <w:sz w:val="32"/>
          <w:szCs w:val="32"/>
          <w:lang w:eastAsia="zh-CN"/>
        </w:rPr>
        <w:t>，</w:t>
      </w:r>
      <w:r>
        <w:rPr>
          <w:rFonts w:hint="eastAsia" w:ascii="仿宋" w:hAnsi="仿宋" w:eastAsia="仿宋" w:cs="宋体"/>
          <w:sz w:val="32"/>
          <w:szCs w:val="32"/>
        </w:rPr>
        <w:t>其他支出14.93万元，占10.44%</w:t>
      </w:r>
      <w:r>
        <w:rPr>
          <w:rFonts w:hint="eastAsia" w:ascii="仿宋" w:hAnsi="仿宋" w:eastAsia="仿宋" w:cs="宋体"/>
          <w:sz w:val="32"/>
          <w:szCs w:val="32"/>
          <w:lang w:eastAsia="zh-CN"/>
        </w:rPr>
        <w:t>。</w:t>
      </w:r>
    </w:p>
    <w:p>
      <w:pPr>
        <w:pStyle w:val="9"/>
        <w:outlineLvl w:val="0"/>
        <w:rPr>
          <w:rFonts w:ascii="宋体" w:hAnsi="宋体" w:eastAsia="宋体"/>
          <w:b/>
          <w:bCs/>
          <w:sz w:val="32"/>
          <w:szCs w:val="32"/>
        </w:rPr>
      </w:pPr>
      <w:r>
        <w:rPr>
          <w:rFonts w:ascii="宋体" w:hAnsi="宋体" w:eastAsia="宋体"/>
          <w:color w:val="222222"/>
          <w:sz w:val="32"/>
          <w:szCs w:val="32"/>
        </w:rPr>
        <w:t>（二）部门预算收支决算情况</w:t>
      </w:r>
    </w:p>
    <w:p>
      <w:pPr>
        <w:pStyle w:val="9"/>
        <w:ind w:firstLine="640" w:firstLineChars="200"/>
        <w:rPr>
          <w:rFonts w:ascii="仿宋" w:hAnsi="仿宋" w:eastAsia="仿宋" w:cs="Times New Roman"/>
          <w:sz w:val="32"/>
          <w:szCs w:val="32"/>
        </w:rPr>
      </w:pPr>
      <w:r>
        <w:rPr>
          <w:rFonts w:hint="eastAsia" w:ascii="仿宋" w:hAnsi="仿宋" w:eastAsia="仿宋" w:cs="宋体"/>
          <w:sz w:val="32"/>
          <w:szCs w:val="32"/>
        </w:rPr>
        <w:t>本年收入合计</w:t>
      </w:r>
      <w:r>
        <w:rPr>
          <w:rFonts w:hint="eastAsia" w:ascii="仿宋" w:hAnsi="仿宋" w:eastAsia="仿宋" w:cs="宋体"/>
          <w:sz w:val="32"/>
          <w:szCs w:val="32"/>
          <w:lang w:val="en-US" w:eastAsia="zh-CN"/>
        </w:rPr>
        <w:t>126.99</w:t>
      </w:r>
      <w:r>
        <w:rPr>
          <w:rFonts w:hint="eastAsia" w:ascii="仿宋" w:hAnsi="仿宋" w:eastAsia="仿宋" w:cs="宋体"/>
          <w:sz w:val="32"/>
          <w:szCs w:val="32"/>
        </w:rPr>
        <w:t>万元，其中：财政拨款收入</w:t>
      </w:r>
      <w:r>
        <w:rPr>
          <w:rFonts w:hint="eastAsia" w:ascii="仿宋" w:hAnsi="仿宋" w:eastAsia="仿宋" w:cs="宋体"/>
          <w:sz w:val="32"/>
          <w:szCs w:val="32"/>
          <w:lang w:val="en-US" w:eastAsia="zh-CN"/>
        </w:rPr>
        <w:t>126.99</w:t>
      </w:r>
      <w:r>
        <w:rPr>
          <w:rFonts w:hint="eastAsia" w:ascii="仿宋" w:hAnsi="仿宋" w:eastAsia="仿宋" w:cs="宋体"/>
          <w:sz w:val="32"/>
          <w:szCs w:val="32"/>
        </w:rPr>
        <w:t>万元，占100</w:t>
      </w:r>
      <w:r>
        <w:rPr>
          <w:rFonts w:ascii="仿宋" w:hAnsi="仿宋" w:eastAsia="仿宋" w:cs="宋体"/>
          <w:sz w:val="32"/>
          <w:szCs w:val="32"/>
        </w:rPr>
        <w:t>%</w:t>
      </w:r>
      <w:r>
        <w:rPr>
          <w:rFonts w:hint="eastAsia" w:ascii="仿宋" w:hAnsi="仿宋" w:eastAsia="仿宋" w:cs="宋体"/>
          <w:sz w:val="32"/>
          <w:szCs w:val="32"/>
        </w:rPr>
        <w:t>；上级补助收入0万元，占0</w:t>
      </w:r>
      <w:r>
        <w:rPr>
          <w:rFonts w:ascii="仿宋" w:hAnsi="仿宋" w:eastAsia="仿宋" w:cs="宋体"/>
          <w:sz w:val="32"/>
          <w:szCs w:val="32"/>
        </w:rPr>
        <w:t>%</w:t>
      </w:r>
      <w:r>
        <w:rPr>
          <w:rFonts w:hint="eastAsia" w:ascii="仿宋" w:hAnsi="仿宋" w:eastAsia="仿宋" w:cs="宋体"/>
          <w:sz w:val="32"/>
          <w:szCs w:val="32"/>
        </w:rPr>
        <w:t>；事业收入0万元，占0</w:t>
      </w:r>
      <w:r>
        <w:rPr>
          <w:rFonts w:ascii="仿宋" w:hAnsi="仿宋" w:eastAsia="仿宋" w:cs="宋体"/>
          <w:sz w:val="32"/>
          <w:szCs w:val="32"/>
        </w:rPr>
        <w:t>%</w:t>
      </w:r>
      <w:r>
        <w:rPr>
          <w:rFonts w:hint="eastAsia" w:ascii="仿宋" w:hAnsi="仿宋" w:eastAsia="仿宋" w:cs="宋体"/>
          <w:sz w:val="32"/>
          <w:szCs w:val="32"/>
        </w:rPr>
        <w:t>；经营收入0万元，占0</w:t>
      </w:r>
      <w:r>
        <w:rPr>
          <w:rFonts w:ascii="仿宋" w:hAnsi="仿宋" w:eastAsia="仿宋" w:cs="宋体"/>
          <w:sz w:val="32"/>
          <w:szCs w:val="32"/>
        </w:rPr>
        <w:t>%</w:t>
      </w:r>
      <w:r>
        <w:rPr>
          <w:rFonts w:hint="eastAsia" w:ascii="仿宋" w:hAnsi="仿宋" w:eastAsia="仿宋" w:cs="宋体"/>
          <w:sz w:val="32"/>
          <w:szCs w:val="32"/>
        </w:rPr>
        <w:t>；附属单位上缴收入0万元，占0</w:t>
      </w:r>
      <w:r>
        <w:rPr>
          <w:rFonts w:ascii="仿宋" w:hAnsi="仿宋" w:eastAsia="仿宋" w:cs="宋体"/>
          <w:sz w:val="32"/>
          <w:szCs w:val="32"/>
        </w:rPr>
        <w:t>%</w:t>
      </w:r>
      <w:r>
        <w:rPr>
          <w:rFonts w:hint="eastAsia" w:ascii="仿宋" w:hAnsi="仿宋" w:eastAsia="仿宋" w:cs="宋体"/>
          <w:sz w:val="32"/>
          <w:szCs w:val="32"/>
        </w:rPr>
        <w:t>；其他收入0万元，占0</w:t>
      </w:r>
      <w:r>
        <w:rPr>
          <w:rFonts w:ascii="仿宋" w:hAnsi="仿宋" w:eastAsia="仿宋" w:cs="宋体"/>
          <w:sz w:val="32"/>
          <w:szCs w:val="32"/>
        </w:rPr>
        <w:t>%</w:t>
      </w:r>
      <w:r>
        <w:rPr>
          <w:rFonts w:hint="eastAsia" w:ascii="仿宋" w:hAnsi="仿宋" w:eastAsia="仿宋" w:cs="宋体"/>
          <w:sz w:val="32"/>
          <w:szCs w:val="32"/>
        </w:rPr>
        <w:t>。</w:t>
      </w:r>
    </w:p>
    <w:p>
      <w:pPr>
        <w:pStyle w:val="9"/>
        <w:ind w:firstLine="640" w:firstLineChars="200"/>
        <w:rPr>
          <w:rFonts w:ascii="仿宋" w:hAnsi="仿宋" w:eastAsia="仿宋" w:cs="Times New Roman"/>
          <w:sz w:val="32"/>
          <w:szCs w:val="32"/>
        </w:rPr>
      </w:pPr>
      <w:r>
        <w:rPr>
          <w:rFonts w:hint="eastAsia" w:ascii="仿宋" w:hAnsi="仿宋" w:eastAsia="仿宋" w:cs="宋体"/>
          <w:sz w:val="32"/>
          <w:szCs w:val="32"/>
        </w:rPr>
        <w:t>本年支出合计</w:t>
      </w:r>
      <w:r>
        <w:rPr>
          <w:rFonts w:hint="eastAsia" w:ascii="仿宋" w:hAnsi="仿宋" w:eastAsia="仿宋" w:cs="宋体"/>
          <w:sz w:val="32"/>
          <w:szCs w:val="32"/>
          <w:lang w:val="en-US" w:eastAsia="zh-CN"/>
        </w:rPr>
        <w:t>143.05</w:t>
      </w:r>
      <w:r>
        <w:rPr>
          <w:rFonts w:hint="eastAsia" w:ascii="仿宋" w:hAnsi="仿宋" w:eastAsia="仿宋" w:cs="宋体"/>
          <w:sz w:val="32"/>
          <w:szCs w:val="32"/>
        </w:rPr>
        <w:t>万元，其中：基本支出</w:t>
      </w:r>
      <w:r>
        <w:rPr>
          <w:rFonts w:hint="eastAsia" w:ascii="仿宋" w:hAnsi="仿宋" w:eastAsia="仿宋" w:cs="宋体"/>
          <w:sz w:val="32"/>
          <w:szCs w:val="32"/>
          <w:lang w:val="en-US" w:eastAsia="zh-CN"/>
        </w:rPr>
        <w:t>97.94</w:t>
      </w:r>
      <w:r>
        <w:rPr>
          <w:rFonts w:hint="eastAsia" w:ascii="仿宋" w:hAnsi="仿宋" w:eastAsia="仿宋" w:cs="宋体"/>
          <w:sz w:val="32"/>
          <w:szCs w:val="32"/>
        </w:rPr>
        <w:t>万元，占</w:t>
      </w:r>
      <w:r>
        <w:rPr>
          <w:rFonts w:hint="eastAsia" w:ascii="仿宋" w:hAnsi="仿宋" w:eastAsia="仿宋" w:cs="宋体"/>
          <w:sz w:val="32"/>
          <w:szCs w:val="32"/>
          <w:lang w:val="en-US" w:eastAsia="zh-CN"/>
        </w:rPr>
        <w:t>68.47</w:t>
      </w:r>
      <w:r>
        <w:rPr>
          <w:rFonts w:ascii="仿宋" w:hAnsi="仿宋" w:eastAsia="仿宋" w:cs="宋体"/>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45.11</w:t>
      </w:r>
      <w:r>
        <w:rPr>
          <w:rFonts w:hint="eastAsia" w:ascii="仿宋" w:hAnsi="仿宋" w:eastAsia="仿宋" w:cs="宋体"/>
          <w:sz w:val="32"/>
          <w:szCs w:val="32"/>
        </w:rPr>
        <w:t>万元，占</w:t>
      </w:r>
      <w:r>
        <w:rPr>
          <w:rFonts w:hint="eastAsia" w:ascii="仿宋" w:hAnsi="仿宋" w:eastAsia="仿宋" w:cs="宋体"/>
          <w:sz w:val="32"/>
          <w:szCs w:val="32"/>
          <w:lang w:val="en-US" w:eastAsia="zh-CN"/>
        </w:rPr>
        <w:t>31.53</w:t>
      </w:r>
      <w:r>
        <w:rPr>
          <w:rFonts w:ascii="仿宋" w:hAnsi="仿宋" w:eastAsia="仿宋" w:cs="宋体"/>
          <w:sz w:val="32"/>
          <w:szCs w:val="32"/>
        </w:rPr>
        <w:t>%</w:t>
      </w:r>
      <w:r>
        <w:rPr>
          <w:rFonts w:hint="eastAsia" w:ascii="仿宋" w:hAnsi="仿宋" w:eastAsia="仿宋" w:cs="宋体"/>
          <w:sz w:val="32"/>
          <w:szCs w:val="32"/>
        </w:rPr>
        <w:t>；上缴上级支出0万元，占0</w:t>
      </w:r>
      <w:r>
        <w:rPr>
          <w:rFonts w:ascii="仿宋" w:hAnsi="仿宋" w:eastAsia="仿宋" w:cs="宋体"/>
          <w:sz w:val="32"/>
          <w:szCs w:val="32"/>
        </w:rPr>
        <w:t>%</w:t>
      </w:r>
      <w:r>
        <w:rPr>
          <w:rFonts w:hint="eastAsia" w:ascii="仿宋" w:hAnsi="仿宋" w:eastAsia="仿宋" w:cs="宋体"/>
          <w:sz w:val="32"/>
          <w:szCs w:val="32"/>
        </w:rPr>
        <w:t>；经营支出0万元，占0</w:t>
      </w:r>
      <w:r>
        <w:rPr>
          <w:rFonts w:ascii="仿宋" w:hAnsi="仿宋" w:eastAsia="仿宋" w:cs="宋体"/>
          <w:sz w:val="32"/>
          <w:szCs w:val="32"/>
        </w:rPr>
        <w:t>%</w:t>
      </w:r>
      <w:r>
        <w:rPr>
          <w:rFonts w:hint="eastAsia" w:ascii="仿宋" w:hAnsi="仿宋" w:eastAsia="仿宋" w:cs="宋体"/>
          <w:sz w:val="32"/>
          <w:szCs w:val="32"/>
        </w:rPr>
        <w:t>；对附属单位补助支出0万元，占0</w:t>
      </w:r>
      <w:r>
        <w:rPr>
          <w:rFonts w:ascii="仿宋" w:hAnsi="仿宋" w:eastAsia="仿宋" w:cs="宋体"/>
          <w:sz w:val="32"/>
          <w:szCs w:val="32"/>
        </w:rPr>
        <w:t>%</w:t>
      </w:r>
      <w:r>
        <w:rPr>
          <w:rFonts w:hint="eastAsia" w:ascii="仿宋" w:hAnsi="仿宋" w:eastAsia="仿宋" w:cs="宋体"/>
          <w:sz w:val="32"/>
          <w:szCs w:val="32"/>
        </w:rPr>
        <w:t>。</w:t>
      </w:r>
    </w:p>
    <w:p>
      <w:pPr>
        <w:pStyle w:val="9"/>
        <w:rPr>
          <w:rFonts w:ascii="宋体" w:hAnsi="宋体" w:eastAsia="宋体"/>
          <w:color w:val="222222"/>
          <w:sz w:val="32"/>
          <w:szCs w:val="32"/>
        </w:rPr>
      </w:pPr>
      <w:r>
        <w:rPr>
          <w:rFonts w:ascii="宋体" w:hAnsi="宋体" w:eastAsia="宋体"/>
          <w:color w:val="222222"/>
          <w:sz w:val="32"/>
          <w:szCs w:val="32"/>
        </w:rPr>
        <w:t>（三） “三公经费”支出使用和管理情况</w:t>
      </w:r>
    </w:p>
    <w:p>
      <w:pPr>
        <w:pStyle w:val="9"/>
        <w:ind w:firstLine="640" w:firstLineChars="200"/>
        <w:rPr>
          <w:rFonts w:ascii="仿宋" w:hAnsi="仿宋" w:eastAsia="仿宋" w:cs="Times New Roman"/>
          <w:sz w:val="32"/>
          <w:szCs w:val="32"/>
        </w:rPr>
      </w:pPr>
      <w:r>
        <w:rPr>
          <w:rFonts w:ascii="仿宋" w:hAnsi="仿宋" w:eastAsia="仿宋" w:cs="宋体"/>
          <w:sz w:val="32"/>
          <w:szCs w:val="32"/>
        </w:rPr>
        <w:t>202</w:t>
      </w:r>
      <w:r>
        <w:rPr>
          <w:rFonts w:hint="eastAsia" w:ascii="仿宋" w:hAnsi="仿宋" w:eastAsia="仿宋" w:cs="宋体"/>
          <w:sz w:val="32"/>
          <w:szCs w:val="32"/>
          <w:lang w:val="en-US" w:eastAsia="zh-CN"/>
        </w:rPr>
        <w:t>1</w:t>
      </w:r>
      <w:r>
        <w:rPr>
          <w:rFonts w:hint="eastAsia" w:ascii="仿宋" w:hAnsi="仿宋" w:eastAsia="仿宋" w:cs="宋体"/>
          <w:sz w:val="32"/>
          <w:szCs w:val="32"/>
        </w:rPr>
        <w:t>年度“三公”经费财政拨款支出决算中，公务接待费支出决算1.</w:t>
      </w:r>
      <w:r>
        <w:rPr>
          <w:rFonts w:hint="eastAsia" w:ascii="仿宋" w:hAnsi="仿宋" w:eastAsia="仿宋" w:cs="宋体"/>
          <w:sz w:val="32"/>
          <w:szCs w:val="32"/>
          <w:lang w:val="en-US" w:eastAsia="zh-CN"/>
        </w:rPr>
        <w:t>48</w:t>
      </w:r>
      <w:r>
        <w:rPr>
          <w:rFonts w:hint="eastAsia" w:ascii="仿宋" w:hAnsi="仿宋" w:eastAsia="仿宋" w:cs="宋体"/>
          <w:sz w:val="32"/>
          <w:szCs w:val="32"/>
        </w:rPr>
        <w:t>万元，占100</w:t>
      </w:r>
      <w:r>
        <w:rPr>
          <w:rFonts w:ascii="仿宋" w:hAnsi="仿宋" w:eastAsia="仿宋" w:cs="宋体"/>
          <w:sz w:val="32"/>
          <w:szCs w:val="32"/>
        </w:rPr>
        <w:t>%,</w:t>
      </w:r>
      <w:r>
        <w:rPr>
          <w:rFonts w:hint="eastAsia" w:ascii="仿宋" w:hAnsi="仿宋" w:eastAsia="仿宋" w:cs="宋体"/>
          <w:sz w:val="32"/>
          <w:szCs w:val="32"/>
        </w:rPr>
        <w:t>因公出国（境）费支出决算0万元，占0</w:t>
      </w:r>
      <w:r>
        <w:rPr>
          <w:rFonts w:ascii="仿宋" w:hAnsi="仿宋" w:eastAsia="仿宋" w:cs="宋体"/>
          <w:sz w:val="32"/>
          <w:szCs w:val="32"/>
        </w:rPr>
        <w:t>%,</w:t>
      </w:r>
      <w:r>
        <w:rPr>
          <w:rFonts w:hint="eastAsia" w:ascii="仿宋" w:hAnsi="仿宋" w:eastAsia="仿宋" w:cs="宋体"/>
          <w:sz w:val="32"/>
          <w:szCs w:val="32"/>
        </w:rPr>
        <w:t>公务用车购置费及运行维护费支出决算0万元，占0</w:t>
      </w:r>
      <w:r>
        <w:rPr>
          <w:rFonts w:ascii="仿宋" w:hAnsi="仿宋" w:eastAsia="仿宋" w:cs="宋体"/>
          <w:sz w:val="32"/>
          <w:szCs w:val="32"/>
        </w:rPr>
        <w:t>%</w:t>
      </w:r>
      <w:r>
        <w:rPr>
          <w:rFonts w:hint="eastAsia" w:ascii="仿宋" w:hAnsi="仿宋" w:eastAsia="仿宋" w:cs="宋体"/>
          <w:sz w:val="32"/>
          <w:szCs w:val="32"/>
        </w:rPr>
        <w:t>。其中：</w:t>
      </w:r>
    </w:p>
    <w:p>
      <w:pPr>
        <w:pStyle w:val="9"/>
        <w:ind w:firstLine="640" w:firstLineChars="200"/>
        <w:rPr>
          <w:rFonts w:ascii="仿宋" w:hAnsi="仿宋" w:eastAsia="仿宋" w:cs="Times New Roman"/>
          <w:color w:val="FF0000"/>
          <w:sz w:val="32"/>
          <w:szCs w:val="32"/>
        </w:rPr>
      </w:pPr>
      <w:r>
        <w:rPr>
          <w:rFonts w:ascii="仿宋" w:hAnsi="仿宋" w:eastAsia="仿宋" w:cs="宋体"/>
          <w:sz w:val="32"/>
          <w:szCs w:val="32"/>
        </w:rPr>
        <w:t>1</w:t>
      </w:r>
      <w:r>
        <w:rPr>
          <w:rFonts w:hint="eastAsia" w:ascii="仿宋" w:hAnsi="仿宋" w:eastAsia="仿宋" w:cs="宋体"/>
          <w:sz w:val="32"/>
          <w:szCs w:val="32"/>
        </w:rPr>
        <w:t>、因公出国（境）费支出决算为0万元，全年安排因公出国（境）团组0个，累计0人次</w:t>
      </w:r>
      <w:r>
        <w:rPr>
          <w:rFonts w:hint="eastAsia" w:ascii="仿宋" w:hAnsi="仿宋" w:eastAsia="仿宋" w:cs="宋体"/>
          <w:iCs/>
          <w:color w:val="FF0000"/>
          <w:sz w:val="32"/>
          <w:szCs w:val="32"/>
        </w:rPr>
        <w:t>。</w:t>
      </w:r>
    </w:p>
    <w:p>
      <w:pPr>
        <w:pStyle w:val="9"/>
        <w:ind w:firstLine="800" w:firstLineChars="250"/>
        <w:rPr>
          <w:rFonts w:ascii="仿宋" w:hAnsi="仿宋" w:eastAsia="仿宋" w:cs="Times New Roman"/>
          <w:sz w:val="32"/>
          <w:szCs w:val="32"/>
        </w:rPr>
      </w:pPr>
      <w:r>
        <w:rPr>
          <w:rFonts w:ascii="仿宋" w:hAnsi="仿宋" w:eastAsia="仿宋" w:cs="宋体"/>
          <w:sz w:val="32"/>
          <w:szCs w:val="32"/>
        </w:rPr>
        <w:t>2</w:t>
      </w:r>
      <w:r>
        <w:rPr>
          <w:rFonts w:hint="eastAsia" w:ascii="仿宋" w:hAnsi="仿宋" w:eastAsia="仿宋" w:cs="宋体"/>
          <w:sz w:val="32"/>
          <w:szCs w:val="32"/>
        </w:rPr>
        <w:t>、公务接待费支出决算为1.</w:t>
      </w:r>
      <w:r>
        <w:rPr>
          <w:rFonts w:hint="eastAsia" w:ascii="仿宋" w:hAnsi="仿宋" w:eastAsia="仿宋" w:cs="宋体"/>
          <w:sz w:val="32"/>
          <w:szCs w:val="32"/>
          <w:lang w:val="en-US" w:eastAsia="zh-CN"/>
        </w:rPr>
        <w:t>48</w:t>
      </w:r>
      <w:r>
        <w:rPr>
          <w:rFonts w:hint="eastAsia" w:ascii="仿宋" w:hAnsi="仿宋" w:eastAsia="仿宋" w:cs="宋体"/>
          <w:sz w:val="32"/>
          <w:szCs w:val="32"/>
        </w:rPr>
        <w:t>万元，全年共接待来访团组</w:t>
      </w:r>
      <w:r>
        <w:rPr>
          <w:rFonts w:hint="eastAsia" w:ascii="仿宋" w:hAnsi="仿宋" w:eastAsia="仿宋" w:cs="宋体"/>
          <w:sz w:val="32"/>
          <w:szCs w:val="32"/>
          <w:lang w:val="en-US" w:eastAsia="zh-CN"/>
        </w:rPr>
        <w:t>17</w:t>
      </w:r>
      <w:r>
        <w:rPr>
          <w:rFonts w:hint="eastAsia" w:ascii="仿宋" w:hAnsi="仿宋" w:eastAsia="仿宋" w:cs="宋体"/>
          <w:sz w:val="32"/>
          <w:szCs w:val="32"/>
        </w:rPr>
        <w:t>个、来宾</w:t>
      </w:r>
      <w:r>
        <w:rPr>
          <w:rFonts w:hint="eastAsia" w:ascii="仿宋" w:hAnsi="仿宋" w:eastAsia="仿宋" w:cs="宋体"/>
          <w:sz w:val="32"/>
          <w:szCs w:val="32"/>
          <w:lang w:val="en-US" w:eastAsia="zh-CN"/>
        </w:rPr>
        <w:t>129</w:t>
      </w:r>
      <w:r>
        <w:rPr>
          <w:rFonts w:hint="eastAsia" w:ascii="仿宋" w:hAnsi="仿宋" w:eastAsia="仿宋" w:cs="宋体"/>
          <w:sz w:val="32"/>
          <w:szCs w:val="32"/>
        </w:rPr>
        <w:t>人次，主要是异地商会联络发生的接待支出。</w:t>
      </w:r>
    </w:p>
    <w:p>
      <w:pPr>
        <w:ind w:firstLine="800" w:firstLineChars="250"/>
        <w:rPr>
          <w:rFonts w:ascii="仿宋" w:hAnsi="仿宋" w:eastAsia="仿宋"/>
          <w:color w:val="000000"/>
          <w:kern w:val="0"/>
          <w:sz w:val="32"/>
          <w:szCs w:val="32"/>
        </w:rPr>
      </w:pPr>
      <w:r>
        <w:rPr>
          <w:rFonts w:ascii="仿宋" w:hAnsi="仿宋" w:eastAsia="仿宋" w:cs="宋体"/>
          <w:sz w:val="32"/>
          <w:szCs w:val="32"/>
        </w:rPr>
        <w:t>3</w:t>
      </w:r>
      <w:r>
        <w:rPr>
          <w:rFonts w:hint="eastAsia" w:ascii="仿宋" w:hAnsi="仿宋" w:eastAsia="仿宋" w:cs="宋体"/>
          <w:sz w:val="32"/>
          <w:szCs w:val="32"/>
        </w:rPr>
        <w:t>、公务用车购置费及运行维护费支出决算为0万元，其中：公务用车购置费0万元，单位本级更新公务用车0辆</w:t>
      </w:r>
      <w:r>
        <w:rPr>
          <w:rFonts w:hint="eastAsia" w:ascii="仿宋" w:hAnsi="仿宋" w:eastAsia="仿宋" w:cs="宋体"/>
          <w:color w:val="000000"/>
          <w:sz w:val="32"/>
          <w:szCs w:val="32"/>
        </w:rPr>
        <w:t>。</w:t>
      </w:r>
      <w:r>
        <w:rPr>
          <w:rFonts w:hint="eastAsia" w:ascii="仿宋" w:hAnsi="仿宋" w:eastAsia="仿宋" w:cs="宋体"/>
          <w:sz w:val="32"/>
          <w:szCs w:val="32"/>
        </w:rPr>
        <w:t>公务用车运行维护费0万元，截止</w:t>
      </w:r>
      <w:r>
        <w:rPr>
          <w:rFonts w:ascii="仿宋" w:hAnsi="仿宋" w:eastAsia="仿宋" w:cs="宋体"/>
          <w:sz w:val="32"/>
          <w:szCs w:val="32"/>
        </w:rPr>
        <w:t>202</w:t>
      </w:r>
      <w:r>
        <w:rPr>
          <w:rFonts w:hint="eastAsia" w:ascii="仿宋" w:hAnsi="仿宋" w:eastAsia="仿宋" w:cs="宋体"/>
          <w:sz w:val="32"/>
          <w:szCs w:val="32"/>
          <w:lang w:val="en-US" w:eastAsia="zh-CN"/>
        </w:rPr>
        <w:t>1</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日，我单位开支财政拨款的公务用车保有量为0辆。</w:t>
      </w:r>
    </w:p>
    <w:p>
      <w:pPr>
        <w:widowControl/>
        <w:ind w:firstLine="643" w:firstLineChars="200"/>
        <w:rPr>
          <w:rFonts w:ascii="宋体" w:cs="Times New Roman"/>
          <w:b/>
          <w:bCs/>
          <w:color w:val="222222"/>
          <w:kern w:val="0"/>
          <w:sz w:val="32"/>
          <w:szCs w:val="32"/>
        </w:rPr>
      </w:pPr>
      <w:r>
        <w:rPr>
          <w:rFonts w:hint="eastAsia" w:ascii="宋体" w:hAnsi="宋体" w:cs="宋体"/>
          <w:b/>
          <w:bCs/>
          <w:color w:val="222222"/>
          <w:kern w:val="0"/>
          <w:sz w:val="32"/>
          <w:szCs w:val="32"/>
        </w:rPr>
        <w:t>三、部门绩效目标</w:t>
      </w:r>
    </w:p>
    <w:p>
      <w:pPr>
        <w:pStyle w:val="10"/>
        <w:spacing w:line="360" w:lineRule="auto"/>
        <w:ind w:firstLine="800" w:firstLineChars="250"/>
        <w:rPr>
          <w:rFonts w:ascii="仿宋" w:hAnsi="仿宋" w:eastAsia="仿宋"/>
          <w:sz w:val="32"/>
          <w:szCs w:val="32"/>
        </w:rPr>
      </w:pPr>
      <w:r>
        <w:rPr>
          <w:rFonts w:hint="eastAsia" w:ascii="仿宋" w:hAnsi="仿宋" w:eastAsia="仿宋"/>
          <w:sz w:val="32"/>
          <w:szCs w:val="32"/>
        </w:rPr>
        <w:t>加强两新党建工作，加强对非公经济人士的教育培训和引导，促进非公有制经济的健康发展和非公有制经济人士的健康成长；反映非公经济人士诉求，引导参政议政，协助非公企业合法维权；加强对外联络，加强异地商会联络服务工作，加强企业、行业间的联络交流，为会员及政府招商引资提供信息；带领、组织会员考察调研，为县委</w:t>
      </w:r>
      <w:r>
        <w:rPr>
          <w:rFonts w:hint="eastAsia" w:ascii="仿宋" w:hAnsi="仿宋" w:eastAsia="仿宋"/>
          <w:sz w:val="32"/>
          <w:szCs w:val="32"/>
          <w:lang w:val="en-US" w:eastAsia="zh-CN"/>
        </w:rPr>
        <w:t>县</w:t>
      </w:r>
      <w:r>
        <w:rPr>
          <w:rFonts w:hint="eastAsia" w:ascii="仿宋" w:hAnsi="仿宋" w:eastAsia="仿宋"/>
          <w:sz w:val="32"/>
          <w:szCs w:val="32"/>
        </w:rPr>
        <w:t>政府决策提供参考；教育和引导非公经济人士参与光彩事业和社会公益事业，参与精准扶贫，感恩回报社会。对群众满意度调查达95%。</w:t>
      </w:r>
    </w:p>
    <w:p>
      <w:pPr>
        <w:widowControl/>
        <w:rPr>
          <w:rFonts w:ascii="宋体" w:cs="Times New Roman"/>
          <w:b/>
          <w:bCs/>
          <w:color w:val="222222"/>
          <w:kern w:val="0"/>
          <w:sz w:val="32"/>
          <w:szCs w:val="32"/>
        </w:rPr>
      </w:pPr>
      <w:r>
        <w:rPr>
          <w:rFonts w:hint="eastAsia" w:ascii="宋体" w:hAnsi="宋体" w:cs="宋体"/>
          <w:b/>
          <w:bCs/>
          <w:color w:val="222222"/>
          <w:kern w:val="0"/>
          <w:sz w:val="32"/>
          <w:szCs w:val="32"/>
        </w:rPr>
        <w:t>四、绩效评价工作情况</w:t>
      </w:r>
    </w:p>
    <w:p>
      <w:pPr>
        <w:ind w:firstLine="640" w:firstLineChars="200"/>
        <w:rPr>
          <w:rFonts w:ascii="仿宋" w:hAnsi="仿宋" w:eastAsia="仿宋" w:cs="Times New Roman"/>
          <w:kern w:val="0"/>
          <w:sz w:val="32"/>
          <w:szCs w:val="32"/>
        </w:rPr>
      </w:pPr>
      <w:r>
        <w:rPr>
          <w:rFonts w:hint="eastAsia" w:ascii="仿宋" w:hAnsi="仿宋" w:eastAsia="仿宋" w:cs="宋体"/>
          <w:kern w:val="0"/>
          <w:sz w:val="32"/>
          <w:szCs w:val="32"/>
        </w:rPr>
        <w:t>1、严格落实《预算法》及绩效管理的相关制度和规定，进一步规范和落实财政资金的专项管理，强化财政支出绩效理念，提高资金使用效益。</w:t>
      </w:r>
    </w:p>
    <w:p>
      <w:pPr>
        <w:ind w:firstLine="640" w:firstLineChars="200"/>
        <w:rPr>
          <w:rFonts w:ascii="仿宋" w:hAnsi="仿宋" w:eastAsia="仿宋" w:cs="Times New Roman"/>
          <w:color w:val="222222"/>
          <w:kern w:val="0"/>
          <w:sz w:val="30"/>
          <w:szCs w:val="30"/>
        </w:rPr>
      </w:pPr>
      <w:r>
        <w:rPr>
          <w:rFonts w:hint="eastAsia" w:ascii="仿宋" w:hAnsi="仿宋" w:eastAsia="仿宋" w:cs="宋体"/>
          <w:kern w:val="0"/>
          <w:sz w:val="32"/>
          <w:szCs w:val="32"/>
        </w:rPr>
        <w:t>2、根据绩效评价的要求，领导高度重视，成立了自评工作领导小组，由单位领导任组长，相关股室为成员，积极开展绩效自评工作，按照绩效管理目标要求对照各实施项目的内容逐条逐项自评。在自评过程中，查找原因，及时纠正偏差，为下一步工作夯实基础。</w:t>
      </w:r>
    </w:p>
    <w:p>
      <w:pPr>
        <w:widowControl/>
        <w:ind w:firstLine="315" w:firstLineChars="98"/>
        <w:rPr>
          <w:rFonts w:ascii="宋体" w:cs="Times New Roman"/>
          <w:b/>
          <w:bCs/>
          <w:color w:val="000000"/>
          <w:sz w:val="32"/>
          <w:szCs w:val="32"/>
        </w:rPr>
      </w:pPr>
      <w:r>
        <w:rPr>
          <w:rFonts w:hint="eastAsia" w:ascii="宋体" w:hAnsi="宋体" w:cs="宋体"/>
          <w:b/>
          <w:bCs/>
          <w:color w:val="000000"/>
          <w:sz w:val="32"/>
          <w:szCs w:val="32"/>
        </w:rPr>
        <w:t>五、综合评价结果</w:t>
      </w:r>
    </w:p>
    <w:p>
      <w:pPr>
        <w:spacing w:line="48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年，县工商联在</w:t>
      </w:r>
      <w:bookmarkStart w:id="0" w:name="_GoBack"/>
      <w:bookmarkEnd w:id="0"/>
      <w:r>
        <w:rPr>
          <w:rFonts w:hint="eastAsia" w:ascii="仿宋" w:hAnsi="仿宋" w:eastAsia="仿宋" w:cs="仿宋"/>
          <w:sz w:val="32"/>
          <w:szCs w:val="32"/>
        </w:rPr>
        <w:t>县委、县政府的正确领导及市联悉心指导下，牢牢把握促进“两个健康”主题，坚持“团结、服务、引导、教育”工作方针，充分发挥统战性、经济性、民间性有机统一综合优势，确立“争创全省‘五好’标兵县级工商联”的工作目标，围绕中心，服务大局，开拓进取，认真履职，各项工作扎实有效。</w:t>
      </w:r>
    </w:p>
    <w:p>
      <w:pPr>
        <w:ind w:firstLine="640" w:firstLineChars="200"/>
        <w:rPr>
          <w:rFonts w:ascii="宋体" w:hAnsi="宋体" w:cs="宋体"/>
          <w:b/>
          <w:bCs/>
          <w:kern w:val="0"/>
          <w:sz w:val="24"/>
          <w:szCs w:val="24"/>
        </w:rPr>
      </w:pPr>
      <w:r>
        <w:rPr>
          <w:rFonts w:hint="eastAsia" w:ascii="仿宋" w:hAnsi="仿宋" w:eastAsia="仿宋" w:cs="宋体"/>
          <w:kern w:val="0"/>
          <w:sz w:val="32"/>
          <w:szCs w:val="32"/>
        </w:rPr>
        <w:t>根据对我单位202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年部门整体支出绩效评价指标体系和绩效情况的检查，202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年整体绩效自评分为95分。</w:t>
      </w:r>
    </w:p>
    <w:p>
      <w:pPr>
        <w:spacing w:line="560" w:lineRule="exact"/>
        <w:ind w:firstLine="3660" w:firstLineChars="1519"/>
        <w:rPr>
          <w:rFonts w:ascii="宋体" w:hAnsi="宋体" w:cs="宋体"/>
          <w:b/>
          <w:bCs/>
          <w:kern w:val="0"/>
          <w:sz w:val="24"/>
          <w:szCs w:val="24"/>
        </w:rPr>
      </w:pPr>
    </w:p>
    <w:p>
      <w:pPr>
        <w:spacing w:line="560" w:lineRule="exact"/>
        <w:ind w:firstLine="2833" w:firstLineChars="1176"/>
        <w:rPr>
          <w:rFonts w:ascii="宋体" w:cs="Times New Roman"/>
          <w:b/>
          <w:bCs/>
          <w:kern w:val="0"/>
          <w:sz w:val="24"/>
          <w:szCs w:val="24"/>
        </w:rPr>
      </w:pPr>
      <w:r>
        <w:rPr>
          <w:rFonts w:hint="eastAsia" w:ascii="宋体" w:hAnsi="宋体" w:cs="宋体"/>
          <w:b/>
          <w:bCs/>
          <w:kern w:val="0"/>
          <w:sz w:val="24"/>
          <w:szCs w:val="24"/>
        </w:rPr>
        <w:t>部门整体支出绩效评价指标表</w:t>
      </w:r>
    </w:p>
    <w:p>
      <w:pPr>
        <w:spacing w:line="560" w:lineRule="exact"/>
        <w:jc w:val="center"/>
        <w:rPr>
          <w:rFonts w:ascii="宋体" w:cs="Times New Roman"/>
          <w:kern w:val="0"/>
          <w:sz w:val="24"/>
          <w:szCs w:val="24"/>
        </w:rPr>
      </w:pPr>
    </w:p>
    <w:tbl>
      <w:tblPr>
        <w:tblStyle w:val="5"/>
        <w:tblW w:w="10770" w:type="dxa"/>
        <w:jc w:val="center"/>
        <w:tblLayout w:type="fixed"/>
        <w:tblCellMar>
          <w:top w:w="0" w:type="dxa"/>
          <w:left w:w="108" w:type="dxa"/>
          <w:bottom w:w="0" w:type="dxa"/>
          <w:right w:w="108" w:type="dxa"/>
        </w:tblCellMar>
      </w:tblPr>
      <w:tblGrid>
        <w:gridCol w:w="677"/>
        <w:gridCol w:w="516"/>
        <w:gridCol w:w="659"/>
        <w:gridCol w:w="516"/>
        <w:gridCol w:w="1074"/>
        <w:gridCol w:w="516"/>
        <w:gridCol w:w="2878"/>
        <w:gridCol w:w="3239"/>
        <w:gridCol w:w="695"/>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三级</w:t>
            </w:r>
          </w:p>
          <w:p>
            <w:pPr>
              <w:widowControl/>
              <w:spacing w:line="300" w:lineRule="exact"/>
              <w:jc w:val="center"/>
              <w:rPr>
                <w:rFonts w:ascii="宋体" w:cs="Times New Roman"/>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评价标准</w:t>
            </w:r>
          </w:p>
        </w:tc>
        <w:tc>
          <w:tcPr>
            <w:tcW w:w="32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指标说明</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以100%为标准。在职人员控制率≦100%，计5分；每超过一个百分点扣0.5分，扣完为止。</w:t>
            </w:r>
          </w:p>
        </w:tc>
        <w:tc>
          <w:tcPr>
            <w:tcW w:w="3239"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在职人员控制率=（在职人员数/编制数）×100%，在职人员数：部门（单位）实际在职人数，以财政局确定的部门决算编制口径为准。</w:t>
            </w:r>
            <w:r>
              <w:rPr>
                <w:rFonts w:hint="eastAsia" w:ascii="宋体" w:cs="Times New Roman"/>
                <w:kern w:val="0"/>
                <w:sz w:val="24"/>
                <w:szCs w:val="24"/>
              </w:rPr>
              <w:br w:type="textWrapping"/>
            </w:r>
            <w:r>
              <w:rPr>
                <w:rFonts w:hint="eastAsia" w:ascii="宋体" w:hAnsi="宋体" w:cs="宋体"/>
                <w:kern w:val="0"/>
                <w:sz w:val="24"/>
                <w:szCs w:val="24"/>
              </w:rPr>
              <w:t>编制数：机构编制部门核定批复的部门（单位）的人员编制数。</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hint="eastAsia" w:ascii="宋体" w:cs="宋体"/>
                <w:kern w:val="0"/>
                <w:sz w:val="24"/>
                <w:szCs w:val="24"/>
              </w:rPr>
              <w:t>0,</w:t>
            </w:r>
            <w:r>
              <w:rPr>
                <w:rFonts w:hint="eastAsia" w:ascii="宋体" w:hAnsi="宋体" w:cs="宋体"/>
                <w:kern w:val="0"/>
                <w:sz w:val="24"/>
                <w:szCs w:val="24"/>
              </w:rPr>
              <w:t>计8分；“三公经费”＞</w:t>
            </w:r>
            <w:r>
              <w:rPr>
                <w:rFonts w:hint="eastAsia" w:ascii="宋体" w:cs="宋体"/>
                <w:kern w:val="0"/>
                <w:sz w:val="24"/>
                <w:szCs w:val="24"/>
              </w:rPr>
              <w:t>0</w:t>
            </w:r>
            <w:r>
              <w:rPr>
                <w:rFonts w:hint="eastAsia" w:ascii="宋体" w:hAnsi="宋体" w:cs="宋体"/>
                <w:kern w:val="0"/>
                <w:sz w:val="24"/>
                <w:szCs w:val="24"/>
              </w:rPr>
              <w:t>，每超过一个百分点扣0.8分，扣完为止。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“三公经费”变动率=[（本年度“三公经费”预算数</w:t>
            </w:r>
            <w:r>
              <w:rPr>
                <w:rFonts w:hint="eastAsia" w:ascii="宋体" w:cs="宋体"/>
                <w:kern w:val="0"/>
                <w:sz w:val="24"/>
                <w:szCs w:val="24"/>
              </w:rPr>
              <w:t>-</w:t>
            </w:r>
            <w:r>
              <w:rPr>
                <w:rFonts w:hint="eastAsia" w:ascii="宋体" w:hAnsi="宋体" w:cs="宋体"/>
                <w:kern w:val="0"/>
                <w:sz w:val="24"/>
                <w:szCs w:val="24"/>
              </w:rPr>
              <w:t>上年度“三公经费”预算数）/上年度“三公经费”预算数]×100%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100%计满分，每低于5%扣2分，扣完为止。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预算完成率=（上年结转+年初预算+本年追加预算</w:t>
            </w:r>
            <w:r>
              <w:rPr>
                <w:rFonts w:hint="eastAsia" w:ascii="宋体" w:cs="宋体"/>
                <w:kern w:val="0"/>
                <w:sz w:val="24"/>
                <w:szCs w:val="24"/>
              </w:rPr>
              <w:t>-</w:t>
            </w:r>
            <w:r>
              <w:rPr>
                <w:rFonts w:hint="eastAsia" w:ascii="宋体" w:hAnsi="宋体" w:cs="宋体"/>
                <w:kern w:val="0"/>
                <w:sz w:val="24"/>
                <w:szCs w:val="24"/>
              </w:rPr>
              <w:t>年末结余）/（上年结转+年初预算+本年追加预算）×100%。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预算控制率=0，计5分；0-10%（含），计4分；10-20%（含），计3分；20-30%（含），计2分；大于30%不得分。</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预算控制率=（本年追加预算/年初预算）×100%。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100%以下（含）计满分，每超出5%扣2分，扣完为止。没有楼堂馆所项目的部门按满分计算。</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楼堂馆所面积控制率=实际建设面积/批准建设面积×100% 。</w:t>
            </w:r>
            <w:r>
              <w:rPr>
                <w:rFonts w:hint="eastAsia" w:ascii="宋体" w:cs="Times New Roman"/>
                <w:kern w:val="0"/>
                <w:sz w:val="24"/>
                <w:szCs w:val="24"/>
              </w:rPr>
              <w:br w:type="textWrapping"/>
            </w:r>
            <w:r>
              <w:rPr>
                <w:rFonts w:hint="eastAsia" w:ascii="宋体" w:hAnsi="宋体" w:cs="宋体"/>
                <w:kern w:val="0"/>
                <w:sz w:val="24"/>
                <w:szCs w:val="24"/>
              </w:rPr>
              <w:t>该指标以2015年完工的新建楼堂馆所为评价内容。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楼堂馆所投资预算控制率=实际投资金额/批准投资金额×100% 。</w:t>
            </w:r>
            <w:r>
              <w:rPr>
                <w:rFonts w:hint="eastAsia" w:ascii="宋体" w:cs="Times New Roman"/>
                <w:kern w:val="0"/>
                <w:sz w:val="24"/>
                <w:szCs w:val="24"/>
              </w:rPr>
              <w:br w:type="textWrapping"/>
            </w:r>
            <w:r>
              <w:rPr>
                <w:rFonts w:hint="eastAsia" w:ascii="宋体" w:hAnsi="宋体" w:cs="宋体"/>
                <w:kern w:val="0"/>
                <w:sz w:val="24"/>
                <w:szCs w:val="24"/>
              </w:rPr>
              <w:t>该指标以2015年完工的新建楼堂馆所为评价内容。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100%以下（含）计满分，每超出1%扣1分，扣完为止。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公用经费控制率=（实际支出公用经费总额/预算安排公用经费总额）×100%。</w:t>
            </w:r>
            <w:r>
              <w:rPr>
                <w:rFonts w:hint="eastAsia" w:ascii="宋体" w:cs="Times New Roman"/>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100%以下（含）计满分，每超出1%扣1分，扣完为止。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r>
              <w:rPr>
                <w:rFonts w:hint="eastAsia" w:ascii="宋体" w:cs="宋体"/>
                <w:kern w:val="0"/>
                <w:sz w:val="24"/>
                <w:szCs w:val="24"/>
              </w:rPr>
              <w:t>-</w:t>
            </w:r>
            <w:r>
              <w:rPr>
                <w:rFonts w:hint="eastAsia" w:ascii="宋体" w:hAnsi="宋体" w:cs="宋体"/>
                <w:kern w:val="0"/>
                <w:sz w:val="24"/>
                <w:szCs w:val="24"/>
              </w:rPr>
              <w:t>（“三公经费”实际支出数/“三公经费”预算安排数）×100%。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100%计满分，每超过（降低）5%扣2分。扣完为止。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政府采购执行率=（实际政府采购金额/政府采购预算数）×100%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①有内部财务管理制度、会计核算制度等管理制度，2分；</w:t>
            </w:r>
            <w:r>
              <w:rPr>
                <w:rFonts w:hint="eastAsia" w:ascii="宋体" w:cs="Times New Roman"/>
                <w:kern w:val="0"/>
                <w:sz w:val="24"/>
                <w:szCs w:val="24"/>
              </w:rPr>
              <w:br w:type="textWrapping"/>
            </w:r>
            <w:r>
              <w:rPr>
                <w:rFonts w:hint="eastAsia" w:ascii="宋体" w:hAnsi="宋体" w:cs="宋体"/>
                <w:kern w:val="0"/>
                <w:sz w:val="24"/>
                <w:szCs w:val="24"/>
              </w:rPr>
              <w:t>②有本部门厉行节约制度,2分；</w:t>
            </w:r>
            <w:r>
              <w:rPr>
                <w:rFonts w:hint="eastAsia" w:ascii="宋体" w:cs="Times New Roman"/>
                <w:kern w:val="0"/>
                <w:sz w:val="24"/>
                <w:szCs w:val="24"/>
              </w:rPr>
              <w:br w:type="textWrapping"/>
            </w:r>
            <w:r>
              <w:rPr>
                <w:rFonts w:hint="eastAsia" w:ascii="宋体" w:hAnsi="宋体" w:cs="宋体"/>
                <w:kern w:val="0"/>
                <w:sz w:val="24"/>
                <w:szCs w:val="24"/>
              </w:rPr>
              <w:t>③相关管理制度合法、合规、完整，2分；④相关管理制度得到有效执行，2分。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8　</w:t>
            </w:r>
          </w:p>
        </w:tc>
      </w:tr>
      <w:tr>
        <w:tblPrEx>
          <w:tblCellMar>
            <w:top w:w="0" w:type="dxa"/>
            <w:left w:w="108" w:type="dxa"/>
            <w:bottom w:w="0" w:type="dxa"/>
            <w:right w:w="108" w:type="dxa"/>
          </w:tblCellMar>
        </w:tblPrEx>
        <w:trPr>
          <w:jc w:val="center"/>
        </w:trPr>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宋体" w:cs="Times New Roman"/>
                <w:kern w:val="0"/>
                <w:sz w:val="24"/>
                <w:szCs w:val="24"/>
              </w:rPr>
              <w:br w:type="textWrapping"/>
            </w:r>
            <w:r>
              <w:rPr>
                <w:rFonts w:hint="eastAsia" w:ascii="宋体" w:hAnsi="宋体" w:cs="宋体"/>
                <w:kern w:val="0"/>
                <w:sz w:val="24"/>
                <w:szCs w:val="24"/>
              </w:rPr>
              <w:t>以上情况每出现一例不符合要求的扣1分，扣完为止。</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预决算信息是指与部门预算、执行、决算、监督、绩效等管理相关的信息。</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根据绩效办2015年对各部门为民办实事和部门重点工程与重点工作考核</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6117"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jc w:val="left"/>
              <w:rPr>
                <w:rFonts w:ascii="宋体" w:cs="Times New Roman"/>
                <w:kern w:val="0"/>
                <w:sz w:val="24"/>
                <w:szCs w:val="24"/>
              </w:rPr>
            </w:pPr>
          </w:p>
        </w:tc>
        <w:tc>
          <w:tcPr>
            <w:tcW w:w="9356"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cs="Times New Roman"/>
                <w:kern w:val="0"/>
                <w:sz w:val="24"/>
                <w:szCs w:val="24"/>
              </w:rPr>
            </w:pP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促进部门改进文风会风，加强经费及资产管理，推动网上办事，提高行政效率，降低行政成本效果较好的计6分；一般3分；无效果或者效果不明显</w:t>
            </w:r>
            <w:r>
              <w:rPr>
                <w:rFonts w:hint="eastAsia" w:ascii="宋体" w:cs="宋体"/>
                <w:kern w:val="0"/>
                <w:sz w:val="24"/>
                <w:szCs w:val="24"/>
              </w:rPr>
              <w:t>0</w:t>
            </w:r>
            <w:r>
              <w:rPr>
                <w:rFonts w:hint="eastAsia" w:ascii="宋体" w:hAnsi="宋体" w:cs="宋体"/>
                <w:kern w:val="0"/>
                <w:sz w:val="24"/>
                <w:szCs w:val="24"/>
              </w:rPr>
              <w:t>分。</w:t>
            </w: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根据部门自评材料评定。</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90%（含）以上计6分；</w:t>
            </w:r>
            <w:r>
              <w:rPr>
                <w:rFonts w:hint="eastAsia" w:ascii="宋体" w:cs="Times New Roman"/>
                <w:kern w:val="0"/>
                <w:sz w:val="24"/>
                <w:szCs w:val="24"/>
              </w:rPr>
              <w:br w:type="textWrapping"/>
            </w:r>
            <w:r>
              <w:rPr>
                <w:rFonts w:hint="eastAsia" w:ascii="宋体" w:hAnsi="宋体" w:cs="宋体"/>
                <w:kern w:val="0"/>
                <w:sz w:val="24"/>
                <w:szCs w:val="24"/>
              </w:rPr>
              <w:t>80%（含）-90%，计4分；</w:t>
            </w:r>
            <w:r>
              <w:rPr>
                <w:rFonts w:hint="eastAsia" w:ascii="宋体" w:cs="Times New Roman"/>
                <w:kern w:val="0"/>
                <w:sz w:val="24"/>
                <w:szCs w:val="24"/>
              </w:rPr>
              <w:br w:type="textWrapping"/>
            </w:r>
            <w:r>
              <w:rPr>
                <w:rFonts w:hint="eastAsia" w:ascii="宋体" w:hAnsi="宋体" w:cs="宋体"/>
                <w:kern w:val="0"/>
                <w:sz w:val="24"/>
                <w:szCs w:val="24"/>
              </w:rPr>
              <w:t>70%（含）-80%，计2分；</w:t>
            </w:r>
            <w:r>
              <w:rPr>
                <w:rFonts w:hint="eastAsia" w:ascii="宋体" w:cs="Times New Roman"/>
                <w:kern w:val="0"/>
                <w:sz w:val="24"/>
                <w:szCs w:val="24"/>
              </w:rPr>
              <w:br w:type="textWrapping"/>
            </w:r>
            <w:r>
              <w:rPr>
                <w:rFonts w:hint="eastAsia" w:ascii="宋体" w:hAnsi="宋体" w:cs="宋体"/>
                <w:kern w:val="0"/>
                <w:sz w:val="24"/>
                <w:szCs w:val="24"/>
              </w:rPr>
              <w:t>低于70%计</w:t>
            </w:r>
            <w:r>
              <w:rPr>
                <w:rFonts w:hint="eastAsia" w:ascii="宋体" w:cs="宋体"/>
                <w:kern w:val="0"/>
                <w:sz w:val="24"/>
                <w:szCs w:val="24"/>
              </w:rPr>
              <w:t>0</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hint="eastAsia"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hint="eastAsia"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18"/>
                <w:szCs w:val="18"/>
              </w:rPr>
            </w:pPr>
            <w:r>
              <w:rPr>
                <w:rFonts w:hint="eastAsia"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rPr>
            </w:pPr>
            <w:r>
              <w:rPr>
                <w:rFonts w:hint="eastAsia" w:ascii="宋体" w:hAnsi="宋体" w:cs="宋体"/>
                <w:kern w:val="0"/>
              </w:rPr>
              <w:t>95</w:t>
            </w:r>
          </w:p>
        </w:tc>
      </w:tr>
    </w:tbl>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k2YTE0MzIwNmQ1Yzg1ZGY1YWM4ODc4NDU1ZDRiNWQifQ=="/>
  </w:docVars>
  <w:rsids>
    <w:rsidRoot w:val="007D68B6"/>
    <w:rsid w:val="000E7FD6"/>
    <w:rsid w:val="00146886"/>
    <w:rsid w:val="00253000"/>
    <w:rsid w:val="00313D96"/>
    <w:rsid w:val="00380965"/>
    <w:rsid w:val="0047392D"/>
    <w:rsid w:val="00484B80"/>
    <w:rsid w:val="004F1482"/>
    <w:rsid w:val="005F6486"/>
    <w:rsid w:val="006B3AE5"/>
    <w:rsid w:val="00726903"/>
    <w:rsid w:val="00744086"/>
    <w:rsid w:val="0074706C"/>
    <w:rsid w:val="007D68B6"/>
    <w:rsid w:val="008433FB"/>
    <w:rsid w:val="008711FE"/>
    <w:rsid w:val="00906417"/>
    <w:rsid w:val="00935F55"/>
    <w:rsid w:val="00AE7980"/>
    <w:rsid w:val="00AF3340"/>
    <w:rsid w:val="00B32209"/>
    <w:rsid w:val="00BF0E9E"/>
    <w:rsid w:val="00C1283E"/>
    <w:rsid w:val="00C57839"/>
    <w:rsid w:val="00D4419F"/>
    <w:rsid w:val="00D51BFF"/>
    <w:rsid w:val="00D67D6C"/>
    <w:rsid w:val="00DB6117"/>
    <w:rsid w:val="00E73953"/>
    <w:rsid w:val="00EB6B16"/>
    <w:rsid w:val="00FE68EE"/>
    <w:rsid w:val="2D214C54"/>
    <w:rsid w:val="4AAE0AF8"/>
    <w:rsid w:val="4BED22AB"/>
    <w:rsid w:val="52346251"/>
    <w:rsid w:val="6B92085F"/>
    <w:rsid w:val="7D46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ascii="Calibri" w:hAnsi="Calibri" w:eastAsia="宋体" w:cs="Calibri"/>
      <w:sz w:val="18"/>
      <w:szCs w:val="18"/>
    </w:rPr>
  </w:style>
  <w:style w:type="character" w:customStyle="1" w:styleId="8">
    <w:name w:val="页脚 Char"/>
    <w:basedOn w:val="6"/>
    <w:link w:val="2"/>
    <w:semiHidden/>
    <w:qFormat/>
    <w:uiPriority w:val="99"/>
    <w:rPr>
      <w:rFonts w:ascii="Calibri" w:hAnsi="Calibri" w:eastAsia="宋体" w:cs="Calibri"/>
      <w:sz w:val="18"/>
      <w:szCs w:val="18"/>
    </w:rPr>
  </w:style>
  <w:style w:type="paragraph" w:customStyle="1" w:styleId="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0">
    <w:name w:val="No Spacing"/>
    <w:qFormat/>
    <w:uiPriority w:val="1"/>
    <w:pPr>
      <w:widowControl w:val="0"/>
      <w:jc w:val="both"/>
    </w:pPr>
    <w:rPr>
      <w:rFonts w:ascii="Calibri" w:hAnsi="Calibri" w:eastAsia="宋体" w:cs="Calibri"/>
      <w:kern w:val="2"/>
      <w:sz w:val="21"/>
      <w:szCs w:val="21"/>
      <w:lang w:val="en-US" w:eastAsia="zh-CN" w:bidi="ar-SA"/>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3222</Words>
  <Characters>3471</Characters>
  <Lines>52</Lines>
  <Paragraphs>14</Paragraphs>
  <TotalTime>40</TotalTime>
  <ScaleCrop>false</ScaleCrop>
  <LinksUpToDate>false</LinksUpToDate>
  <CharactersWithSpaces>3493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2021-08-12T14:09:00Z</dcterms:created>
  <dc:creator>LXLJ169</dc:creator>
  <cp:lastModifiedBy>Administrator</cp:lastModifiedBy>
  <dcterms:modified xsi:type="dcterms:W3CDTF">2024-05-16T02:40:12Z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58E1B5AFFAD94D878F9822F4DF9FD5B7</vt:lpwstr>
  </property>
</Properties>
</file>