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ind w:leftChars="-202" w:right="-487" w:rightChars="-232" w:hanging="424" w:hangingChars="88"/>
        <w:jc w:val="center"/>
        <w:rPr>
          <w:rFonts w:hint="eastAsia"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澧县第五完全小学单位</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2021年度</w:t>
      </w:r>
      <w:r>
        <w:rPr>
          <w:rFonts w:hint="eastAsia" w:ascii="黑体" w:hAnsi="黑体" w:eastAsia="黑体" w:cs="Times New Roman"/>
          <w:b/>
          <w:sz w:val="44"/>
          <w:szCs w:val="32"/>
        </w:rPr>
        <w:t>澧县第五完全小学</w:t>
      </w:r>
      <w:r>
        <w:rPr>
          <w:rFonts w:ascii="黑体" w:hAnsi="黑体" w:eastAsia="黑体" w:cs="Times New Roman"/>
          <w:b/>
          <w:sz w:val="44"/>
          <w:szCs w:val="32"/>
        </w:rPr>
        <w:t>单位整体支出</w:t>
      </w: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绩效自评报告</w:t>
      </w:r>
    </w:p>
    <w:p>
      <w:pPr>
        <w:spacing w:line="600" w:lineRule="exact"/>
        <w:rPr>
          <w:rFonts w:ascii="仿宋" w:hAnsi="仿宋" w:eastAsia="仿宋" w:cs="Times New Roman"/>
          <w:sz w:val="32"/>
          <w:szCs w:val="32"/>
        </w:rPr>
      </w:pPr>
    </w:p>
    <w:p>
      <w:pPr>
        <w:pStyle w:val="11"/>
        <w:widowControl/>
        <w:numPr>
          <w:ilvl w:val="0"/>
          <w:numId w:val="1"/>
        </w:numPr>
        <w:spacing w:line="600" w:lineRule="exact"/>
        <w:ind w:firstLineChars="0"/>
        <w:jc w:val="left"/>
        <w:rPr>
          <w:rFonts w:ascii="黑体" w:hAnsi="黑体" w:eastAsia="黑体" w:cs="Helvetica"/>
          <w:b/>
          <w:bCs/>
          <w:sz w:val="32"/>
          <w:szCs w:val="32"/>
        </w:rPr>
      </w:pPr>
      <w:r>
        <w:rPr>
          <w:rFonts w:hint="eastAsia" w:ascii="黑体" w:hAnsi="黑体" w:eastAsia="黑体" w:cs="Helvetica"/>
          <w:b/>
          <w:bCs/>
          <w:sz w:val="32"/>
          <w:szCs w:val="32"/>
        </w:rPr>
        <w:t>部门职责</w:t>
      </w:r>
    </w:p>
    <w:p>
      <w:pPr>
        <w:pStyle w:val="11"/>
        <w:widowControl/>
        <w:spacing w:line="600" w:lineRule="exact"/>
        <w:ind w:left="1361" w:firstLine="0" w:firstLineChars="0"/>
        <w:jc w:val="left"/>
        <w:rPr>
          <w:rFonts w:ascii="仿宋" w:hAnsi="仿宋" w:eastAsia="仿宋" w:cs="Helvetica"/>
          <w:sz w:val="32"/>
          <w:szCs w:val="32"/>
        </w:rPr>
      </w:pPr>
      <w:r>
        <w:rPr>
          <w:rFonts w:hint="eastAsia" w:ascii="仿宋" w:hAnsi="仿宋" w:eastAsia="仿宋" w:cs="Helvetica"/>
          <w:sz w:val="32"/>
          <w:szCs w:val="32"/>
        </w:rPr>
        <w:t>实施教育教学管理，促进基础教育发展，小学学历教育。中小学教育教学管理。</w:t>
      </w:r>
    </w:p>
    <w:p>
      <w:pPr>
        <w:widowControl/>
        <w:spacing w:line="600" w:lineRule="exact"/>
        <w:ind w:firstLine="641"/>
        <w:jc w:val="left"/>
        <w:rPr>
          <w:rFonts w:ascii="黑体" w:hAnsi="黑体" w:eastAsia="黑体" w:cs="Helvetica"/>
          <w:b/>
          <w:sz w:val="32"/>
          <w:szCs w:val="32"/>
        </w:rPr>
      </w:pPr>
      <w:r>
        <w:rPr>
          <w:rFonts w:hint="eastAsia" w:ascii="黑体" w:hAnsi="黑体" w:eastAsia="黑体" w:cs="Helvetica"/>
          <w:b/>
          <w:bCs/>
          <w:sz w:val="32"/>
          <w:szCs w:val="32"/>
        </w:rPr>
        <w:t>二、机构设置与决算单位构成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（一）内设机构设置</w:t>
      </w:r>
    </w:p>
    <w:p>
      <w:pPr>
        <w:widowControl/>
        <w:spacing w:line="600" w:lineRule="exact"/>
        <w:ind w:firstLine="641"/>
        <w:jc w:val="left"/>
        <w:rPr>
          <w:rFonts w:hint="eastAsia" w:ascii="仿宋" w:hAnsi="仿宋" w:eastAsia="仿宋" w:cs="Helvetica"/>
          <w:sz w:val="32"/>
          <w:szCs w:val="32"/>
        </w:rPr>
      </w:pPr>
      <w:r>
        <w:rPr>
          <w:rFonts w:hint="eastAsia" w:ascii="仿宋" w:hAnsi="仿宋" w:eastAsia="仿宋" w:cs="Helvetica"/>
          <w:sz w:val="32"/>
          <w:szCs w:val="32"/>
        </w:rPr>
        <w:t>澧县第五完全小学内设科室5个，分别为：校长室、办公室、教导处、政教处、总务处。2021年我单位共有编制人数62人，年末实有在职人数57人，退休人员48人。</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（二）决算单位构成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澧县第五完全小学2021年部门决算公开单位构成包括:澧县第五完全小学本级。</w:t>
      </w:r>
    </w:p>
    <w:p>
      <w:pPr>
        <w:widowControl/>
        <w:spacing w:line="600" w:lineRule="exact"/>
        <w:ind w:firstLine="640"/>
        <w:jc w:val="left"/>
        <w:rPr>
          <w:rFonts w:hint="eastAsia" w:ascii="黑体" w:hAnsi="黑体" w:eastAsia="黑体" w:cs="Times New Roman"/>
          <w:b/>
          <w:sz w:val="32"/>
          <w:szCs w:val="32"/>
        </w:rPr>
      </w:pPr>
      <w:r>
        <w:rPr>
          <w:rFonts w:hint="eastAsia" w:ascii="黑体" w:hAnsi="黑体" w:eastAsia="黑体" w:cs="Times New Roman"/>
          <w:b/>
          <w:sz w:val="32"/>
          <w:szCs w:val="32"/>
        </w:rPr>
        <w:t xml:space="preserve">三、部门收支总体情况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 2021年部门预算即我单位本级预算。我单位2021年没有政府性基金预算拨款、国有资本经营预算收入和纳入专户管理的非税收入拨款收入，也没有使用政府性基金预算拨款、国有资本经营预算收入和纳入专户管理的非税收入拨款安排的支出，所以公开的附件21、22、23、24表均为空。支出包括实名制信息化管理经费、机构编制管理专项经费、机关事业单位年检、中文域名管理费等项目经费。</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1、收入预算：2021年年初预算数870.91万元，其中：一般公共预算拨款607.79万元（经费拨款603.49万元，纳入一般公共预算管理的非税收入拨款4.3万元），纳入专户管理的非税收入拨款111.8万元，上级补助收入151.32万元。2020年新成立的学校。</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2、支出预算：2021年年初预算数870.91万元，其中：教育715.02万元，社会保障和就业70.26万元，卫生健康支出32.93万元，住房保障52.7万元。2020年新成立的学校。</w:t>
      </w:r>
    </w:p>
    <w:p>
      <w:pPr>
        <w:widowControl/>
        <w:spacing w:line="600" w:lineRule="exact"/>
        <w:ind w:firstLine="640"/>
        <w:jc w:val="left"/>
        <w:rPr>
          <w:rFonts w:hint="eastAsia" w:ascii="黑体" w:hAnsi="黑体" w:eastAsia="黑体" w:cs="Times New Roman"/>
          <w:b/>
          <w:sz w:val="32"/>
          <w:szCs w:val="32"/>
        </w:rPr>
      </w:pPr>
      <w:r>
        <w:rPr>
          <w:rFonts w:hint="eastAsia" w:ascii="黑体" w:hAnsi="黑体" w:eastAsia="黑体" w:cs="Times New Roman"/>
          <w:b/>
          <w:sz w:val="32"/>
          <w:szCs w:val="32"/>
        </w:rPr>
        <w:t xml:space="preserve">四、一般公共预算拨款支出预算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2021年一般公共预算拨款收入607.79万元，具体安排情况如下：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1、基本支出：2021年基本支出年初预算数为607.79万元，是指为保障单位机构正常运转、完成日常工作任务而发生的各项支出，包括用于基本工资、津贴补贴等人员经费以及办公费、印刷费、水电费、办公设备购置等日常公用经费。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2、项目支出：2021年项目支出年初预算数为0万元。</w:t>
      </w:r>
    </w:p>
    <w:p>
      <w:pPr>
        <w:widowControl/>
        <w:spacing w:line="600" w:lineRule="exact"/>
        <w:ind w:firstLine="640"/>
        <w:jc w:val="left"/>
        <w:rPr>
          <w:rFonts w:hint="eastAsia" w:ascii="黑体" w:hAnsi="黑体" w:eastAsia="黑体" w:cs="Times New Roman"/>
          <w:b/>
          <w:sz w:val="32"/>
          <w:szCs w:val="32"/>
        </w:rPr>
      </w:pPr>
      <w:r>
        <w:rPr>
          <w:rFonts w:hint="eastAsia" w:ascii="黑体" w:hAnsi="黑体" w:eastAsia="黑体" w:cs="Times New Roman"/>
          <w:b/>
          <w:sz w:val="32"/>
          <w:szCs w:val="32"/>
        </w:rPr>
        <w:t xml:space="preserve">五、其他重要事项的情况说明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1、机关运行经费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2021年机关运行经费当年一般公共预算拨款4.3万元，2020年新成立的学校。</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2、“三公”经费预算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2021年“三公”经费预算数为0万元，其中，公务接待费0万元，公务用车购置及运行费0万元（其中，公务用车购置费0万元，公务用车运行费0万元），因公出国（境）费0万元。</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3、一般性支出情况</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2021年一般公共预算拨款一般性支出4.3万元，其中：办公费4.3万元。未计划举办节庆、晚会、论坛、赛事等活动。</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4、政府采购情况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2021年本部门政府采购预算总额0万元，其中：政府采购货物类预算0万元；工程类采购预算0万元；政府采购服务类预算0万元。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5、国有资产占用使用情况说明</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 xml:space="preserve">截至2020年12月底，本单位共有车辆0辆，其中：主要领导干部用车0辆，机要通信用车0辆，应急保障用车0辆，离退休干部用车0辆，执法执勤用车0辆，特种专业技术用车0辆，其他用车0辆。单位价值50万元以上通用设备0台（套），价值100万元以上专用设备0台（套）。 </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6、预算绩效目标说明</w:t>
      </w:r>
    </w:p>
    <w:p>
      <w:pPr>
        <w:widowControl/>
        <w:spacing w:line="60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本部门整体支出和项目支出实行绩效目标管理，纳入2021年部门整体支出绩效目标的金额为870.91万元，其中，基本支出870.91万元，项目支出0万元。</w:t>
      </w:r>
    </w:p>
    <w:p>
      <w:pPr>
        <w:widowControl/>
        <w:spacing w:line="600" w:lineRule="exact"/>
        <w:ind w:firstLine="640"/>
        <w:jc w:val="left"/>
        <w:rPr>
          <w:rFonts w:ascii="黑体" w:hAnsi="黑体" w:eastAsia="黑体" w:cs="Tahoma"/>
          <w:b/>
          <w:color w:val="000000"/>
          <w:sz w:val="32"/>
          <w:szCs w:val="32"/>
        </w:rPr>
      </w:pPr>
      <w:r>
        <w:rPr>
          <w:rFonts w:hint="eastAsia" w:ascii="黑体" w:hAnsi="黑体" w:eastAsia="黑体" w:cs="Tahoma"/>
          <w:b/>
          <w:bCs/>
          <w:color w:val="000000"/>
          <w:sz w:val="32"/>
          <w:szCs w:val="32"/>
        </w:rPr>
        <w:t>六、关于2021年度预算绩效情况说明</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（一）预算绩效管理开展情况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1、严格落实《预算法》及绩效管理的相关制度和规定，进一</w:t>
      </w:r>
      <w:r>
        <w:rPr>
          <w:rFonts w:hint="eastAsia" w:ascii="仿宋" w:hAnsi="仿宋" w:eastAsia="仿宋" w:cs="Helvetica"/>
          <w:sz w:val="32"/>
          <w:szCs w:val="32"/>
        </w:rPr>
        <w:t>步规范和落实财政资</w:t>
      </w:r>
      <w:r>
        <w:rPr>
          <w:rFonts w:hint="eastAsia" w:ascii="仿宋" w:hAnsi="仿宋" w:eastAsia="仿宋" w:cs="Tahoma"/>
          <w:color w:val="000000"/>
          <w:sz w:val="32"/>
          <w:szCs w:val="32"/>
        </w:rPr>
        <w:t>金的专项管理，强化财政支出绩效理念，提高资金使用效益。</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根据绩效评价的要求，单位高度重视，成立了自评工作领导小组，由校长任组长，财务室人员为成员，积极开展绩效自评工作，按照绩效管理目标要求对照各实施项目的内容逐条逐项自评。在自评过程中，查找原因，及时纠正偏差，为下一步工作夯实基础。</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（二）绩效目标</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1、部门绩效总目标</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1）把教学放在首位，一切为教学服务，提高师生整体素质。</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(2)社会公众及服务对象满意度达到98%以上。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2、2021年度部门绩效目标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数量指标：</w:t>
      </w:r>
    </w:p>
    <w:p>
      <w:pPr>
        <w:pStyle w:val="11"/>
        <w:numPr>
          <w:ilvl w:val="0"/>
          <w:numId w:val="2"/>
        </w:numPr>
        <w:spacing w:line="600" w:lineRule="exact"/>
        <w:ind w:firstLineChars="0"/>
        <w:rPr>
          <w:rFonts w:ascii="仿宋" w:hAnsi="仿宋" w:eastAsia="仿宋" w:cs="Times New Roman"/>
          <w:sz w:val="32"/>
          <w:szCs w:val="32"/>
        </w:rPr>
      </w:pPr>
      <w:r>
        <w:rPr>
          <w:rFonts w:hint="eastAsia" w:ascii="仿宋" w:hAnsi="仿宋" w:eastAsia="仿宋" w:cs="Times New Roman"/>
          <w:sz w:val="32"/>
          <w:szCs w:val="32"/>
        </w:rPr>
        <w:t>新招学生150人、在校生达1104人。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②师资力量达57人。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质量指标：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①品德评价合格率为100%。</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②食品安全事故和治安事件均为零。</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时效指标：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分春、秋两学期完成教学任务，年内顺利完成各项指标。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社会效益指标：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学校安全、稳定、文明、和谐，教学效率高、质量好，社会公众满意率达到95%以上。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、单位整体支出绩效情况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w:t>
      </w:r>
      <w:bookmarkStart w:id="0" w:name="_GoBack"/>
      <w:bookmarkEnd w:id="0"/>
      <w:r>
        <w:rPr>
          <w:rFonts w:hint="eastAsia" w:ascii="仿宋" w:hAnsi="仿宋" w:eastAsia="仿宋"/>
          <w:sz w:val="32"/>
          <w:szCs w:val="32"/>
        </w:rPr>
        <w:t>县委</w:t>
      </w:r>
      <w:r>
        <w:rPr>
          <w:rFonts w:hint="eastAsia" w:ascii="仿宋" w:hAnsi="仿宋" w:eastAsia="仿宋"/>
          <w:sz w:val="32"/>
          <w:szCs w:val="32"/>
          <w:lang w:val="en-US" w:eastAsia="zh-CN"/>
        </w:rPr>
        <w:t>县</w:t>
      </w:r>
      <w:r>
        <w:rPr>
          <w:rFonts w:hint="eastAsia" w:ascii="仿宋" w:hAnsi="仿宋" w:eastAsia="仿宋"/>
          <w:sz w:val="32"/>
          <w:szCs w:val="32"/>
        </w:rPr>
        <w:t>政府及教育局的正确领导下，澧县第五完全小学全校教职员工高扬奉献精神，团结一心，奋力拼搏，在平凡的工作岗位上，创造了令老百姓满意的成绩。</w:t>
      </w:r>
    </w:p>
    <w:p>
      <w:pPr>
        <w:snapToGrid w:val="0"/>
        <w:spacing w:line="600" w:lineRule="exact"/>
        <w:ind w:firstLine="643" w:firstLineChars="200"/>
        <w:rPr>
          <w:rFonts w:ascii="仿宋" w:eastAsia="仿宋" w:cs="仿宋"/>
          <w:b/>
          <w:bCs/>
          <w:sz w:val="32"/>
          <w:szCs w:val="32"/>
        </w:rPr>
      </w:pPr>
      <w:r>
        <w:rPr>
          <w:rFonts w:hint="eastAsia" w:ascii="仿宋" w:eastAsia="仿宋" w:cs="仿宋"/>
          <w:b/>
          <w:bCs/>
          <w:sz w:val="32"/>
          <w:szCs w:val="32"/>
        </w:rPr>
        <w:t>从源头入手，不断增强学校的凝聚力、战斗力和创新力</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1、坚持不懈抓党建工作，永保四个意识、三个维护。</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在学校党支部的带领下，扎实开展一系列主题党日活动，并在全校师生中履行一个支部就是一个阵地，一名党员就是一面旗帜，时刻保持着四个意识与三个维护，2021年学校党建工作做为全县党建工作的范例在各个学校得到了推广。学校党支部于假期带领全体党员同志到十八洞村参观学习休会，将“实事求是、因地制宜、分类指导、精准扶贫”十六字方针落到实处，校门口的早晚值班王校长始终是到得最早，站得最前，履行着为为学生服务、为家长服务的宗旨，一年来，校门口的治安平稳，秩序井然，家长、社会反响好。</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2、持之以恒抓清廉学校建设，永保校园静土。</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学校投资4万余元更新学校宣传栏，将清廉宣传深入到每一个办公室，每一栋楼，从学生到家长，从行政人员到校长，全面学习清廉建设的内容及意义。学校在开学初都与每名老师签订了《澧县第五完全小学严禁教师违规补课责任状》《澧县第五完全小学严禁教师违规征订教辅资料责任状》《澧县第五完全小学严禁教师收授红包礼金责任状》《澧县第五完全小学严禁教师违规赈酒责任状》，学校校风正，学风浓，教风清，全体教职员工把清正廉洁放心中，把金钱利益摒弃在外。</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3、精打细算抓后勤管理，将开餐质量作为学校的窗口，为学校的发展保驾护航。</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学校严格执行中小学收费各项管理规定，严格控制执行收费审批制度和公示制度，比价如标，每个学期都会举行大宗物品采购招标会，比质量比价格比服务，提高学校经费的使用率，做到开支精打细算，做到花小钱办大事。管理工作人员深入一线、亲自上操作台，亲口试尝第一口饭菜，不断加强伙食质量，严防事故的发生。让学生安心、家长放心，全年没有一起安全事故的发生。</w:t>
      </w:r>
    </w:p>
    <w:p>
      <w:pPr>
        <w:snapToGrid w:val="0"/>
        <w:spacing w:line="600" w:lineRule="exact"/>
        <w:ind w:firstLine="643" w:firstLineChars="200"/>
        <w:rPr>
          <w:rFonts w:ascii="仿宋" w:eastAsia="仿宋" w:cs="仿宋"/>
          <w:sz w:val="32"/>
          <w:szCs w:val="32"/>
        </w:rPr>
      </w:pPr>
      <w:r>
        <w:rPr>
          <w:rFonts w:hint="eastAsia" w:ascii="仿宋" w:eastAsia="仿宋" w:cs="仿宋"/>
          <w:b/>
          <w:bCs/>
          <w:sz w:val="32"/>
          <w:szCs w:val="32"/>
        </w:rPr>
        <w:t>高举质量的生命线，狠抓课堂教学，推动课改，科学落实双减政策，保证教学质量得到提高。</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在现阶段“双减”政策下，教育的形势是复杂的，教育的竞争也是残酷的，一所学校没有质量，就等于没有生命。王业校长旗帜宣明的提出了“科研兴校、质量强校”的口号。</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1.建立正确的质量观。翊武学校响应县教育局提出的质量观标准，将学生的评价从单一的文化成绩丰富到意志品质、心理健康、文化成绩、身体素质、生活习惯等五方面。</w:t>
      </w:r>
    </w:p>
    <w:p>
      <w:pPr>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rPr>
        <w:t>2.落实质量的提升，向课堂40分钟要质量。校长为教育质量第一责任人，几个分管年级的副校长为直接责任人，班主任为班级落实质量责任人。为此：1、学校开齐开足课程，并做到保质保量执行。2、抓课前的备课，不仅要备教材，还要求备学生。3、抓教学常规检查，检查一是细，二是实，三是通报表扬与问题的指出。4、抓质量分析，不管是大考学是小测试，年级组和学校都会认真分析，且召开学生会、教师会，分析得失，调整学法及教法。</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3、科研兴校，强化质量生命线</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为提高学生的文化成绩，学校从“科研兴校”的角度采取了一些列措施：</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首先打造名师工程。学校通过“走出去，请进来”，让一大批中青年教师出到省、市级名校观摩学习，请县教研室领导和各科教研员亲自到学校指导教师开展教学研讨和磨课。还通过澧县第三教育联组教学比武、开放周等系列活动脚踏实地的开展青年教师说授评教研活动，提高教师业务能力。</w:t>
      </w:r>
    </w:p>
    <w:p>
      <w:pPr>
        <w:snapToGrid w:val="0"/>
        <w:spacing w:line="600" w:lineRule="exact"/>
        <w:ind w:firstLine="643" w:firstLineChars="200"/>
        <w:rPr>
          <w:rFonts w:ascii="仿宋" w:eastAsia="仿宋" w:cs="仿宋"/>
          <w:b/>
          <w:bCs/>
          <w:sz w:val="32"/>
          <w:szCs w:val="32"/>
        </w:rPr>
      </w:pPr>
      <w:r>
        <w:rPr>
          <w:rFonts w:hint="eastAsia" w:ascii="仿宋" w:eastAsia="仿宋" w:cs="仿宋"/>
          <w:b/>
          <w:bCs/>
          <w:sz w:val="32"/>
          <w:szCs w:val="32"/>
        </w:rPr>
        <w:t>紧握安全红线，强化四大教育，把立德树人的教育目标落实于日常生活中。</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从学生的思想根源抓起。开学初学校下发了学校各项规章制度。同时利用班会，班主任组织学生学习《中小学生守则》、《学生一日常规》、《中学生文明礼仪规范》等各项规章制度，进一步规范了学生的文明习惯。以活动为载体，全面贯彻学校“每月一活动、 每周一主题” 德育教育班题活动。</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1、本期我校成功举办了广播操比赛， 学生普遍参与热情高，每次活动政教处都确定一个德育目标，精心筹划， 认真组织，通过一系列的活动，学生的思想认识有了明显的转变，从而促进良好学风的形成。小学部在三月份，我校结合实际开展了安全教育周，增强了学生们的安全意识。在三八节来临之际，还开展了“感恩有您”的活动。给奶奶、妈妈、外婆洗一次脚，端一杯茶，说一声您辛苦啦，使学生家长间增加了感情，进行了感恩教育。四月份，结合中国共产党成立100周年，我们开展了系列活动：组织学生前往兰江公园参加清明祭扫活动；少先队组织举行了“学党史，跟党走，做新时代接班人”为主题的演讲比赛和手抄报比赛。组织了五年级的学生前往王家厂暴动纪念碑、涔槐教育基地参加了以“从小学党史，永远跟党走”为主旨的红色研学活动。建制班合唱活动全面上劲，李璐璐老师组织有序，学生们训练有素。五月份，少先队积极组织防溺水教育系列活动，坚持对学生进行安全教育。庆六一活动全面启动，各班有序进行准备工作。组织学生进行“红领巾讲解员”的学习打卡活动。九月份，少先队开展了新时代好少年的评比。十月份，开展了一年级新生入队及优秀少先队员的评选。选拔了红领巾小主持。营造了良好的校园文化氛围。十一月份，推进“红领巾奖章”一星章的申报，班级中队向学校申报了人数达到230余人。</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 每周星期一集会，政教处统一组织，对学生进行安全教育、养成教育、礼仪教育、爱国主义教育、树立理想前途教育。</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3、 学校大力倡导节俭之风，帮助学生树立节俭意识，开展了“文明餐桌行动”，并将节俭教育当做今后工作的一个重点。</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4、表彰各种先进，树立学习榜样。本期政教处班级量化考核内容，一周一统计， 一月一小结，考核结果和班主任津贴挂钩，每周分年级组排名，每级评出文明班级一个。政教处对举办活动中彰显出来的先建个人和集体，以及各班评选出来的优秀班干部都予以奖励，充分发挥榜样的力量，进一步规范学生的言行，树立学生学习的楷模，从而树立了正气，有力地推动了学校精神文明建设。</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 xml:space="preserve">5、将安全教育放首位 </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 </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（2）开展安全督查，树立安全意识。安全无小事。学校领导十分重视学生的安全教育工作，把它作为学校德育工作的首要大事，学校的每一个地方，学生在校的每一个时间都有老师值勤。</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6、心理健康教育有实招，效果明显</w:t>
      </w:r>
    </w:p>
    <w:p>
      <w:pPr>
        <w:snapToGrid w:val="0"/>
        <w:spacing w:line="600" w:lineRule="exact"/>
        <w:ind w:firstLine="640" w:firstLineChars="200"/>
        <w:rPr>
          <w:rFonts w:ascii="仿宋" w:eastAsia="仿宋" w:cs="仿宋"/>
          <w:sz w:val="32"/>
          <w:szCs w:val="32"/>
        </w:rPr>
      </w:pPr>
      <w:r>
        <w:rPr>
          <w:rFonts w:ascii="仿宋" w:eastAsia="仿宋" w:cs="仿宋"/>
          <w:sz w:val="32"/>
          <w:szCs w:val="32"/>
        </w:rPr>
        <w:t>各班设立心育委员男女各2名，做为班主任的小助手，做为班级的小观察员，做为学生中间的小探子，第一时间了解学生中间的心理动向，第一时间向班主任、政教处报告，以便班主任在第一时间做出正确的处理与协调。本学期初中部有几位同学的心理波动都是处理在萌芽状态，消除了隐患，振奋了精神，促进了学校的健康和谐发展。</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七</w:t>
      </w:r>
      <w:r>
        <w:rPr>
          <w:rFonts w:ascii="Times New Roman" w:hAnsi="黑体" w:eastAsia="黑体" w:cs="Times New Roman"/>
          <w:sz w:val="32"/>
          <w:szCs w:val="32"/>
        </w:rPr>
        <w:t>、存在的问题及原因分析</w:t>
      </w:r>
    </w:p>
    <w:p>
      <w:pPr>
        <w:snapToGrid w:val="0"/>
        <w:spacing w:line="600" w:lineRule="exact"/>
        <w:ind w:firstLine="640" w:firstLineChars="200"/>
        <w:rPr>
          <w:rFonts w:ascii="仿宋" w:eastAsia="仿宋" w:cs="仿宋"/>
          <w:sz w:val="32"/>
          <w:szCs w:val="32"/>
        </w:rPr>
      </w:pPr>
      <w:r>
        <w:rPr>
          <w:rFonts w:ascii="仿宋" w:eastAsia="仿宋" w:cs="仿宋"/>
          <w:sz w:val="32"/>
          <w:szCs w:val="32"/>
        </w:rPr>
        <w:t>我</w:t>
      </w:r>
      <w:r>
        <w:rPr>
          <w:rFonts w:hint="eastAsia" w:ascii="仿宋" w:eastAsia="仿宋" w:cs="仿宋"/>
          <w:sz w:val="32"/>
          <w:szCs w:val="32"/>
        </w:rPr>
        <w:t>校教育教学教研及其他</w:t>
      </w:r>
      <w:r>
        <w:rPr>
          <w:rFonts w:ascii="仿宋" w:eastAsia="仿宋" w:cs="仿宋"/>
          <w:sz w:val="32"/>
          <w:szCs w:val="32"/>
        </w:rPr>
        <w:t>等</w:t>
      </w:r>
      <w:r>
        <w:rPr>
          <w:rFonts w:hint="eastAsia" w:ascii="仿宋" w:eastAsia="仿宋" w:cs="仿宋"/>
          <w:sz w:val="32"/>
          <w:szCs w:val="32"/>
        </w:rPr>
        <w:t>活动</w:t>
      </w:r>
      <w:r>
        <w:rPr>
          <w:rFonts w:ascii="仿宋" w:eastAsia="仿宋" w:cs="仿宋"/>
          <w:sz w:val="32"/>
          <w:szCs w:val="32"/>
        </w:rPr>
        <w:t>的不确定性导致预算不准确</w:t>
      </w:r>
      <w:r>
        <w:rPr>
          <w:rFonts w:hint="eastAsia" w:ascii="仿宋" w:eastAsia="仿宋" w:cs="仿宋"/>
          <w:sz w:val="32"/>
          <w:szCs w:val="32"/>
        </w:rPr>
        <w:t>，</w:t>
      </w:r>
      <w:r>
        <w:rPr>
          <w:rFonts w:ascii="仿宋" w:eastAsia="仿宋" w:cs="仿宋"/>
          <w:sz w:val="32"/>
          <w:szCs w:val="32"/>
        </w:rPr>
        <w:t>改进措施增强预算的</w:t>
      </w:r>
      <w:r>
        <w:rPr>
          <w:rFonts w:hint="eastAsia" w:ascii="仿宋" w:eastAsia="仿宋" w:cs="仿宋"/>
          <w:sz w:val="32"/>
          <w:szCs w:val="32"/>
        </w:rPr>
        <w:t>科学性、</w:t>
      </w:r>
      <w:r>
        <w:rPr>
          <w:rFonts w:ascii="仿宋" w:eastAsia="仿宋" w:cs="仿宋"/>
          <w:sz w:val="32"/>
          <w:szCs w:val="32"/>
        </w:rPr>
        <w:t>合理性</w:t>
      </w:r>
      <w:r>
        <w:rPr>
          <w:rFonts w:hint="eastAsia" w:ascii="仿宋" w:eastAsia="仿宋" w:cs="仿宋"/>
          <w:sz w:val="32"/>
          <w:szCs w:val="32"/>
        </w:rPr>
        <w:t>、准确性</w:t>
      </w:r>
      <w:r>
        <w:rPr>
          <w:rFonts w:ascii="仿宋" w:eastAsia="仿宋" w:cs="仿宋"/>
          <w:sz w:val="32"/>
          <w:szCs w:val="32"/>
        </w:rPr>
        <w:t>，加强预算执行力度</w:t>
      </w:r>
      <w:r>
        <w:rPr>
          <w:rFonts w:hint="eastAsia" w:ascii="仿宋" w:eastAsia="仿宋" w:cs="仿宋"/>
          <w:sz w:val="32"/>
          <w:szCs w:val="32"/>
        </w:rPr>
        <w:t>。</w:t>
      </w:r>
    </w:p>
    <w:p>
      <w:pPr>
        <w:spacing w:line="600" w:lineRule="exact"/>
        <w:ind w:firstLine="320" w:firstLineChars="100"/>
        <w:rPr>
          <w:rFonts w:ascii="Times New Roman" w:hAnsi="黑体" w:eastAsia="黑体" w:cs="Times New Roman"/>
          <w:sz w:val="32"/>
          <w:szCs w:val="32"/>
        </w:rPr>
      </w:pPr>
      <w:r>
        <w:rPr>
          <w:rFonts w:hint="eastAsia" w:ascii="Times New Roman" w:hAnsi="黑体" w:eastAsia="黑体" w:cs="Times New Roman"/>
          <w:sz w:val="32"/>
          <w:szCs w:val="32"/>
        </w:rPr>
        <w:t>八</w:t>
      </w:r>
      <w:r>
        <w:rPr>
          <w:rFonts w:ascii="Times New Roman" w:hAnsi="黑体" w:eastAsia="黑体" w:cs="Times New Roman"/>
          <w:sz w:val="32"/>
          <w:szCs w:val="32"/>
        </w:rPr>
        <w:t>、下一步改进措施</w:t>
      </w:r>
    </w:p>
    <w:p>
      <w:pPr>
        <w:tabs>
          <w:tab w:val="center" w:pos="4153"/>
        </w:tabs>
        <w:spacing w:line="600" w:lineRule="exact"/>
        <w:ind w:firstLine="640" w:firstLineChars="200"/>
        <w:rPr>
          <w:rFonts w:ascii="仿宋" w:eastAsia="仿宋" w:cs="仿宋"/>
          <w:sz w:val="32"/>
          <w:szCs w:val="32"/>
        </w:rPr>
      </w:pPr>
      <w:r>
        <w:rPr>
          <w:rFonts w:hint="eastAsia" w:ascii="仿宋" w:eastAsia="仿宋" w:cs="仿宋"/>
          <w:sz w:val="32"/>
          <w:szCs w:val="32"/>
        </w:rPr>
        <w:t>1、加大财务管理力度。</w:t>
      </w:r>
      <w:r>
        <w:rPr>
          <w:rFonts w:ascii="仿宋" w:eastAsia="仿宋" w:cs="仿宋"/>
          <w:sz w:val="32"/>
          <w:szCs w:val="32"/>
        </w:rPr>
        <w:tab/>
      </w:r>
    </w:p>
    <w:p>
      <w:pPr>
        <w:tabs>
          <w:tab w:val="center" w:pos="4153"/>
        </w:tabs>
        <w:spacing w:line="600" w:lineRule="exact"/>
        <w:ind w:firstLine="633" w:firstLineChars="198"/>
        <w:rPr>
          <w:rFonts w:ascii="仿宋" w:eastAsia="仿宋" w:cs="仿宋"/>
          <w:sz w:val="32"/>
          <w:szCs w:val="32"/>
        </w:rPr>
      </w:pPr>
      <w:r>
        <w:rPr>
          <w:rFonts w:hint="eastAsia" w:ascii="仿宋" w:eastAsia="仿宋" w:cs="仿宋"/>
          <w:sz w:val="32"/>
          <w:szCs w:val="32"/>
        </w:rPr>
        <w:t>严格执行财务管理制度，强化内控制度建设，充分发挥监管职能，杜绝无预算或超预算支出，厉行节约，杜绝浪费，加强具体账务报销、签字及审批程序的管理，严格按财务制度执行。</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2、加强预算管理，优化支出结构，强化决算组织、编报、审核工作。</w:t>
      </w:r>
    </w:p>
    <w:p>
      <w:pPr>
        <w:spacing w:line="600" w:lineRule="exact"/>
        <w:ind w:firstLine="633" w:firstLineChars="198"/>
        <w:rPr>
          <w:rFonts w:ascii="仿宋" w:eastAsia="仿宋" w:cs="仿宋"/>
          <w:sz w:val="32"/>
          <w:szCs w:val="32"/>
        </w:rPr>
      </w:pPr>
      <w:r>
        <w:rPr>
          <w:rFonts w:hint="eastAsia" w:ascii="仿宋" w:eastAsia="仿宋" w:cs="仿宋"/>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九</w:t>
      </w:r>
      <w:r>
        <w:rPr>
          <w:rFonts w:ascii="Times New Roman" w:hAnsi="黑体" w:eastAsia="黑体" w:cs="Times New Roman"/>
          <w:sz w:val="32"/>
          <w:szCs w:val="32"/>
        </w:rPr>
        <w:t>、单位整体支出绩效自评结果拟应用和公开情况</w:t>
      </w:r>
    </w:p>
    <w:p>
      <w:pPr>
        <w:spacing w:line="600" w:lineRule="exact"/>
        <w:ind w:right="-512" w:rightChars="-244" w:firstLine="645"/>
        <w:rPr>
          <w:rFonts w:ascii="仿宋" w:hAnsi="仿宋" w:eastAsia="仿宋"/>
          <w:sz w:val="32"/>
          <w:szCs w:val="32"/>
        </w:rPr>
      </w:pPr>
      <w:r>
        <w:rPr>
          <w:rFonts w:hint="eastAsia" w:ascii="仿宋" w:hAnsi="仿宋" w:eastAsia="仿宋"/>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95分。</w:t>
      </w: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八</w:t>
      </w:r>
      <w:r>
        <w:rPr>
          <w:rFonts w:ascii="Times New Roman" w:hAnsi="黑体" w:eastAsia="黑体" w:cs="Times New Roman"/>
          <w:sz w:val="32"/>
          <w:szCs w:val="32"/>
        </w:rPr>
        <w:t>、其他需要说明的情况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仿宋" w:hAnsi="仿宋" w:eastAsia="仿宋" w:cs="Times New Roman"/>
          <w:sz w:val="32"/>
          <w:szCs w:val="32"/>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C50"/>
    <w:multiLevelType w:val="multilevel"/>
    <w:tmpl w:val="12B97C5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5334BDD"/>
    <w:multiLevelType w:val="multilevel"/>
    <w:tmpl w:val="55334BDD"/>
    <w:lvl w:ilvl="0" w:tentative="0">
      <w:start w:val="2"/>
      <w:numFmt w:val="decimalEnclosedCircle"/>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3NjMxYWY3NWNjNjQyY2M3NDg5ODNlYzc0ZDQwNGQifQ=="/>
  </w:docVars>
  <w:rsids>
    <w:rsidRoot w:val="27D94564"/>
    <w:rsid w:val="00050CA4"/>
    <w:rsid w:val="00065DC9"/>
    <w:rsid w:val="0008193C"/>
    <w:rsid w:val="000F163F"/>
    <w:rsid w:val="0010666C"/>
    <w:rsid w:val="00115C71"/>
    <w:rsid w:val="00191BBE"/>
    <w:rsid w:val="0021057E"/>
    <w:rsid w:val="00226E16"/>
    <w:rsid w:val="002B2A72"/>
    <w:rsid w:val="00371767"/>
    <w:rsid w:val="0038176F"/>
    <w:rsid w:val="003D5F8B"/>
    <w:rsid w:val="00433CEE"/>
    <w:rsid w:val="004C6B6C"/>
    <w:rsid w:val="00515C34"/>
    <w:rsid w:val="00565440"/>
    <w:rsid w:val="00576FDA"/>
    <w:rsid w:val="0058407B"/>
    <w:rsid w:val="005A3C2A"/>
    <w:rsid w:val="00601B0E"/>
    <w:rsid w:val="00626EFA"/>
    <w:rsid w:val="006638A9"/>
    <w:rsid w:val="006A7089"/>
    <w:rsid w:val="006B3654"/>
    <w:rsid w:val="00801945"/>
    <w:rsid w:val="00824EA1"/>
    <w:rsid w:val="0086213D"/>
    <w:rsid w:val="008646B6"/>
    <w:rsid w:val="008D0A48"/>
    <w:rsid w:val="008D2CAB"/>
    <w:rsid w:val="00963CCE"/>
    <w:rsid w:val="00981C3B"/>
    <w:rsid w:val="00991580"/>
    <w:rsid w:val="00A204A2"/>
    <w:rsid w:val="00AB5C58"/>
    <w:rsid w:val="00AD39E9"/>
    <w:rsid w:val="00AF7396"/>
    <w:rsid w:val="00B02A0C"/>
    <w:rsid w:val="00B51A2C"/>
    <w:rsid w:val="00B9329D"/>
    <w:rsid w:val="00C140B6"/>
    <w:rsid w:val="00D27B4F"/>
    <w:rsid w:val="00D45466"/>
    <w:rsid w:val="00DC49B1"/>
    <w:rsid w:val="00DE1C52"/>
    <w:rsid w:val="00E40EA6"/>
    <w:rsid w:val="00E541A7"/>
    <w:rsid w:val="00EE2058"/>
    <w:rsid w:val="00F07D7E"/>
    <w:rsid w:val="00F53D80"/>
    <w:rsid w:val="00F92C09"/>
    <w:rsid w:val="00FA11CD"/>
    <w:rsid w:val="02E602C3"/>
    <w:rsid w:val="0569626F"/>
    <w:rsid w:val="1F5E5F75"/>
    <w:rsid w:val="225C4890"/>
    <w:rsid w:val="27D94564"/>
    <w:rsid w:val="287C746C"/>
    <w:rsid w:val="2AF459E0"/>
    <w:rsid w:val="338601B9"/>
    <w:rsid w:val="356E5F27"/>
    <w:rsid w:val="3AD76784"/>
    <w:rsid w:val="3E1A70B4"/>
    <w:rsid w:val="4AD44F71"/>
    <w:rsid w:val="4B2A2DEB"/>
    <w:rsid w:val="4B775B0D"/>
    <w:rsid w:val="505446A7"/>
    <w:rsid w:val="525C7843"/>
    <w:rsid w:val="5BCE5940"/>
    <w:rsid w:val="5EA93E10"/>
    <w:rsid w:val="5FC52655"/>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sz w:val="24"/>
    </w:rPr>
  </w:style>
  <w:style w:type="character" w:styleId="7">
    <w:name w:val="Strong"/>
    <w:basedOn w:val="6"/>
    <w:qFormat/>
    <w:uiPriority w:val="22"/>
    <w:rPr>
      <w:b/>
      <w:bCs/>
    </w:rPr>
  </w:style>
  <w:style w:type="character" w:customStyle="1" w:styleId="8">
    <w:name w:val="页眉 Char"/>
    <w:basedOn w:val="6"/>
    <w:link w:val="3"/>
    <w:qFormat/>
    <w:uiPriority w:val="0"/>
    <w:rPr>
      <w:sz w:val="18"/>
      <w:szCs w:val="18"/>
    </w:rPr>
  </w:style>
  <w:style w:type="paragraph" w:customStyle="1" w:styleId="9">
    <w:name w:val="18"/>
    <w:basedOn w:val="1"/>
    <w:uiPriority w:val="0"/>
    <w:pPr>
      <w:widowControl/>
      <w:spacing w:before="100" w:beforeAutospacing="1" w:after="100" w:afterAutospacing="1"/>
      <w:jc w:val="left"/>
    </w:pPr>
    <w:rPr>
      <w:rFonts w:ascii="宋体" w:hAnsi="宋体" w:eastAsia="宋体" w:cs="宋体"/>
      <w:sz w:val="24"/>
      <w:szCs w:val="24"/>
    </w:rPr>
  </w:style>
  <w:style w:type="character" w:customStyle="1" w:styleId="10">
    <w:name w:val="peoplefilling"/>
    <w:basedOn w:val="6"/>
    <w:uiPriority w:val="0"/>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12</Pages>
  <Words>779</Words>
  <Characters>4441</Characters>
  <Lines>37</Lines>
  <Paragraphs>10</Paragraphs>
  <TotalTime>19</TotalTime>
  <ScaleCrop>false</ScaleCrop>
  <LinksUpToDate>false</LinksUpToDate>
  <CharactersWithSpaces>5210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2022-06-14T00:15:00Z</dcterms:created>
  <dc:creator>小明同学</dc:creator>
  <cp:lastModifiedBy>Administrator</cp:lastModifiedBy>
  <cp:lastPrinted>2022-06-21T01:50:00Z</cp:lastPrinted>
  <dcterms:modified xsi:type="dcterms:W3CDTF">2024-05-16T03:00:43Z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7162E7441A254B7D8B56ED03A1F06CD7</vt:lpwstr>
  </property>
</Properties>
</file>