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仿宋" w:eastAsia="仿宋_GB2312"/>
          <w:sz w:val="32"/>
          <w:szCs w:val="32"/>
        </w:rPr>
      </w:pPr>
    </w:p>
    <w:p>
      <w:pPr>
        <w:widowControl/>
        <w:rPr>
          <w:rFonts w:ascii="仿宋_GB2312" w:hAnsi="仿宋" w:eastAsia="仿宋_GB2312"/>
          <w:sz w:val="32"/>
          <w:szCs w:val="32"/>
        </w:rPr>
      </w:pPr>
    </w:p>
    <w:p>
      <w:pPr>
        <w:tabs>
          <w:tab w:val="left" w:pos="6480"/>
        </w:tabs>
        <w:spacing w:line="500" w:lineRule="exact"/>
        <w:jc w:val="center"/>
        <w:rPr>
          <w:rFonts w:ascii="黑体" w:hAnsi="黑体" w:eastAsia="黑体" w:cs="黑体"/>
          <w:sz w:val="44"/>
          <w:szCs w:val="44"/>
        </w:rPr>
      </w:pPr>
      <w:r>
        <w:rPr>
          <w:rFonts w:hint="eastAsia" w:ascii="黑体" w:hAnsi="黑体" w:eastAsia="黑体" w:cs="黑体"/>
          <w:sz w:val="44"/>
          <w:szCs w:val="44"/>
        </w:rPr>
        <w:t>澧县人民政府澧澹街道办事处</w:t>
      </w:r>
    </w:p>
    <w:p>
      <w:pPr>
        <w:tabs>
          <w:tab w:val="left" w:pos="6480"/>
        </w:tabs>
        <w:spacing w:line="500" w:lineRule="exact"/>
        <w:jc w:val="center"/>
        <w:rPr>
          <w:rFonts w:ascii="黑体" w:hAnsi="黑体" w:eastAsia="黑体" w:cs="黑体"/>
          <w:bCs/>
          <w:sz w:val="44"/>
          <w:szCs w:val="44"/>
        </w:rPr>
      </w:pPr>
      <w:r>
        <w:rPr>
          <w:rFonts w:hint="eastAsia" w:ascii="黑体" w:hAnsi="黑体" w:eastAsia="黑体" w:cs="黑体"/>
          <w:sz w:val="44"/>
          <w:szCs w:val="44"/>
        </w:rPr>
        <w:t>2020年</w:t>
      </w:r>
      <w:r>
        <w:rPr>
          <w:rFonts w:hint="eastAsia" w:ascii="黑体" w:hAnsi="黑体" w:eastAsia="黑体" w:cs="黑体"/>
          <w:bCs/>
          <w:sz w:val="44"/>
          <w:szCs w:val="44"/>
        </w:rPr>
        <w:t>部门整体支出绩效评价报告</w:t>
      </w:r>
    </w:p>
    <w:p>
      <w:pPr>
        <w:pStyle w:val="4"/>
        <w:rPr>
          <w:rFonts w:ascii="黑体" w:hAnsi="黑体" w:eastAsia="黑体" w:cs="黑体"/>
          <w:bCs/>
          <w:sz w:val="44"/>
          <w:szCs w:val="44"/>
        </w:rPr>
      </w:pPr>
    </w:p>
    <w:p>
      <w:pPr>
        <w:snapToGrid w:val="0"/>
        <w:spacing w:line="560" w:lineRule="exact"/>
        <w:ind w:firstLine="640" w:firstLineChars="200"/>
        <w:rPr>
          <w:rFonts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加强党的建设。落实基层党建工作责任制，统筹街道村（社区）区域化党建，加强非公有制经济组织和社会组织党建工作，实现党的组织和工作全覆盖。加强意识形态阵地及队伍建设。不断提高党的建设质量，落实管党治党责任，推动全面治党向基层延伸。</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（2）统筹区域发展。参与拟订县级关于辖区发展的重大决策和建设</w:t>
      </w:r>
      <w:bookmarkStart w:id="1" w:name="_GoBack"/>
      <w:bookmarkEnd w:id="1"/>
      <w:r>
        <w:rPr>
          <w:rFonts w:hint="eastAsia" w:ascii="仿宋_GB2312" w:hAnsi="仿宋" w:eastAsia="仿宋_GB2312"/>
          <w:sz w:val="32"/>
          <w:szCs w:val="32"/>
        </w:rPr>
        <w:t>规划并统筹落实，负责促进辖区经济建设，承担优化发展环境、采集企业信息、服务辖区企业、促进项目发展等工作。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组织公共服务。组织实施与村（社区）居民生活密切相关的各项公共服务事项，落实人力资源社会保障、民政、教育、科技、文化、体育、卫生健康、退役军人事务、村（社区）居民小区物业管理等领域相关法规政策。动员辖区内各类单位、社会组织、村（社区）居民等社会力量参与社会治理，为街道发展服务。</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（4）实施公共管理。负责辖区内生态环境保护、城镇管理、控违拆违、征地拆迁等综合性管理工作。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（5）维护公共安全。承担辖区内社会治安综合治理、平安建设、应急管理等有关工作，接待群众来信来访，反映社情民意，化解矛盾纠纷等。</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（6）监督执法管理。对辖区内各类行政执法工作进行统筹协调，组织开展群众监督和社会监督。</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（7）保障居民自治。指导村（社区）委员会建设，健全街道村民自治平台，组织村（居）民参与村（社区）建设管理。</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根据2020年《澧县机构改革实施方案》文件精神，对镇机构统一设置如下：</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（1）对镇党政内设机构统一设置为6个。即党政办公室、党建办公室、经济发展办公室、社会事务办公室、自然资源和生态环境办公室、社会治安和应急管理办公室。</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（2）统一设置1个执法机构。综合行政执法队。</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（3）统一设置事业单位5个。即农业和农村经营管理服务站、民政和社会保障站、综合文化站、安全生产监督管理站、退役军人服务站。</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2020年，我镇行政编制人数35个；实有人数28个。</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2020年，我镇事业编制人数40个；实有人数31个。</w:t>
      </w:r>
    </w:p>
    <w:p>
      <w:pPr>
        <w:widowControl/>
        <w:spacing w:line="560" w:lineRule="exact"/>
        <w:ind w:firstLine="640" w:firstLineChars="200"/>
        <w:rPr>
          <w:rFonts w:ascii="仿宋_GB2312" w:hAnsi="仿宋" w:eastAsia="仿宋_GB2312"/>
          <w:sz w:val="32"/>
          <w:szCs w:val="32"/>
        </w:rPr>
      </w:pPr>
      <w:r>
        <w:rPr>
          <w:rFonts w:hint="eastAsia" w:ascii="黑体" w:hAnsi="黑体" w:eastAsia="黑体"/>
          <w:sz w:val="32"/>
          <w:szCs w:val="32"/>
        </w:rPr>
        <w:t>二、绩效完成情况</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（一）部门整体支出管理情况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1、严格按照内部控制制度要求并结合街道实际情况，规范报账审批流程，进一步完善政府采购制度和固定资产管理办法。</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2、成立预算绩效管理领导小组，对绩效目标实现过程、资金支出进度实施全程监控。</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3、资金支出严格按照预算执行，做到专款专用，合理安排经费开支，厉行节约。</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（二）预算执行情况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1、年初预算批复情况</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2020年，年初预算收入安排593.3万元其中：人员经费457.62万元；日常公用经费135.68万元；项目支出0万元。 </w:t>
      </w:r>
    </w:p>
    <w:p>
      <w:pPr>
        <w:widowControl/>
        <w:spacing w:line="560" w:lineRule="exact"/>
        <w:ind w:firstLine="640" w:firstLineChars="200"/>
        <w:jc w:val="left"/>
      </w:pPr>
      <w:r>
        <w:rPr>
          <w:rFonts w:hint="eastAsia" w:ascii="仿宋_GB2312" w:hAnsi="仿宋" w:eastAsia="仿宋_GB2312"/>
          <w:sz w:val="32"/>
          <w:szCs w:val="32"/>
        </w:rPr>
        <w:t>2、全年总预算执行情况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2020年本年收入2040.3万元。其中：一般公共预算财政拨款收入2017.98万元；政府性基金预算财政拨款收入22.32万元。</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2020年本年支出2017.98万元。其中：一般公共预算财政拨款支出2040.3万元；政府性基金预算财政拨款支出22.32万元。</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3、“三公”经费执行情况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“三公”经费财政拨款支出预算为7.5万元，支出决算为7.5万元，完成预算的100%。</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4、资金结余情况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2020年结转结余为0万元。</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（三）绩效目标完成情况</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1、优化产业结构，促进增产增收，筑牢农业发展基础地位。</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粮油生产任务圆满完成。全面落实完成了县里下达的早稻生产大面面积1.5万亩，早稻集中育秧面积0.6万亩粮食生产任务，确保粮食安全。积极实施县委、县政府倡导的优质稻品牌创建三年行动计划，分别与生产企业湖南锦锈千村农民专业合作社和洞庭春米业签订了优质稻“兆优5431”、“糯两优561”两万亩优质稻订单生产合同。巩固和完成“稻油”水旱轮作5000亩，办好了三个300亩以上的集中连片村级油菜样板，继续打造S302省道油菜观光带。</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特色产业发展壮大。大力发展优质稻、橘柚、猕猴桃、葡萄等优势产业。扩大纽荷尔脐橙、葡萄柚等橘柚新品种种植面积至1000亩，并继续对橘柚品种进一步品种改良、规模化经营、科学管理、搞好市场营销，把橘柚产业做大做强，创建和打响橘柚品牌。在渔业方面，发展龙虾养殖达800余亩。在畜牧养殖方面，积极恢复生猪产能，新建、改扩建养殖场5家，养殖规模均达到年出栏3000头以上，预计年出栏生猪新增10000头以上。</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2、狠抓乡村振兴，美化人居环境，构建生态环境重要地位。</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秸秆禁烧常态长效。一是在秸秆禁烧宣传上下功夫，全年共召开秸秆禁烧屋场会50多场次，发送各类宣传资料3500余份；二是加大秸秆禁烧教育处置力度上下功夫，街道共处罚焚烧火土农户20户、焚烧油菜荚农户3户、焚烧稻田秸秆一处，共处罚金5000元，起到极大威慑作用，在全镇形成不想烧、不能烧、不敢烧、多利用的良好格局，有力的保障了秸秆禁烧与综合利用成效。</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环境整治多措并举。今年以来累计对辖区内长期闲置荒废、存在安全隐患的农村空心房进行及时拆除，共拆除整改5处；加大植树造林力度，努力提升绿化覆盖率，移栽苗木13000余株；清除了村巷道柴杂草、农户房前屋后乱堆乱放、积存垃圾，拆除乱搭乱建钢棚30多处；重点整治了沟渠堰塘的杂草杂树、杂物，清除了黑臭水体，堰塘杂草、漂浮垃圾以及沟渠两边乱耕乱种和乱搭乱建行为，整治沟渠3400米、堰塘40多口，环境整治排名居县内前列。</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（3）厕所改造成效显著。全镇共有16个村居进行“厕所革命”，完成县里580户厕所化粪池改造任务，排名靠前，得到县领导的高度评价。</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3、完善基础建设，加强招商引资，着力项目建设战略地位。</w:t>
      </w:r>
    </w:p>
    <w:p>
      <w:pPr>
        <w:pStyle w:val="4"/>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基础设施不断完善。集镇基础设施的建设对招商引资起着至关重要的作用，2020年以来，坚持以城镇提质建设带动招商引资，以项目带投入的原则。（2）营商环境宽容开放。始终把招商引资作为一项政治任务抓紧抓好抓出成效。大力开展招商引资和营造良好的投资环境上，借县委县政府“迎老乡、建家乡”及“请能人回乡、促产业发展”的政策引力，吸引许多有识之士回乡创业兴业。</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4、落实社会保障，深化基层治理，凸显民生民祉核心地位。</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脱贫攻坚成效显著。今年以来，街道重点围绕贫困户、档外五类对象“两不愁、三保障”政策落实，在问题清零上下功夫，确保保障扶贫政策和措施精准落实。全镇上半年共计完成危房改造15户，教育补助春季在读学生250人，参与产业扶贫350户，落实交通补助150人。争取各级财政专项扶贫项目资金计划15个，合计90万元，其中已实施拨付15个。金融扶贫累计放款284万元，涉及贫困户62户，切实为贫困户发展产业提供了资金保障。</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社会保障落实到位。民生民利作为执政根本，大力改善群众生产生活条件，是我们政府工作的重中之重。所以确保各类保障制度能否精确落实到个人显得尤为重要。今年6月以来，对辖区所有三类人员进行认定清理，新认定享受对象68人，清退条件好转和已死亡对象35人，现全镇共有特困供养人员358人，社会保障兜底对象456户685人，其中全额兜底对象41户70人。一般低保415人，城镇低保200人。邀请县残联及县人民医院医生，为全镇因瘫痪或其他原因无法办证人员，统一办证。共下发残疾证520张，并对439名有康复需求的建档立卡贫困残疾人开展支持性服务，申请辅助器具113套。</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基层治理有序进行。开展“人情风”综合整治，疫情防控期间，延办缓办婚事85起，快办简办丧事150起，签订承诺书160份，报送日报告单2425份。创新社会基层治理工作上成果显著，今年我镇以及辖区的东街社区和九旺村申报了基层社会治理试点镇村，并已完成初步验收工作。信访维稳全面掌控，2020年“两会”特护期间，街道未发生一例赴省进京、集体访事件，并认真做好各级各类信访矛盾的调处回复工作，引导群众合理合法表达诉求，社会大局和谐稳定。其他各项事业协调发展，文化活动精彩纷呈，安全生产履责到位，积极开展工业企业和食品安全领域的专项整治，认真排查安全事故隐患，全年共开展执法活动380次、出动执法人员850人（次）、检查生产经营单位352家（次）、排查安全隐患135条、立案调查29起、经济处罚1.58万元；领导带队检查116人（次）。</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5、强化党风廉政，树立良好形象，发挥基层党建引领地位。</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两委换届顺利完成。在2020年底街道举行了村（社区）两委换届，整个过程严格按照换届程序，遵循“提出好思路、选出好干部、配出好班子、换出好风气”的要求，统筹谋划，精心组织，有序推进，真正意义上的做到村（社区）干部构成结构上的“大换血”和新生力量上的“大输血”，为大堰垱镇未来在整个“十四五”规划的发展过程中打下了坚实的基础。</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廉政教育深入人心。按照“一级抓一级、层层抓落实”的原则，突出抓好党风廉政建设警示教育，筑牢干部拒腐防变思想防线，努力打造风清气正干部队伍。截止至目前，共开展例行谈心谈话125次，给予诫勉谈话2人，警示谈话4人，筑牢了党员干部“不敢为”的党纪红线。</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党建引领助力疫控。今年春节发生的新冠疫情，使群众的生命和社会经济发展受到了严重的损失，为科学应对疫情，我镇充分发挥共产党员的先锋模范作用和基层党组织的战斗堡垒作用，党员自发成立宣传小分队，加入疫情防控队伍；2月13日至14日街道党工委4个农村村友情支援街道城市社区，解了城市社区当时之需，增强了街道的凝聚力；疫情防控期间街道16个村（社区）1652名党员共捐款12335元用于疫情防控；选派了疫情防控工作联络员协助做好工业企业复工复产；推荐了疫情防控一线基层党组织、共产党员先进典型数名。</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三、问题及建议</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1、存在问题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（1）各站所、村（社区）参与预算绩效评价工作的意识不够。</w:t>
      </w:r>
    </w:p>
    <w:p>
      <w:pPr>
        <w:pStyle w:val="2"/>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（2）各类预算绩效目标和定量指标的制定不够全面。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2、改进建议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（1）组织各站所、村（社区）参加预算绩效培训，制定工作方案。</w:t>
      </w:r>
    </w:p>
    <w:p>
      <w:pPr>
        <w:pStyle w:val="4"/>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（2）针对街道的工作计划与工作要点，细化预算绩效目标与指标。</w:t>
      </w:r>
    </w:p>
    <w:p>
      <w:pPr>
        <w:widowControl/>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wYjRmYjY3ZTA0OGI2N2U2Y2MzM2U4ZWViN2E0NjYifQ=="/>
  </w:docVars>
  <w:rsids>
    <w:rsidRoot w:val="3D575561"/>
    <w:rsid w:val="00376F5B"/>
    <w:rsid w:val="003F2A2D"/>
    <w:rsid w:val="00453C99"/>
    <w:rsid w:val="00456E1E"/>
    <w:rsid w:val="004668D1"/>
    <w:rsid w:val="00523232"/>
    <w:rsid w:val="00654D10"/>
    <w:rsid w:val="008024B4"/>
    <w:rsid w:val="009E0384"/>
    <w:rsid w:val="00AC0EE7"/>
    <w:rsid w:val="00AC26C3"/>
    <w:rsid w:val="00D95CDD"/>
    <w:rsid w:val="0C0A4DF4"/>
    <w:rsid w:val="263F2E9B"/>
    <w:rsid w:val="3710731C"/>
    <w:rsid w:val="3D575561"/>
    <w:rsid w:val="62DA3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Times New Roman"/>
    </w:rPr>
  </w:style>
  <w:style w:type="paragraph" w:styleId="3">
    <w:name w:val="Balloon Text"/>
    <w:basedOn w:val="1"/>
    <w:link w:val="8"/>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uiPriority w:val="0"/>
    <w:rPr>
      <w:rFonts w:asciiTheme="minorHAnsi" w:hAnsiTheme="minorHAnsi" w:eastAsiaTheme="minorEastAsia" w:cstheme="minorBidi"/>
      <w:kern w:val="2"/>
      <w:sz w:val="18"/>
      <w:szCs w:val="18"/>
    </w:rPr>
  </w:style>
  <w:style w:type="character" w:customStyle="1" w:styleId="9">
    <w:name w:val="页眉 Char"/>
    <w:basedOn w:val="7"/>
    <w:link w:val="5"/>
    <w:uiPriority w:val="0"/>
    <w:rPr>
      <w:rFonts w:asciiTheme="minorHAnsi" w:hAnsiTheme="minorHAnsi" w:eastAsiaTheme="minorEastAsia" w:cstheme="minorBidi"/>
      <w:kern w:val="2"/>
      <w:sz w:val="18"/>
      <w:szCs w:val="18"/>
    </w:rPr>
  </w:style>
  <w:style w:type="character" w:customStyle="1" w:styleId="10">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629</Words>
  <Characters>3586</Characters>
  <Lines>29</Lines>
  <Paragraphs>8</Paragraphs>
  <TotalTime>0</TotalTime>
  <ScaleCrop>false</ScaleCrop>
  <LinksUpToDate>false</LinksUpToDate>
  <CharactersWithSpaces>4207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2022-06-16T01:56:00Z</dcterms:created>
  <dc:creator>Administrator</dc:creator>
  <cp:lastModifiedBy>Administrator</cp:lastModifiedBy>
  <dcterms:modified xsi:type="dcterms:W3CDTF">2024-05-27T07:44:01Z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506EB95489A84520931DC25CFC348182</vt:lpwstr>
  </property>
</Properties>
</file>