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Cs/>
          <w:color w:val="000000"/>
          <w:kern w:val="0"/>
          <w:sz w:val="32"/>
          <w:szCs w:val="32"/>
        </w:rPr>
      </w:pPr>
      <w:r>
        <w:rPr>
          <w:rFonts w:hint="eastAsia" w:ascii="宋体" w:hAnsi="宋体" w:cs="宋体"/>
          <w:bCs/>
          <w:color w:val="000000"/>
          <w:kern w:val="0"/>
          <w:sz w:val="32"/>
          <w:szCs w:val="32"/>
        </w:rPr>
        <w:t>附件2：</w:t>
      </w:r>
    </w:p>
    <w:p>
      <w:pPr>
        <w:jc w:val="center"/>
        <w:rPr>
          <w:rFonts w:ascii="宋体" w:cs="Times New Roman"/>
          <w:b/>
          <w:bCs/>
          <w:color w:val="000000"/>
          <w:kern w:val="0"/>
          <w:sz w:val="44"/>
          <w:szCs w:val="44"/>
        </w:rPr>
      </w:pPr>
      <w:r>
        <w:rPr>
          <w:rFonts w:ascii="宋体" w:hAnsi="宋体" w:cs="宋体"/>
          <w:b/>
          <w:bCs/>
          <w:color w:val="000000"/>
          <w:kern w:val="0"/>
          <w:sz w:val="44"/>
          <w:szCs w:val="44"/>
        </w:rPr>
        <w:t>20</w:t>
      </w:r>
      <w:r>
        <w:rPr>
          <w:rFonts w:hint="eastAsia" w:ascii="宋体" w:hAnsi="宋体" w:cs="宋体"/>
          <w:b/>
          <w:bCs/>
          <w:color w:val="000000"/>
          <w:kern w:val="0"/>
          <w:sz w:val="44"/>
          <w:szCs w:val="44"/>
        </w:rPr>
        <w:t>20年度部门整体支出绩效评价报告</w:t>
      </w:r>
    </w:p>
    <w:p>
      <w:pPr>
        <w:widowControl/>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为了进一步规范和加强财政资金使用管理，提高资金使用效益，根据上级有关</w:t>
      </w:r>
      <w:r>
        <w:rPr>
          <w:rFonts w:ascii="仿宋" w:hAnsi="仿宋" w:eastAsia="仿宋"/>
          <w:sz w:val="32"/>
          <w:szCs w:val="32"/>
        </w:rPr>
        <w:t>文件精神，</w:t>
      </w:r>
      <w:r>
        <w:rPr>
          <w:rFonts w:hint="eastAsia" w:ascii="仿宋" w:hAnsi="仿宋" w:eastAsia="仿宋"/>
          <w:kern w:val="0"/>
          <w:sz w:val="32"/>
          <w:szCs w:val="32"/>
        </w:rPr>
        <w:t>澧县县委办开展了</w:t>
      </w:r>
      <w:r>
        <w:rPr>
          <w:rFonts w:ascii="仿宋" w:hAnsi="仿宋" w:eastAsia="仿宋"/>
          <w:kern w:val="0"/>
          <w:sz w:val="32"/>
          <w:szCs w:val="32"/>
        </w:rPr>
        <w:t>20</w:t>
      </w:r>
      <w:r>
        <w:rPr>
          <w:rFonts w:hint="eastAsia" w:ascii="仿宋" w:hAnsi="仿宋" w:eastAsia="仿宋"/>
          <w:kern w:val="0"/>
          <w:sz w:val="32"/>
          <w:szCs w:val="32"/>
        </w:rPr>
        <w:t>20年度部门整体支出绩效自评，现将绩效自评情况报告如下：</w:t>
      </w:r>
    </w:p>
    <w:p>
      <w:pPr>
        <w:widowControl/>
        <w:spacing w:line="360" w:lineRule="auto"/>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一、部门概况</w:t>
      </w:r>
    </w:p>
    <w:p>
      <w:pPr>
        <w:widowControl/>
        <w:spacing w:line="360" w:lineRule="auto"/>
        <w:ind w:firstLine="640" w:firstLineChars="200"/>
        <w:rPr>
          <w:rFonts w:ascii="Times New Roman" w:hAnsi="Times New Roman" w:eastAsia="仿宋_GB2312"/>
          <w:color w:val="222222"/>
          <w:kern w:val="0"/>
          <w:sz w:val="32"/>
          <w:szCs w:val="32"/>
        </w:rPr>
      </w:pPr>
      <w:r>
        <w:rPr>
          <w:rFonts w:ascii="Times New Roman" w:hAnsi="Times New Roman" w:eastAsia="仿宋_GB2312"/>
          <w:color w:val="222222"/>
          <w:kern w:val="0"/>
          <w:sz w:val="32"/>
          <w:szCs w:val="32"/>
        </w:rPr>
        <w:t>（一） 机构、人员构成</w:t>
      </w:r>
    </w:p>
    <w:p>
      <w:pPr>
        <w:spacing w:line="360" w:lineRule="auto"/>
        <w:ind w:firstLine="640" w:firstLineChars="200"/>
        <w:rPr>
          <w:rFonts w:ascii="仿宋" w:hAnsi="仿宋" w:eastAsia="仿宋"/>
          <w:sz w:val="32"/>
          <w:szCs w:val="32"/>
        </w:rPr>
      </w:pPr>
      <w:r>
        <w:rPr>
          <w:rFonts w:hint="eastAsia" w:ascii="仿宋" w:hAnsi="仿宋" w:eastAsia="仿宋"/>
          <w:color w:val="000000"/>
          <w:sz w:val="32"/>
          <w:szCs w:val="32"/>
        </w:rPr>
        <w:t>县委办下设</w:t>
      </w:r>
      <w:r>
        <w:rPr>
          <w:rFonts w:ascii="仿宋" w:hAnsi="仿宋" w:eastAsia="仿宋" w:cs="微软雅黑"/>
          <w:color w:val="333333"/>
          <w:sz w:val="32"/>
          <w:szCs w:val="32"/>
          <w:shd w:val="clear" w:color="auto" w:fill="FFFFFF"/>
        </w:rPr>
        <w:t>值班室、秘书室、综调室、政研信息室、督查室、考核办、信访室、政工室、行政办、工作队等14个组室</w:t>
      </w:r>
      <w:r>
        <w:rPr>
          <w:rFonts w:hint="eastAsia" w:ascii="仿宋" w:hAnsi="仿宋" w:eastAsia="仿宋"/>
          <w:color w:val="000000"/>
          <w:sz w:val="32"/>
          <w:szCs w:val="32"/>
        </w:rPr>
        <w:t>，</w:t>
      </w:r>
      <w:r>
        <w:rPr>
          <w:rFonts w:ascii="仿宋" w:hAnsi="仿宋" w:eastAsia="仿宋" w:cs="微软雅黑"/>
          <w:color w:val="333333"/>
          <w:sz w:val="32"/>
          <w:szCs w:val="32"/>
          <w:shd w:val="clear" w:color="auto" w:fill="FFFFFF"/>
        </w:rPr>
        <w:t>财务核算包括党政信息技术中心、档案局、国家保密局、县委机要局、密码管理局、外事办、台湾事务办、党史研究室、团县委等单位</w:t>
      </w:r>
      <w:r>
        <w:rPr>
          <w:rFonts w:hint="eastAsia" w:ascii="仿宋" w:hAnsi="仿宋" w:eastAsia="仿宋"/>
          <w:color w:val="000000"/>
          <w:sz w:val="32"/>
          <w:szCs w:val="32"/>
        </w:rPr>
        <w:t>。</w:t>
      </w:r>
    </w:p>
    <w:p>
      <w:pPr>
        <w:widowControl/>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2020年编制人数58人，实有人员71人，其中：在职人数52人，离退休19人。</w:t>
      </w:r>
    </w:p>
    <w:p>
      <w:pPr>
        <w:widowControl/>
        <w:spacing w:line="360" w:lineRule="auto"/>
        <w:ind w:firstLine="640" w:firstLineChars="200"/>
        <w:rPr>
          <w:rFonts w:ascii="Times New Roman" w:hAnsi="Times New Roman" w:eastAsia="仿宋_GB2312"/>
          <w:color w:val="222222"/>
          <w:kern w:val="0"/>
          <w:sz w:val="32"/>
          <w:szCs w:val="32"/>
        </w:rPr>
      </w:pPr>
      <w:r>
        <w:rPr>
          <w:rFonts w:ascii="Times New Roman" w:hAnsi="Times New Roman" w:eastAsia="仿宋_GB2312"/>
          <w:color w:val="222222"/>
          <w:kern w:val="0"/>
          <w:sz w:val="32"/>
          <w:szCs w:val="32"/>
        </w:rPr>
        <w:t>（二） 单位主要职责</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（1）围绕县委工作部署，对涉及全县经济建设、社会发展、党的自身建设等全局性的重大问题进行调查研究，为县委科学决策提出建议、预案。</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（2）负责县委有关会议的筹备和组织协调工作。负责安排县委领导的公务活动，办理县委领导交办的事项。</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（3）负责县委文件和文稿的起草、校核、印发工作，负责文书处理、档案管理和开发利用工作；研究、审核县直各部门、各镇（街道）党（工）委向县委的请示，提出处理意见报县委领导审批。</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（4）及时收集、筛选、综合整理各类情况，全面准确地为县委、上级党委报送信息；及时传达贯彻党委、政府的重大决策、重要精神和扩大镇（街道）、部门工作交流。</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（5）负责党的方针政策、上级党委和县委重要工作部署、领导同志重要批示、批件贯彻落实情况的督促检查，以及受县委委托对某些问题的调查核实；组织督办人大代表有关建议、政协委员有关提案。</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（6）负责牵头组织全县目标管理年度考核工作和县委、县政府各项工作年度奖惩的汇总初审。</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（7）负责县委值班工作，及时向县委报告重要情况，处理群众来信来访，协助处理县直各部门和镇（街道）反映的重要问题。</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（8）负责全县党政系统机要密码通信和密码管理；负责全县商用密码管理；负责上级党委文件和党政领导机关要件的传递工作；负责牵头全县电子政务内网的建设和全县党委系统信息化工作。</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（9）负责全县保密工作的规划、宣传教育、指导协调、监督管理和泄密案件查处工作；负责涉密通信、办公自动化等的技术防范和审批管理。</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（10）负责有关人员来本县视察的公务活动安排和接待工作。</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（11）负责县委机关行政后勤管理和机关大院的安全保卫工作。</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（12）负责对档案局、史志办、接待处等部门的归口管理。</w:t>
      </w:r>
    </w:p>
    <w:p>
      <w:pPr>
        <w:pStyle w:val="6"/>
        <w:shd w:val="clear" w:color="auto" w:fill="FFFFFF"/>
        <w:spacing w:before="0" w:beforeAutospacing="0" w:after="0" w:afterAutospacing="0"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（13）负责对全县各级办公室的业务指导和协调管理。</w:t>
      </w:r>
    </w:p>
    <w:p>
      <w:pPr>
        <w:pStyle w:val="6"/>
        <w:shd w:val="clear" w:color="auto" w:fill="FFFFFF"/>
        <w:spacing w:before="0" w:beforeAutospacing="0" w:after="0" w:afterAutospacing="0" w:line="360" w:lineRule="auto"/>
        <w:ind w:firstLine="640" w:firstLineChars="200"/>
        <w:rPr>
          <w:rFonts w:ascii="仿宋" w:hAnsi="仿宋" w:eastAsia="仿宋"/>
          <w:color w:val="000000"/>
          <w:sz w:val="32"/>
          <w:szCs w:val="32"/>
        </w:rPr>
      </w:pPr>
      <w:r>
        <w:rPr>
          <w:rFonts w:hint="eastAsia" w:ascii="仿宋" w:hAnsi="仿宋" w:eastAsia="仿宋"/>
          <w:color w:val="333333"/>
          <w:sz w:val="32"/>
          <w:szCs w:val="32"/>
          <w:shd w:val="clear" w:color="auto" w:fill="FFFFFF"/>
        </w:rPr>
        <w:t>（14）承办县委及上级党委办公室交办的其他工作。</w:t>
      </w:r>
    </w:p>
    <w:p>
      <w:pPr>
        <w:widowControl/>
        <w:spacing w:line="360" w:lineRule="auto"/>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二、部门财务情况</w:t>
      </w:r>
    </w:p>
    <w:p>
      <w:pPr>
        <w:widowControl/>
        <w:spacing w:line="360" w:lineRule="auto"/>
        <w:ind w:firstLine="640" w:firstLineChars="200"/>
        <w:rPr>
          <w:rFonts w:ascii="Times New Roman" w:hAnsi="Times New Roman" w:eastAsia="仿宋_GB2312"/>
          <w:color w:val="222222"/>
          <w:kern w:val="0"/>
          <w:sz w:val="32"/>
          <w:szCs w:val="32"/>
        </w:rPr>
      </w:pPr>
      <w:r>
        <w:rPr>
          <w:rFonts w:ascii="Times New Roman" w:hAnsi="Times New Roman" w:eastAsia="仿宋_GB2312"/>
          <w:color w:val="222222"/>
          <w:kern w:val="0"/>
          <w:sz w:val="32"/>
          <w:szCs w:val="32"/>
        </w:rPr>
        <w:t>（一）部门整体支出情况</w:t>
      </w:r>
    </w:p>
    <w:p>
      <w:pPr>
        <w:widowControl/>
        <w:spacing w:line="360" w:lineRule="auto"/>
        <w:ind w:firstLine="640" w:firstLineChars="200"/>
        <w:rPr>
          <w:rFonts w:ascii="仿宋" w:hAnsi="仿宋" w:eastAsia="仿宋"/>
          <w:sz w:val="32"/>
          <w:szCs w:val="32"/>
        </w:rPr>
      </w:pPr>
      <w:r>
        <w:rPr>
          <w:rFonts w:hint="eastAsia" w:ascii="仿宋" w:hAnsi="仿宋" w:eastAsia="仿宋"/>
          <w:sz w:val="32"/>
          <w:szCs w:val="32"/>
        </w:rPr>
        <w:t>2020年本级决算支出为1572.96万元，其中基本支出681.66万元，项目支出891.3万元；基本支出中，工资福利支出660.61万元，商品和服务支出21.05万元，对个人和家庭补助0万元。</w:t>
      </w:r>
    </w:p>
    <w:p>
      <w:pPr>
        <w:widowControl/>
        <w:spacing w:line="360" w:lineRule="auto"/>
        <w:ind w:firstLine="640" w:firstLineChars="200"/>
        <w:rPr>
          <w:rFonts w:ascii="仿宋" w:hAnsi="仿宋" w:eastAsia="仿宋"/>
          <w:sz w:val="32"/>
          <w:szCs w:val="32"/>
        </w:rPr>
      </w:pPr>
      <w:r>
        <w:rPr>
          <w:rFonts w:hint="eastAsia" w:ascii="仿宋" w:hAnsi="仿宋" w:eastAsia="仿宋"/>
          <w:sz w:val="32"/>
          <w:szCs w:val="32"/>
        </w:rPr>
        <w:t>（二）部门预算决算收支情况</w:t>
      </w:r>
    </w:p>
    <w:p>
      <w:pPr>
        <w:widowControl/>
        <w:spacing w:line="360" w:lineRule="auto"/>
        <w:ind w:firstLine="640" w:firstLineChars="200"/>
        <w:rPr>
          <w:rFonts w:ascii="仿宋" w:hAnsi="仿宋" w:eastAsia="仿宋"/>
          <w:sz w:val="32"/>
          <w:szCs w:val="32"/>
        </w:rPr>
      </w:pPr>
      <w:r>
        <w:rPr>
          <w:rFonts w:hint="eastAsia" w:ascii="仿宋" w:hAnsi="仿宋" w:eastAsia="仿宋"/>
          <w:sz w:val="32"/>
          <w:szCs w:val="32"/>
        </w:rPr>
        <w:t>2020年本级年初预算收入727.3万元，年终决算收入1305.9万元，比年初预算增加578.6万元，主要是机构改革人员增加和加大扶贫工作力度；2020年年初预算支出727.3万元，年终决算支出1572.96万元，比年初预算增加845.66万元，主要是机构改革人员增加和加大扶贫工作力度。</w:t>
      </w:r>
    </w:p>
    <w:p>
      <w:pPr>
        <w:widowControl/>
        <w:spacing w:line="360" w:lineRule="auto"/>
        <w:ind w:firstLine="640" w:firstLineChars="200"/>
        <w:rPr>
          <w:rFonts w:ascii="仿宋" w:hAnsi="仿宋" w:eastAsia="仿宋"/>
          <w:sz w:val="32"/>
          <w:szCs w:val="32"/>
        </w:rPr>
      </w:pPr>
      <w:r>
        <w:rPr>
          <w:rFonts w:ascii="仿宋" w:hAnsi="仿宋" w:eastAsia="仿宋"/>
          <w:sz w:val="32"/>
          <w:szCs w:val="32"/>
        </w:rPr>
        <w:t>财政拨款支出按功能科目分</w:t>
      </w:r>
      <w:r>
        <w:rPr>
          <w:rFonts w:hint="eastAsia" w:ascii="仿宋" w:hAnsi="仿宋" w:eastAsia="仿宋"/>
          <w:sz w:val="32"/>
          <w:szCs w:val="32"/>
        </w:rPr>
        <w:t>:</w:t>
      </w:r>
      <w:r>
        <w:rPr>
          <w:rFonts w:ascii="仿宋" w:hAnsi="仿宋" w:eastAsia="仿宋"/>
          <w:sz w:val="32"/>
          <w:szCs w:val="32"/>
        </w:rPr>
        <w:t>一般公共服务支出</w:t>
      </w:r>
      <w:r>
        <w:rPr>
          <w:rFonts w:hint="eastAsia" w:ascii="宋体" w:hAnsi="宋体" w:cs="宋体"/>
          <w:sz w:val="32"/>
          <w:szCs w:val="32"/>
        </w:rPr>
        <w:t>1392.69</w:t>
      </w:r>
      <w:r>
        <w:rPr>
          <w:rFonts w:ascii="仿宋" w:hAnsi="仿宋" w:eastAsia="仿宋"/>
          <w:sz w:val="32"/>
          <w:szCs w:val="32"/>
        </w:rPr>
        <w:t>万元，占本年</w:t>
      </w:r>
      <w:r>
        <w:rPr>
          <w:rFonts w:hint="eastAsia" w:ascii="仿宋" w:hAnsi="仿宋" w:eastAsia="仿宋"/>
          <w:sz w:val="32"/>
          <w:szCs w:val="32"/>
        </w:rPr>
        <w:t>本年</w:t>
      </w:r>
      <w:r>
        <w:rPr>
          <w:rFonts w:ascii="仿宋" w:hAnsi="仿宋" w:eastAsia="仿宋"/>
          <w:sz w:val="32"/>
          <w:szCs w:val="32"/>
        </w:rPr>
        <w:t>支出的</w:t>
      </w:r>
      <w:r>
        <w:rPr>
          <w:rFonts w:hint="eastAsia" w:ascii="仿宋" w:hAnsi="仿宋" w:eastAsia="仿宋"/>
          <w:sz w:val="32"/>
          <w:szCs w:val="32"/>
        </w:rPr>
        <w:t>88.5</w:t>
      </w:r>
      <w:r>
        <w:rPr>
          <w:rFonts w:ascii="仿宋" w:hAnsi="仿宋" w:eastAsia="仿宋"/>
          <w:sz w:val="32"/>
          <w:szCs w:val="32"/>
        </w:rPr>
        <w:t>%；社会保障和就业支出</w:t>
      </w:r>
      <w:r>
        <w:rPr>
          <w:rFonts w:hint="eastAsia" w:ascii="宋体" w:hAnsi="宋体" w:cs="宋体"/>
          <w:sz w:val="32"/>
          <w:szCs w:val="32"/>
        </w:rPr>
        <w:t>124.85</w:t>
      </w:r>
      <w:r>
        <w:rPr>
          <w:rFonts w:ascii="仿宋" w:hAnsi="仿宋" w:eastAsia="仿宋"/>
          <w:sz w:val="32"/>
          <w:szCs w:val="32"/>
        </w:rPr>
        <w:t>万元，占本年支出的</w:t>
      </w:r>
      <w:r>
        <w:rPr>
          <w:rFonts w:hint="eastAsia" w:ascii="仿宋" w:hAnsi="仿宋" w:eastAsia="仿宋"/>
          <w:sz w:val="32"/>
          <w:szCs w:val="32"/>
        </w:rPr>
        <w:t>8</w:t>
      </w:r>
      <w:r>
        <w:rPr>
          <w:rFonts w:ascii="仿宋" w:hAnsi="仿宋" w:eastAsia="仿宋"/>
          <w:sz w:val="32"/>
          <w:szCs w:val="32"/>
        </w:rPr>
        <w:t>%；医疗卫生与计划生育支出</w:t>
      </w:r>
      <w:r>
        <w:rPr>
          <w:rFonts w:hint="eastAsia" w:ascii="宋体" w:hAnsi="宋体" w:cs="宋体"/>
          <w:sz w:val="32"/>
          <w:szCs w:val="32"/>
        </w:rPr>
        <w:t>18.11</w:t>
      </w:r>
      <w:r>
        <w:rPr>
          <w:rFonts w:ascii="仿宋" w:hAnsi="仿宋" w:eastAsia="仿宋"/>
          <w:sz w:val="32"/>
          <w:szCs w:val="32"/>
        </w:rPr>
        <w:t>万元，占本年支出的</w:t>
      </w: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住房保障支出</w:t>
      </w:r>
      <w:r>
        <w:rPr>
          <w:rFonts w:hint="eastAsia" w:ascii="宋体" w:hAnsi="宋体" w:cs="宋体"/>
          <w:sz w:val="32"/>
          <w:szCs w:val="32"/>
        </w:rPr>
        <w:t>37.31</w:t>
      </w:r>
      <w:r>
        <w:rPr>
          <w:rFonts w:hint="eastAsia" w:ascii="仿宋" w:hAnsi="仿宋" w:eastAsia="仿宋"/>
          <w:sz w:val="32"/>
          <w:szCs w:val="32"/>
        </w:rPr>
        <w:t>万元，占本年支出的2.3%。</w:t>
      </w:r>
    </w:p>
    <w:p>
      <w:pPr>
        <w:widowControl/>
        <w:spacing w:line="360" w:lineRule="auto"/>
        <w:ind w:firstLine="640" w:firstLineChars="200"/>
        <w:rPr>
          <w:rFonts w:ascii="Times New Roman" w:hAnsi="Times New Roman" w:eastAsia="仿宋_GB2312"/>
          <w:color w:val="222222"/>
          <w:kern w:val="0"/>
          <w:sz w:val="32"/>
          <w:szCs w:val="32"/>
        </w:rPr>
      </w:pPr>
      <w:r>
        <w:rPr>
          <w:rFonts w:ascii="Times New Roman" w:hAnsi="Times New Roman" w:eastAsia="仿宋_GB2312"/>
          <w:color w:val="222222"/>
          <w:kern w:val="0"/>
          <w:sz w:val="32"/>
          <w:szCs w:val="32"/>
        </w:rPr>
        <w:t>（三） “三公经费”支出使用和管理情况</w:t>
      </w:r>
    </w:p>
    <w:p>
      <w:pPr>
        <w:widowControl/>
        <w:spacing w:line="360" w:lineRule="auto"/>
        <w:ind w:firstLine="200"/>
        <w:rPr>
          <w:rFonts w:ascii="仿宋" w:hAnsi="仿宋" w:eastAsia="仿宋"/>
          <w:color w:val="222222"/>
          <w:kern w:val="0"/>
          <w:sz w:val="32"/>
          <w:szCs w:val="32"/>
        </w:rPr>
      </w:pPr>
      <w:r>
        <w:rPr>
          <w:rFonts w:hint="eastAsia" w:ascii="Times New Roman" w:hAnsi="Times New Roman" w:eastAsia="仿宋_GB2312"/>
          <w:color w:val="222222"/>
          <w:kern w:val="0"/>
          <w:sz w:val="32"/>
          <w:szCs w:val="32"/>
        </w:rPr>
        <w:t xml:space="preserve">    </w:t>
      </w:r>
      <w:r>
        <w:rPr>
          <w:rFonts w:hint="eastAsia" w:ascii="仿宋" w:hAnsi="仿宋" w:eastAsia="仿宋"/>
          <w:color w:val="222222"/>
          <w:kern w:val="0"/>
          <w:sz w:val="32"/>
          <w:szCs w:val="32"/>
        </w:rPr>
        <w:t>2020年本级三公经费年初算18万元，其中：公车运行及维护10万元，公务接待8万元；年终决算三公经费18万元，与预算持平，比上年23万元减少22%，其中：公车运行及维护10万元，比上年决算15万元减少5万元，公务接待8万元，与上年持平，主要是严格执行中央</w:t>
      </w:r>
      <w:bookmarkStart w:id="0" w:name="_GoBack"/>
      <w:bookmarkEnd w:id="0"/>
      <w:r>
        <w:rPr>
          <w:rFonts w:hint="eastAsia" w:ascii="仿宋" w:hAnsi="仿宋" w:eastAsia="仿宋"/>
          <w:color w:val="222222"/>
          <w:kern w:val="0"/>
          <w:sz w:val="32"/>
          <w:szCs w:val="32"/>
        </w:rPr>
        <w:t>八项规定及严格压缩非生产性开支。</w:t>
      </w:r>
    </w:p>
    <w:p>
      <w:pPr>
        <w:widowControl/>
        <w:spacing w:line="360" w:lineRule="auto"/>
        <w:ind w:firstLine="320" w:firstLineChars="100"/>
        <w:rPr>
          <w:rFonts w:ascii="黑体" w:hAnsi="黑体" w:eastAsia="黑体" w:cs="黑体"/>
          <w:color w:val="222222"/>
          <w:kern w:val="0"/>
          <w:sz w:val="32"/>
          <w:szCs w:val="32"/>
        </w:rPr>
      </w:pPr>
      <w:r>
        <w:rPr>
          <w:rFonts w:hint="eastAsia" w:ascii="黑体" w:hAnsi="黑体" w:eastAsia="黑体" w:cs="黑体"/>
          <w:color w:val="222222"/>
          <w:kern w:val="0"/>
          <w:sz w:val="32"/>
          <w:szCs w:val="32"/>
        </w:rPr>
        <w:t>三、部门绩效目标</w:t>
      </w:r>
    </w:p>
    <w:p>
      <w:pPr>
        <w:widowControl/>
        <w:spacing w:line="360" w:lineRule="auto"/>
        <w:ind w:firstLine="640" w:firstLineChars="200"/>
        <w:rPr>
          <w:rFonts w:ascii="Times New Roman" w:hAnsi="Times New Roman" w:eastAsia="仿宋_GB2312"/>
          <w:color w:val="222222"/>
          <w:kern w:val="0"/>
          <w:sz w:val="32"/>
          <w:szCs w:val="32"/>
        </w:rPr>
      </w:pPr>
      <w:r>
        <w:rPr>
          <w:rFonts w:ascii="Times New Roman" w:hAnsi="Times New Roman" w:eastAsia="仿宋_GB2312"/>
          <w:color w:val="222222"/>
          <w:kern w:val="0"/>
          <w:sz w:val="32"/>
          <w:szCs w:val="32"/>
        </w:rPr>
        <w:t>（一）部门绩效总目标</w:t>
      </w:r>
    </w:p>
    <w:p>
      <w:pPr>
        <w:widowControl/>
        <w:spacing w:line="360" w:lineRule="auto"/>
        <w:ind w:firstLine="640" w:firstLineChars="200"/>
        <w:rPr>
          <w:rFonts w:ascii="仿宋" w:hAnsi="仿宋" w:eastAsia="仿宋" w:cstheme="minorEastAsia"/>
          <w:color w:val="101010"/>
          <w:kern w:val="0"/>
          <w:sz w:val="32"/>
          <w:szCs w:val="32"/>
        </w:rPr>
      </w:pPr>
      <w:r>
        <w:rPr>
          <w:rFonts w:hint="eastAsia" w:ascii="仿宋" w:hAnsi="仿宋" w:eastAsia="仿宋" w:cstheme="minorEastAsia"/>
          <w:kern w:val="0"/>
          <w:sz w:val="32"/>
          <w:szCs w:val="32"/>
        </w:rPr>
        <w:t>1、服务全县经济发展，搜集、研究重要信息、动态，</w:t>
      </w:r>
      <w:r>
        <w:rPr>
          <w:rFonts w:hint="eastAsia" w:ascii="仿宋" w:hAnsi="仿宋" w:eastAsia="仿宋" w:cstheme="minorEastAsia"/>
          <w:color w:val="101010"/>
          <w:kern w:val="0"/>
          <w:sz w:val="32"/>
          <w:szCs w:val="32"/>
        </w:rPr>
        <w:t>为县委决策提供参考的建议方案。</w:t>
      </w:r>
    </w:p>
    <w:p>
      <w:pPr>
        <w:widowControl/>
        <w:spacing w:line="360" w:lineRule="auto"/>
        <w:ind w:firstLine="640" w:firstLineChars="200"/>
        <w:rPr>
          <w:rFonts w:ascii="仿宋" w:hAnsi="仿宋" w:eastAsia="仿宋" w:cstheme="minorEastAsia"/>
          <w:kern w:val="0"/>
          <w:sz w:val="32"/>
          <w:szCs w:val="32"/>
        </w:rPr>
      </w:pPr>
      <w:r>
        <w:rPr>
          <w:rFonts w:hint="eastAsia" w:ascii="仿宋" w:hAnsi="仿宋" w:eastAsia="仿宋" w:cstheme="minorEastAsia"/>
          <w:kern w:val="0"/>
          <w:sz w:val="32"/>
          <w:szCs w:val="32"/>
        </w:rPr>
        <w:t>2、办理各类公文，负责有关会议的组织工作，督促有关事项的落实。</w:t>
      </w:r>
    </w:p>
    <w:p>
      <w:pPr>
        <w:widowControl/>
        <w:spacing w:line="360" w:lineRule="auto"/>
        <w:ind w:firstLine="640" w:firstLineChars="200"/>
        <w:rPr>
          <w:rFonts w:ascii="仿宋" w:hAnsi="仿宋" w:eastAsia="仿宋"/>
          <w:color w:val="222222"/>
          <w:kern w:val="0"/>
          <w:sz w:val="32"/>
          <w:szCs w:val="32"/>
        </w:rPr>
      </w:pPr>
      <w:r>
        <w:rPr>
          <w:rFonts w:hint="eastAsia" w:ascii="仿宋" w:hAnsi="仿宋" w:eastAsia="仿宋" w:cstheme="minorEastAsia"/>
          <w:kern w:val="0"/>
          <w:sz w:val="32"/>
          <w:szCs w:val="32"/>
        </w:rPr>
        <w:t>3、加强财务管理及资产管理，降低行政成本。完善机关有关制度。</w:t>
      </w:r>
    </w:p>
    <w:p>
      <w:pPr>
        <w:widowControl/>
        <w:spacing w:line="360" w:lineRule="auto"/>
        <w:ind w:firstLine="640" w:firstLineChars="200"/>
        <w:rPr>
          <w:rFonts w:ascii="Times New Roman" w:hAnsi="Times New Roman" w:eastAsia="仿宋_GB2312"/>
          <w:color w:val="222222"/>
          <w:kern w:val="0"/>
          <w:sz w:val="32"/>
          <w:szCs w:val="32"/>
        </w:rPr>
      </w:pPr>
      <w:r>
        <w:rPr>
          <w:rFonts w:ascii="Times New Roman" w:hAnsi="Times New Roman" w:eastAsia="仿宋_GB2312"/>
          <w:color w:val="222222"/>
          <w:kern w:val="0"/>
          <w:sz w:val="32"/>
          <w:szCs w:val="32"/>
        </w:rPr>
        <w:t>（二）201</w:t>
      </w:r>
      <w:r>
        <w:rPr>
          <w:rFonts w:hint="eastAsia" w:ascii="Times New Roman" w:hAnsi="Times New Roman" w:eastAsia="仿宋_GB2312"/>
          <w:color w:val="222222"/>
          <w:kern w:val="0"/>
          <w:sz w:val="32"/>
          <w:szCs w:val="32"/>
        </w:rPr>
        <w:t>9</w:t>
      </w:r>
      <w:r>
        <w:rPr>
          <w:rFonts w:ascii="Times New Roman" w:hAnsi="Times New Roman" w:eastAsia="仿宋_GB2312"/>
          <w:color w:val="222222"/>
          <w:kern w:val="0"/>
          <w:sz w:val="32"/>
          <w:szCs w:val="32"/>
        </w:rPr>
        <w:t>年度部门绩效目标</w:t>
      </w:r>
    </w:p>
    <w:p>
      <w:pPr>
        <w:spacing w:line="360" w:lineRule="auto"/>
        <w:ind w:firstLine="640" w:firstLineChars="200"/>
        <w:rPr>
          <w:rFonts w:ascii="仿宋" w:hAnsi="仿宋" w:eastAsia="仿宋" w:cstheme="minorEastAsia"/>
          <w:kern w:val="0"/>
          <w:sz w:val="32"/>
          <w:szCs w:val="32"/>
        </w:rPr>
      </w:pPr>
      <w:r>
        <w:rPr>
          <w:rFonts w:hint="eastAsia" w:ascii="仿宋" w:hAnsi="仿宋" w:eastAsia="仿宋" w:cstheme="minorEastAsia"/>
          <w:sz w:val="32"/>
          <w:szCs w:val="32"/>
        </w:rPr>
        <w:t>1</w:t>
      </w:r>
      <w:r>
        <w:rPr>
          <w:rFonts w:hint="eastAsia" w:ascii="仿宋" w:hAnsi="仿宋" w:eastAsia="仿宋" w:cstheme="minorEastAsia"/>
          <w:kern w:val="0"/>
          <w:sz w:val="32"/>
          <w:szCs w:val="32"/>
        </w:rPr>
        <w:t>、</w:t>
      </w:r>
      <w:r>
        <w:rPr>
          <w:rFonts w:hint="eastAsia" w:ascii="仿宋" w:hAnsi="仿宋" w:eastAsia="仿宋" w:cstheme="minorEastAsia"/>
          <w:sz w:val="32"/>
          <w:szCs w:val="32"/>
        </w:rPr>
        <w:t>产出指标</w:t>
      </w:r>
    </w:p>
    <w:p>
      <w:pPr>
        <w:spacing w:line="360" w:lineRule="auto"/>
        <w:ind w:firstLine="640" w:firstLineChars="200"/>
        <w:rPr>
          <w:rFonts w:ascii="仿宋" w:hAnsi="仿宋" w:eastAsia="仿宋" w:cstheme="minorEastAsia"/>
          <w:kern w:val="0"/>
          <w:sz w:val="32"/>
          <w:szCs w:val="32"/>
        </w:rPr>
      </w:pPr>
      <w:r>
        <w:rPr>
          <w:rFonts w:ascii="仿宋" w:hAnsi="仿宋" w:eastAsia="仿宋" w:cstheme="minorEastAsia"/>
          <w:kern w:val="0"/>
          <w:sz w:val="32"/>
          <w:szCs w:val="32"/>
        </w:rPr>
        <w:fldChar w:fldCharType="begin"/>
      </w:r>
      <w:r>
        <w:rPr>
          <w:rFonts w:ascii="仿宋" w:hAnsi="仿宋" w:eastAsia="仿宋" w:cstheme="minorEastAsia"/>
          <w:kern w:val="0"/>
          <w:sz w:val="32"/>
          <w:szCs w:val="32"/>
        </w:rPr>
        <w:instrText xml:space="preserve"> </w:instrText>
      </w:r>
      <w:r>
        <w:rPr>
          <w:rFonts w:hint="eastAsia" w:ascii="仿宋" w:hAnsi="仿宋" w:eastAsia="仿宋" w:cstheme="minorEastAsia"/>
          <w:kern w:val="0"/>
          <w:sz w:val="32"/>
          <w:szCs w:val="32"/>
        </w:rPr>
        <w:instrText xml:space="preserve">= 1 \* GB3</w:instrText>
      </w:r>
      <w:r>
        <w:rPr>
          <w:rFonts w:ascii="仿宋" w:hAnsi="仿宋" w:eastAsia="仿宋" w:cstheme="minorEastAsia"/>
          <w:kern w:val="0"/>
          <w:sz w:val="32"/>
          <w:szCs w:val="32"/>
        </w:rPr>
        <w:instrText xml:space="preserve"> </w:instrText>
      </w:r>
      <w:r>
        <w:rPr>
          <w:rFonts w:ascii="仿宋" w:hAnsi="仿宋" w:eastAsia="仿宋" w:cstheme="minorEastAsia"/>
          <w:kern w:val="0"/>
          <w:sz w:val="32"/>
          <w:szCs w:val="32"/>
        </w:rPr>
        <w:fldChar w:fldCharType="separate"/>
      </w:r>
      <w:r>
        <w:rPr>
          <w:rFonts w:hint="eastAsia" w:ascii="仿宋" w:hAnsi="仿宋" w:eastAsia="仿宋" w:cstheme="minorEastAsia"/>
          <w:kern w:val="0"/>
          <w:sz w:val="32"/>
          <w:szCs w:val="32"/>
        </w:rPr>
        <w:t>①</w:t>
      </w:r>
      <w:r>
        <w:rPr>
          <w:rFonts w:ascii="仿宋" w:hAnsi="仿宋" w:eastAsia="仿宋" w:cstheme="minorEastAsia"/>
          <w:kern w:val="0"/>
          <w:sz w:val="32"/>
          <w:szCs w:val="32"/>
        </w:rPr>
        <w:fldChar w:fldCharType="end"/>
      </w:r>
      <w:r>
        <w:rPr>
          <w:rFonts w:hint="eastAsia" w:ascii="仿宋" w:hAnsi="仿宋" w:eastAsia="仿宋" w:cstheme="minorEastAsia"/>
          <w:kern w:val="0"/>
          <w:sz w:val="32"/>
          <w:szCs w:val="32"/>
        </w:rPr>
        <w:t>数量指标：提供全县经济发展动态信息30条；</w:t>
      </w:r>
    </w:p>
    <w:p>
      <w:pPr>
        <w:spacing w:line="360" w:lineRule="auto"/>
        <w:ind w:firstLine="640" w:firstLineChars="200"/>
        <w:rPr>
          <w:rFonts w:ascii="仿宋" w:hAnsi="仿宋" w:eastAsia="仿宋" w:cstheme="minorEastAsia"/>
          <w:kern w:val="0"/>
          <w:sz w:val="32"/>
          <w:szCs w:val="32"/>
        </w:rPr>
      </w:pPr>
      <w:r>
        <w:rPr>
          <w:rFonts w:hint="eastAsia" w:ascii="仿宋" w:hAnsi="仿宋" w:eastAsia="仿宋" w:cstheme="minorEastAsia"/>
          <w:kern w:val="0"/>
          <w:sz w:val="32"/>
          <w:szCs w:val="32"/>
        </w:rPr>
        <w:t>为县委决策提供参考建议20项；</w:t>
      </w:r>
    </w:p>
    <w:p>
      <w:pPr>
        <w:spacing w:line="360" w:lineRule="auto"/>
        <w:ind w:firstLine="640" w:firstLineChars="200"/>
        <w:jc w:val="left"/>
        <w:rPr>
          <w:rFonts w:ascii="仿宋" w:hAnsi="仿宋" w:eastAsia="仿宋" w:cstheme="minorEastAsia"/>
          <w:kern w:val="0"/>
          <w:sz w:val="32"/>
          <w:szCs w:val="32"/>
        </w:rPr>
      </w:pPr>
      <w:r>
        <w:rPr>
          <w:rFonts w:hint="eastAsia" w:ascii="仿宋" w:hAnsi="仿宋" w:eastAsia="仿宋" w:cstheme="minorEastAsia"/>
          <w:kern w:val="0"/>
          <w:sz w:val="32"/>
          <w:szCs w:val="32"/>
        </w:rPr>
        <w:t>组织对县直单位各项工作考核15大项；</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全面建成小康社会总体实现程度90%以上；</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全年办文办会10次。</w:t>
      </w:r>
    </w:p>
    <w:p>
      <w:pPr>
        <w:spacing w:line="360" w:lineRule="auto"/>
        <w:ind w:firstLine="640" w:firstLineChars="200"/>
        <w:jc w:val="left"/>
        <w:rPr>
          <w:rFonts w:ascii="仿宋" w:hAnsi="仿宋" w:eastAsia="仿宋" w:cstheme="minorEastAsia"/>
          <w:kern w:val="0"/>
          <w:sz w:val="32"/>
          <w:szCs w:val="32"/>
        </w:rPr>
      </w:pPr>
      <w:r>
        <w:rPr>
          <w:rFonts w:ascii="仿宋" w:hAnsi="仿宋" w:eastAsia="仿宋" w:cstheme="minorEastAsia"/>
          <w:kern w:val="0"/>
          <w:sz w:val="32"/>
          <w:szCs w:val="32"/>
        </w:rPr>
        <w:fldChar w:fldCharType="begin"/>
      </w:r>
      <w:r>
        <w:rPr>
          <w:rFonts w:ascii="仿宋" w:hAnsi="仿宋" w:eastAsia="仿宋" w:cstheme="minorEastAsia"/>
          <w:kern w:val="0"/>
          <w:sz w:val="32"/>
          <w:szCs w:val="32"/>
        </w:rPr>
        <w:instrText xml:space="preserve"> </w:instrText>
      </w:r>
      <w:r>
        <w:rPr>
          <w:rFonts w:hint="eastAsia" w:ascii="仿宋" w:hAnsi="仿宋" w:eastAsia="仿宋" w:cstheme="minorEastAsia"/>
          <w:kern w:val="0"/>
          <w:sz w:val="32"/>
          <w:szCs w:val="32"/>
        </w:rPr>
        <w:instrText xml:space="preserve">= 2 \* GB3</w:instrText>
      </w:r>
      <w:r>
        <w:rPr>
          <w:rFonts w:ascii="仿宋" w:hAnsi="仿宋" w:eastAsia="仿宋" w:cstheme="minorEastAsia"/>
          <w:kern w:val="0"/>
          <w:sz w:val="32"/>
          <w:szCs w:val="32"/>
        </w:rPr>
        <w:instrText xml:space="preserve"> </w:instrText>
      </w:r>
      <w:r>
        <w:rPr>
          <w:rFonts w:ascii="仿宋" w:hAnsi="仿宋" w:eastAsia="仿宋" w:cstheme="minorEastAsia"/>
          <w:kern w:val="0"/>
          <w:sz w:val="32"/>
          <w:szCs w:val="32"/>
        </w:rPr>
        <w:fldChar w:fldCharType="separate"/>
      </w:r>
      <w:r>
        <w:rPr>
          <w:rFonts w:hint="eastAsia" w:ascii="仿宋" w:hAnsi="仿宋" w:eastAsia="仿宋" w:cstheme="minorEastAsia"/>
          <w:kern w:val="0"/>
          <w:sz w:val="32"/>
          <w:szCs w:val="32"/>
        </w:rPr>
        <w:t>②</w:t>
      </w:r>
      <w:r>
        <w:rPr>
          <w:rFonts w:ascii="仿宋" w:hAnsi="仿宋" w:eastAsia="仿宋" w:cstheme="minorEastAsia"/>
          <w:kern w:val="0"/>
          <w:sz w:val="32"/>
          <w:szCs w:val="32"/>
        </w:rPr>
        <w:fldChar w:fldCharType="end"/>
      </w:r>
      <w:r>
        <w:rPr>
          <w:rFonts w:hint="eastAsia" w:ascii="仿宋" w:hAnsi="仿宋" w:eastAsia="仿宋" w:cstheme="minorEastAsia"/>
          <w:kern w:val="0"/>
          <w:sz w:val="32"/>
          <w:szCs w:val="32"/>
        </w:rPr>
        <w:t>质量指标：完成各项工作任务，认真调查研究、搞好综合协调，维护社会维定，各项工作完成率100%，全面完成县委县政府布置的工作任务。</w:t>
      </w:r>
    </w:p>
    <w:p>
      <w:pPr>
        <w:spacing w:line="360" w:lineRule="auto"/>
        <w:ind w:firstLine="640" w:firstLineChars="200"/>
        <w:jc w:val="left"/>
        <w:rPr>
          <w:rFonts w:ascii="仿宋" w:hAnsi="仿宋" w:eastAsia="仿宋" w:cstheme="minorEastAsia"/>
          <w:kern w:val="0"/>
          <w:sz w:val="32"/>
          <w:szCs w:val="32"/>
        </w:rPr>
      </w:pPr>
      <w:r>
        <w:rPr>
          <w:rFonts w:ascii="仿宋" w:hAnsi="仿宋" w:eastAsia="仿宋" w:cstheme="minorEastAsia"/>
          <w:kern w:val="0"/>
          <w:sz w:val="32"/>
          <w:szCs w:val="32"/>
        </w:rPr>
        <w:fldChar w:fldCharType="begin"/>
      </w:r>
      <w:r>
        <w:rPr>
          <w:rFonts w:ascii="仿宋" w:hAnsi="仿宋" w:eastAsia="仿宋" w:cstheme="minorEastAsia"/>
          <w:kern w:val="0"/>
          <w:sz w:val="32"/>
          <w:szCs w:val="32"/>
        </w:rPr>
        <w:instrText xml:space="preserve"> </w:instrText>
      </w:r>
      <w:r>
        <w:rPr>
          <w:rFonts w:hint="eastAsia" w:ascii="仿宋" w:hAnsi="仿宋" w:eastAsia="仿宋" w:cstheme="minorEastAsia"/>
          <w:kern w:val="0"/>
          <w:sz w:val="32"/>
          <w:szCs w:val="32"/>
        </w:rPr>
        <w:instrText xml:space="preserve">= 3 \* GB3</w:instrText>
      </w:r>
      <w:r>
        <w:rPr>
          <w:rFonts w:ascii="仿宋" w:hAnsi="仿宋" w:eastAsia="仿宋" w:cstheme="minorEastAsia"/>
          <w:kern w:val="0"/>
          <w:sz w:val="32"/>
          <w:szCs w:val="32"/>
        </w:rPr>
        <w:instrText xml:space="preserve"> </w:instrText>
      </w:r>
      <w:r>
        <w:rPr>
          <w:rFonts w:ascii="仿宋" w:hAnsi="仿宋" w:eastAsia="仿宋" w:cstheme="minorEastAsia"/>
          <w:kern w:val="0"/>
          <w:sz w:val="32"/>
          <w:szCs w:val="32"/>
        </w:rPr>
        <w:fldChar w:fldCharType="separate"/>
      </w:r>
      <w:r>
        <w:rPr>
          <w:rFonts w:hint="eastAsia" w:ascii="仿宋" w:hAnsi="仿宋" w:eastAsia="仿宋" w:cstheme="minorEastAsia"/>
          <w:kern w:val="0"/>
          <w:sz w:val="32"/>
          <w:szCs w:val="32"/>
        </w:rPr>
        <w:t>③</w:t>
      </w:r>
      <w:r>
        <w:rPr>
          <w:rFonts w:ascii="仿宋" w:hAnsi="仿宋" w:eastAsia="仿宋" w:cstheme="minorEastAsia"/>
          <w:kern w:val="0"/>
          <w:sz w:val="32"/>
          <w:szCs w:val="32"/>
        </w:rPr>
        <w:fldChar w:fldCharType="end"/>
      </w:r>
      <w:r>
        <w:rPr>
          <w:rFonts w:hint="eastAsia" w:ascii="仿宋" w:hAnsi="仿宋" w:eastAsia="仿宋" w:cstheme="minorEastAsia"/>
          <w:kern w:val="0"/>
          <w:sz w:val="32"/>
          <w:szCs w:val="32"/>
        </w:rPr>
        <w:t>时效指标：工资福利及退休费等人员经费发放及时到位；保证机关的正常运行和主要工作的正常开展。</w:t>
      </w:r>
    </w:p>
    <w:p>
      <w:pPr>
        <w:widowControl/>
        <w:spacing w:line="360" w:lineRule="auto"/>
        <w:ind w:firstLine="640" w:firstLineChars="200"/>
        <w:rPr>
          <w:rFonts w:ascii="仿宋" w:hAnsi="仿宋" w:eastAsia="仿宋" w:cstheme="minorEastAsia"/>
          <w:kern w:val="0"/>
          <w:sz w:val="32"/>
          <w:szCs w:val="32"/>
        </w:rPr>
      </w:pPr>
      <w:r>
        <w:rPr>
          <w:rFonts w:hint="eastAsia" w:ascii="仿宋" w:hAnsi="仿宋" w:eastAsia="仿宋" w:cstheme="minorEastAsia"/>
          <w:kern w:val="0"/>
          <w:sz w:val="32"/>
          <w:szCs w:val="32"/>
        </w:rPr>
        <w:t>成本指标：按预算数支出人员经费和公用经费，从严控制“三公”经费支出。</w:t>
      </w:r>
    </w:p>
    <w:p>
      <w:pPr>
        <w:widowControl/>
        <w:spacing w:line="360" w:lineRule="auto"/>
        <w:ind w:firstLine="640" w:firstLineChars="200"/>
        <w:rPr>
          <w:rFonts w:ascii="仿宋" w:hAnsi="仿宋" w:eastAsia="仿宋" w:cstheme="minorEastAsia"/>
          <w:sz w:val="32"/>
          <w:szCs w:val="32"/>
        </w:rPr>
      </w:pPr>
      <w:r>
        <w:rPr>
          <w:rFonts w:ascii="仿宋" w:hAnsi="仿宋" w:eastAsia="仿宋" w:cstheme="minorEastAsia"/>
          <w:kern w:val="0"/>
          <w:sz w:val="32"/>
          <w:szCs w:val="32"/>
        </w:rPr>
        <w:t>2</w:t>
      </w:r>
      <w:r>
        <w:rPr>
          <w:rFonts w:hint="eastAsia" w:ascii="仿宋" w:hAnsi="仿宋" w:eastAsia="仿宋" w:cstheme="minorEastAsia"/>
          <w:kern w:val="0"/>
          <w:sz w:val="32"/>
          <w:szCs w:val="32"/>
        </w:rPr>
        <w:t>、</w:t>
      </w:r>
      <w:r>
        <w:rPr>
          <w:rFonts w:hint="eastAsia" w:ascii="仿宋" w:hAnsi="仿宋" w:eastAsia="仿宋" w:cstheme="minorEastAsia"/>
          <w:sz w:val="32"/>
          <w:szCs w:val="32"/>
        </w:rPr>
        <w:t>效益指标</w:t>
      </w:r>
    </w:p>
    <w:p>
      <w:pPr>
        <w:spacing w:line="360" w:lineRule="auto"/>
        <w:ind w:firstLine="640" w:firstLineChars="200"/>
        <w:rPr>
          <w:rFonts w:ascii="仿宋" w:hAnsi="仿宋" w:eastAsia="仿宋" w:cstheme="minorEastAsia"/>
          <w:kern w:val="0"/>
          <w:sz w:val="32"/>
          <w:szCs w:val="32"/>
        </w:rPr>
      </w:pPr>
      <w:r>
        <w:rPr>
          <w:rFonts w:ascii="仿宋" w:hAnsi="仿宋" w:eastAsia="仿宋" w:cstheme="minorEastAsia"/>
          <w:kern w:val="0"/>
          <w:sz w:val="32"/>
          <w:szCs w:val="32"/>
        </w:rPr>
        <w:fldChar w:fldCharType="begin"/>
      </w:r>
      <w:r>
        <w:rPr>
          <w:rFonts w:ascii="仿宋" w:hAnsi="仿宋" w:eastAsia="仿宋" w:cstheme="minorEastAsia"/>
          <w:kern w:val="0"/>
          <w:sz w:val="32"/>
          <w:szCs w:val="32"/>
        </w:rPr>
        <w:instrText xml:space="preserve"> </w:instrText>
      </w:r>
      <w:r>
        <w:rPr>
          <w:rFonts w:hint="eastAsia" w:ascii="仿宋" w:hAnsi="仿宋" w:eastAsia="仿宋" w:cstheme="minorEastAsia"/>
          <w:kern w:val="0"/>
          <w:sz w:val="32"/>
          <w:szCs w:val="32"/>
        </w:rPr>
        <w:instrText xml:space="preserve">= 1 \* GB3</w:instrText>
      </w:r>
      <w:r>
        <w:rPr>
          <w:rFonts w:ascii="仿宋" w:hAnsi="仿宋" w:eastAsia="仿宋" w:cstheme="minorEastAsia"/>
          <w:kern w:val="0"/>
          <w:sz w:val="32"/>
          <w:szCs w:val="32"/>
        </w:rPr>
        <w:instrText xml:space="preserve"> </w:instrText>
      </w:r>
      <w:r>
        <w:rPr>
          <w:rFonts w:ascii="仿宋" w:hAnsi="仿宋" w:eastAsia="仿宋" w:cstheme="minorEastAsia"/>
          <w:kern w:val="0"/>
          <w:sz w:val="32"/>
          <w:szCs w:val="32"/>
        </w:rPr>
        <w:fldChar w:fldCharType="separate"/>
      </w:r>
      <w:r>
        <w:rPr>
          <w:rFonts w:hint="eastAsia" w:ascii="仿宋" w:hAnsi="仿宋" w:eastAsia="仿宋" w:cstheme="minorEastAsia"/>
          <w:kern w:val="0"/>
          <w:sz w:val="32"/>
          <w:szCs w:val="32"/>
        </w:rPr>
        <w:t>①</w:t>
      </w:r>
      <w:r>
        <w:rPr>
          <w:rFonts w:ascii="仿宋" w:hAnsi="仿宋" w:eastAsia="仿宋" w:cstheme="minorEastAsia"/>
          <w:kern w:val="0"/>
          <w:sz w:val="32"/>
          <w:szCs w:val="32"/>
        </w:rPr>
        <w:fldChar w:fldCharType="end"/>
      </w:r>
      <w:r>
        <w:rPr>
          <w:rFonts w:hint="eastAsia" w:ascii="仿宋" w:hAnsi="仿宋" w:eastAsia="仿宋" w:cstheme="minorEastAsia"/>
          <w:kern w:val="0"/>
          <w:sz w:val="32"/>
          <w:szCs w:val="32"/>
        </w:rPr>
        <w:t>经济效益指标：引进投资项目，接待来电、来信和来访，协调好各类突发事件，为全县经济发展提供良好的环境。</w:t>
      </w:r>
    </w:p>
    <w:p>
      <w:pPr>
        <w:spacing w:line="360" w:lineRule="auto"/>
        <w:ind w:firstLine="640" w:firstLineChars="200"/>
        <w:rPr>
          <w:rFonts w:ascii="仿宋" w:hAnsi="仿宋" w:eastAsia="仿宋" w:cstheme="minorEastAsia"/>
          <w:kern w:val="0"/>
          <w:sz w:val="32"/>
          <w:szCs w:val="32"/>
        </w:rPr>
      </w:pPr>
      <w:r>
        <w:rPr>
          <w:rFonts w:ascii="仿宋" w:hAnsi="仿宋" w:eastAsia="仿宋" w:cstheme="minorEastAsia"/>
          <w:kern w:val="0"/>
          <w:sz w:val="32"/>
          <w:szCs w:val="32"/>
        </w:rPr>
        <w:fldChar w:fldCharType="begin"/>
      </w:r>
      <w:r>
        <w:rPr>
          <w:rFonts w:ascii="仿宋" w:hAnsi="仿宋" w:eastAsia="仿宋" w:cstheme="minorEastAsia"/>
          <w:kern w:val="0"/>
          <w:sz w:val="32"/>
          <w:szCs w:val="32"/>
        </w:rPr>
        <w:instrText xml:space="preserve"> </w:instrText>
      </w:r>
      <w:r>
        <w:rPr>
          <w:rFonts w:hint="eastAsia" w:ascii="仿宋" w:hAnsi="仿宋" w:eastAsia="仿宋" w:cstheme="minorEastAsia"/>
          <w:kern w:val="0"/>
          <w:sz w:val="32"/>
          <w:szCs w:val="32"/>
        </w:rPr>
        <w:instrText xml:space="preserve">= 2 \* GB3</w:instrText>
      </w:r>
      <w:r>
        <w:rPr>
          <w:rFonts w:ascii="仿宋" w:hAnsi="仿宋" w:eastAsia="仿宋" w:cstheme="minorEastAsia"/>
          <w:kern w:val="0"/>
          <w:sz w:val="32"/>
          <w:szCs w:val="32"/>
        </w:rPr>
        <w:instrText xml:space="preserve"> </w:instrText>
      </w:r>
      <w:r>
        <w:rPr>
          <w:rFonts w:ascii="仿宋" w:hAnsi="仿宋" w:eastAsia="仿宋" w:cstheme="minorEastAsia"/>
          <w:kern w:val="0"/>
          <w:sz w:val="32"/>
          <w:szCs w:val="32"/>
        </w:rPr>
        <w:fldChar w:fldCharType="separate"/>
      </w:r>
      <w:r>
        <w:rPr>
          <w:rFonts w:hint="eastAsia" w:ascii="仿宋" w:hAnsi="仿宋" w:eastAsia="仿宋" w:cstheme="minorEastAsia"/>
          <w:kern w:val="0"/>
          <w:sz w:val="32"/>
          <w:szCs w:val="32"/>
        </w:rPr>
        <w:t>②</w:t>
      </w:r>
      <w:r>
        <w:rPr>
          <w:rFonts w:ascii="仿宋" w:hAnsi="仿宋" w:eastAsia="仿宋" w:cstheme="minorEastAsia"/>
          <w:kern w:val="0"/>
          <w:sz w:val="32"/>
          <w:szCs w:val="32"/>
        </w:rPr>
        <w:fldChar w:fldCharType="end"/>
      </w:r>
      <w:r>
        <w:rPr>
          <w:rFonts w:hint="eastAsia" w:ascii="仿宋" w:hAnsi="仿宋" w:eastAsia="仿宋" w:cstheme="minorEastAsia"/>
          <w:kern w:val="0"/>
          <w:sz w:val="32"/>
          <w:szCs w:val="32"/>
        </w:rPr>
        <w:t>社会效益指标：提升服务水平，提高办公速度，提高干部综合能力。</w:t>
      </w:r>
    </w:p>
    <w:p>
      <w:pPr>
        <w:spacing w:line="360" w:lineRule="auto"/>
        <w:ind w:firstLine="640" w:firstLineChars="200"/>
        <w:rPr>
          <w:rFonts w:ascii="仿宋" w:hAnsi="仿宋" w:eastAsia="仿宋" w:cstheme="minorEastAsia"/>
          <w:kern w:val="0"/>
          <w:sz w:val="32"/>
          <w:szCs w:val="32"/>
        </w:rPr>
      </w:pPr>
      <w:r>
        <w:rPr>
          <w:rFonts w:ascii="仿宋" w:hAnsi="仿宋" w:eastAsia="仿宋" w:cstheme="minorEastAsia"/>
          <w:kern w:val="0"/>
          <w:sz w:val="32"/>
          <w:szCs w:val="32"/>
        </w:rPr>
        <w:fldChar w:fldCharType="begin"/>
      </w:r>
      <w:r>
        <w:rPr>
          <w:rFonts w:ascii="仿宋" w:hAnsi="仿宋" w:eastAsia="仿宋" w:cstheme="minorEastAsia"/>
          <w:kern w:val="0"/>
          <w:sz w:val="32"/>
          <w:szCs w:val="32"/>
        </w:rPr>
        <w:instrText xml:space="preserve"> </w:instrText>
      </w:r>
      <w:r>
        <w:rPr>
          <w:rFonts w:hint="eastAsia" w:ascii="仿宋" w:hAnsi="仿宋" w:eastAsia="仿宋" w:cstheme="minorEastAsia"/>
          <w:kern w:val="0"/>
          <w:sz w:val="32"/>
          <w:szCs w:val="32"/>
        </w:rPr>
        <w:instrText xml:space="preserve">= 3 \* GB3</w:instrText>
      </w:r>
      <w:r>
        <w:rPr>
          <w:rFonts w:ascii="仿宋" w:hAnsi="仿宋" w:eastAsia="仿宋" w:cstheme="minorEastAsia"/>
          <w:kern w:val="0"/>
          <w:sz w:val="32"/>
          <w:szCs w:val="32"/>
        </w:rPr>
        <w:instrText xml:space="preserve"> </w:instrText>
      </w:r>
      <w:r>
        <w:rPr>
          <w:rFonts w:ascii="仿宋" w:hAnsi="仿宋" w:eastAsia="仿宋" w:cstheme="minorEastAsia"/>
          <w:kern w:val="0"/>
          <w:sz w:val="32"/>
          <w:szCs w:val="32"/>
        </w:rPr>
        <w:fldChar w:fldCharType="separate"/>
      </w:r>
      <w:r>
        <w:rPr>
          <w:rFonts w:hint="eastAsia" w:ascii="仿宋" w:hAnsi="仿宋" w:eastAsia="仿宋" w:cstheme="minorEastAsia"/>
          <w:kern w:val="0"/>
          <w:sz w:val="32"/>
          <w:szCs w:val="32"/>
        </w:rPr>
        <w:t>③</w:t>
      </w:r>
      <w:r>
        <w:rPr>
          <w:rFonts w:ascii="仿宋" w:hAnsi="仿宋" w:eastAsia="仿宋" w:cstheme="minorEastAsia"/>
          <w:kern w:val="0"/>
          <w:sz w:val="32"/>
          <w:szCs w:val="32"/>
        </w:rPr>
        <w:fldChar w:fldCharType="end"/>
      </w:r>
      <w:r>
        <w:rPr>
          <w:rFonts w:hint="eastAsia" w:ascii="仿宋" w:hAnsi="仿宋" w:eastAsia="仿宋" w:cstheme="minorEastAsia"/>
          <w:kern w:val="0"/>
          <w:sz w:val="32"/>
          <w:szCs w:val="32"/>
        </w:rPr>
        <w:t>行政效能指标：大力改进文风会风，加强经费及资产管理，降低行政成本。完善机关有关制度。</w:t>
      </w:r>
    </w:p>
    <w:p>
      <w:pPr>
        <w:widowControl/>
        <w:spacing w:line="360" w:lineRule="auto"/>
        <w:ind w:firstLine="640" w:firstLineChars="200"/>
        <w:rPr>
          <w:rFonts w:ascii="仿宋" w:hAnsi="仿宋" w:eastAsia="仿宋"/>
          <w:color w:val="222222"/>
          <w:kern w:val="0"/>
          <w:sz w:val="32"/>
          <w:szCs w:val="32"/>
        </w:rPr>
      </w:pPr>
      <w:r>
        <w:rPr>
          <w:rFonts w:ascii="仿宋" w:hAnsi="仿宋" w:eastAsia="仿宋" w:cstheme="minorEastAsia"/>
          <w:kern w:val="0"/>
          <w:sz w:val="32"/>
          <w:szCs w:val="32"/>
        </w:rPr>
        <w:fldChar w:fldCharType="begin"/>
      </w:r>
      <w:r>
        <w:rPr>
          <w:rFonts w:ascii="仿宋" w:hAnsi="仿宋" w:eastAsia="仿宋" w:cstheme="minorEastAsia"/>
          <w:kern w:val="0"/>
          <w:sz w:val="32"/>
          <w:szCs w:val="32"/>
        </w:rPr>
        <w:instrText xml:space="preserve"> </w:instrText>
      </w:r>
      <w:r>
        <w:rPr>
          <w:rFonts w:hint="eastAsia" w:ascii="仿宋" w:hAnsi="仿宋" w:eastAsia="仿宋" w:cstheme="minorEastAsia"/>
          <w:kern w:val="0"/>
          <w:sz w:val="32"/>
          <w:szCs w:val="32"/>
        </w:rPr>
        <w:instrText xml:space="preserve">= 4 \* GB3</w:instrText>
      </w:r>
      <w:r>
        <w:rPr>
          <w:rFonts w:ascii="仿宋" w:hAnsi="仿宋" w:eastAsia="仿宋" w:cstheme="minorEastAsia"/>
          <w:kern w:val="0"/>
          <w:sz w:val="32"/>
          <w:szCs w:val="32"/>
        </w:rPr>
        <w:instrText xml:space="preserve"> </w:instrText>
      </w:r>
      <w:r>
        <w:rPr>
          <w:rFonts w:ascii="仿宋" w:hAnsi="仿宋" w:eastAsia="仿宋" w:cstheme="minorEastAsia"/>
          <w:kern w:val="0"/>
          <w:sz w:val="32"/>
          <w:szCs w:val="32"/>
        </w:rPr>
        <w:fldChar w:fldCharType="separate"/>
      </w:r>
      <w:r>
        <w:rPr>
          <w:rFonts w:hint="eastAsia" w:ascii="仿宋" w:hAnsi="仿宋" w:eastAsia="仿宋" w:cstheme="minorEastAsia"/>
          <w:kern w:val="0"/>
          <w:sz w:val="32"/>
          <w:szCs w:val="32"/>
        </w:rPr>
        <w:t>④</w:t>
      </w:r>
      <w:r>
        <w:rPr>
          <w:rFonts w:ascii="仿宋" w:hAnsi="仿宋" w:eastAsia="仿宋" w:cstheme="minorEastAsia"/>
          <w:kern w:val="0"/>
          <w:sz w:val="32"/>
          <w:szCs w:val="32"/>
        </w:rPr>
        <w:fldChar w:fldCharType="end"/>
      </w:r>
      <w:r>
        <w:rPr>
          <w:rFonts w:hint="eastAsia" w:ascii="仿宋" w:hAnsi="仿宋" w:eastAsia="仿宋" w:cstheme="minorEastAsia"/>
          <w:kern w:val="0"/>
          <w:sz w:val="32"/>
          <w:szCs w:val="32"/>
        </w:rPr>
        <w:t>服务对象满意度指标：社会公众满意率达到90%以上。</w:t>
      </w:r>
    </w:p>
    <w:p>
      <w:pPr>
        <w:widowControl/>
        <w:spacing w:line="360" w:lineRule="auto"/>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四、绩效评价工作情况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财政部门的部署，并结合单位内部控制制度，我办相应地成立了绩效评价领导小组，由分管财务副主任担任组长，按照有关绩效评价体系的要求积极开展工作，对于开展的工作全程跟踪考核，运用量化指标细化管理，使花出去的每一笔钱合法合规。</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五、综合评价结果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1.服务参谋决策。</w:t>
      </w:r>
    </w:p>
    <w:p>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2.强化督查落实。</w:t>
      </w:r>
    </w:p>
    <w:p>
      <w:pPr>
        <w:spacing w:line="360" w:lineRule="auto"/>
        <w:ind w:firstLine="640" w:firstLineChars="200"/>
        <w:jc w:val="left"/>
        <w:rPr>
          <w:rFonts w:ascii="仿宋" w:hAnsi="仿宋" w:eastAsia="仿宋" w:cs="仿宋_GB2312"/>
          <w:sz w:val="32"/>
          <w:szCs w:val="32"/>
        </w:rPr>
      </w:pPr>
      <w:r>
        <w:rPr>
          <w:rFonts w:hint="eastAsia" w:ascii="仿宋" w:hAnsi="仿宋" w:eastAsia="仿宋" w:cs="宋体"/>
          <w:sz w:val="32"/>
          <w:szCs w:val="32"/>
        </w:rPr>
        <w:t>3.搞好综合协调。</w:t>
      </w:r>
    </w:p>
    <w:p>
      <w:pPr>
        <w:spacing w:line="360" w:lineRule="auto"/>
        <w:ind w:firstLine="640" w:firstLineChars="200"/>
        <w:rPr>
          <w:rFonts w:ascii="仿宋" w:hAnsi="仿宋" w:eastAsia="仿宋" w:cs="Times New Roman"/>
          <w:sz w:val="32"/>
          <w:szCs w:val="32"/>
        </w:rPr>
      </w:pPr>
      <w:r>
        <w:rPr>
          <w:rFonts w:hint="eastAsia" w:ascii="仿宋" w:hAnsi="仿宋" w:eastAsia="仿宋"/>
          <w:bCs/>
          <w:sz w:val="32"/>
          <w:szCs w:val="32"/>
        </w:rPr>
        <w:t>4.强化自身建设。</w:t>
      </w:r>
    </w:p>
    <w:p>
      <w:pPr>
        <w:spacing w:line="360" w:lineRule="auto"/>
        <w:ind w:firstLine="640" w:firstLineChars="200"/>
        <w:jc w:val="left"/>
        <w:rPr>
          <w:rFonts w:ascii="黑体" w:hAnsi="黑体" w:eastAsia="黑体" w:cs="黑体"/>
          <w:color w:val="222222"/>
          <w:kern w:val="0"/>
          <w:sz w:val="32"/>
          <w:szCs w:val="32"/>
        </w:rPr>
      </w:pPr>
      <w:r>
        <w:rPr>
          <w:rFonts w:hint="eastAsia" w:ascii="仿宋" w:hAnsi="仿宋" w:eastAsia="仿宋"/>
          <w:bCs/>
          <w:sz w:val="32"/>
          <w:szCs w:val="32"/>
        </w:rPr>
        <w:t>5.做好其他工作。</w:t>
      </w:r>
    </w:p>
    <w:p>
      <w:pPr>
        <w:widowControl/>
        <w:spacing w:line="360" w:lineRule="auto"/>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 xml:space="preserve">六、部门整体支出绩效情况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1.服务参谋决策。</w:t>
      </w:r>
      <w:r>
        <w:rPr>
          <w:rFonts w:hint="eastAsia" w:ascii="仿宋" w:hAnsi="仿宋" w:eastAsia="仿宋"/>
          <w:b/>
          <w:bCs/>
          <w:sz w:val="32"/>
          <w:szCs w:val="32"/>
        </w:rPr>
        <w:t>一是调查研究有新成效</w:t>
      </w:r>
      <w:r>
        <w:rPr>
          <w:rFonts w:hint="eastAsia" w:ascii="仿宋" w:hAnsi="仿宋" w:eastAsia="仿宋"/>
          <w:bCs/>
          <w:sz w:val="32"/>
          <w:szCs w:val="32"/>
        </w:rPr>
        <w:t>。</w:t>
      </w:r>
      <w:r>
        <w:rPr>
          <w:rFonts w:hint="eastAsia" w:ascii="仿宋" w:hAnsi="仿宋" w:eastAsia="仿宋"/>
          <w:sz w:val="32"/>
          <w:szCs w:val="32"/>
        </w:rPr>
        <w:t>重点围绕防汛抗疫、产业发展、公路“治</w:t>
      </w:r>
      <w:r>
        <w:rPr>
          <w:rFonts w:hint="eastAsia" w:ascii="仿宋" w:hAnsi="仿宋" w:eastAsia="仿宋"/>
          <w:bCs/>
          <w:sz w:val="32"/>
          <w:szCs w:val="32"/>
        </w:rPr>
        <w:t>超”、电打鱼整治、</w:t>
      </w:r>
      <w:r>
        <w:rPr>
          <w:rFonts w:hint="eastAsia" w:ascii="仿宋" w:hAnsi="仿宋" w:eastAsia="仿宋"/>
          <w:sz w:val="32"/>
          <w:szCs w:val="32"/>
        </w:rPr>
        <w:t>农民合作社、</w:t>
      </w:r>
      <w:r>
        <w:rPr>
          <w:rFonts w:hint="eastAsia" w:ascii="仿宋" w:hAnsi="仿宋" w:eastAsia="仿宋"/>
          <w:bCs/>
          <w:sz w:val="32"/>
          <w:szCs w:val="32"/>
        </w:rPr>
        <w:t>农村</w:t>
      </w:r>
      <w:r>
        <w:rPr>
          <w:rFonts w:ascii="仿宋" w:hAnsi="仿宋" w:eastAsia="仿宋"/>
          <w:bCs/>
          <w:sz w:val="32"/>
          <w:szCs w:val="32"/>
        </w:rPr>
        <w:t>宅基地和集体建设用地房地一体确权登记</w:t>
      </w:r>
      <w:r>
        <w:rPr>
          <w:rFonts w:hint="eastAsia" w:ascii="仿宋" w:hAnsi="仿宋" w:eastAsia="仿宋"/>
          <w:bCs/>
          <w:sz w:val="32"/>
          <w:szCs w:val="32"/>
        </w:rPr>
        <w:t>等热点难点开展</w:t>
      </w:r>
      <w:r>
        <w:rPr>
          <w:rFonts w:hint="eastAsia" w:ascii="仿宋" w:hAnsi="仿宋" w:eastAsia="仿宋"/>
          <w:sz w:val="32"/>
          <w:szCs w:val="32"/>
        </w:rPr>
        <w:t>专题调研，</w:t>
      </w:r>
      <w:r>
        <w:rPr>
          <w:rFonts w:hint="eastAsia" w:ascii="仿宋" w:hAnsi="仿宋" w:eastAsia="仿宋"/>
          <w:bCs/>
          <w:sz w:val="32"/>
          <w:szCs w:val="32"/>
        </w:rPr>
        <w:t>《打好精准组合拳 决胜防控阻击战》《做好“加减乘除”文章 大力优化营商环境》</w:t>
      </w:r>
      <w:r>
        <w:rPr>
          <w:rFonts w:hint="eastAsia" w:ascii="仿宋" w:hAnsi="仿宋" w:eastAsia="仿宋"/>
          <w:sz w:val="32"/>
          <w:szCs w:val="32"/>
        </w:rPr>
        <w:t>等多篇文章在市委《内参》《常德通讯》《自然资源通讯》上刊发，</w:t>
      </w:r>
      <w:r>
        <w:rPr>
          <w:rFonts w:hint="eastAsia" w:ascii="仿宋" w:hAnsi="仿宋" w:eastAsia="仿宋" w:cs="仿宋_GB2312"/>
          <w:sz w:val="32"/>
          <w:szCs w:val="32"/>
        </w:rPr>
        <w:t>撰写各类大型材料104篇（期）、56万余字，</w:t>
      </w:r>
      <w:r>
        <w:rPr>
          <w:rFonts w:hint="eastAsia" w:ascii="仿宋" w:hAnsi="仿宋" w:eastAsia="仿宋" w:cs="仿宋_GB2312"/>
          <w:b/>
          <w:sz w:val="32"/>
          <w:szCs w:val="32"/>
        </w:rPr>
        <w:t>三是信息报送有新局面。</w:t>
      </w:r>
      <w:r>
        <w:rPr>
          <w:rFonts w:ascii="仿宋" w:hAnsi="仿宋" w:eastAsia="仿宋" w:cs="仿宋_GB2312"/>
          <w:sz w:val="32"/>
          <w:szCs w:val="32"/>
        </w:rPr>
        <w:t>上报</w:t>
      </w:r>
      <w:r>
        <w:rPr>
          <w:rFonts w:hint="eastAsia" w:ascii="仿宋" w:hAnsi="仿宋" w:eastAsia="仿宋" w:cs="仿宋_GB2312"/>
          <w:sz w:val="32"/>
          <w:szCs w:val="32"/>
        </w:rPr>
        <w:t>信息</w:t>
      </w:r>
      <w:r>
        <w:rPr>
          <w:rFonts w:hint="eastAsia" w:ascii="仿宋" w:hAnsi="仿宋" w:eastAsia="仿宋"/>
          <w:sz w:val="32"/>
          <w:szCs w:val="32"/>
        </w:rPr>
        <w:t>510</w:t>
      </w:r>
      <w:r>
        <w:rPr>
          <w:rFonts w:ascii="仿宋" w:hAnsi="仿宋" w:eastAsia="仿宋"/>
          <w:sz w:val="32"/>
          <w:szCs w:val="32"/>
        </w:rPr>
        <w:t>篇，</w:t>
      </w:r>
      <w:r>
        <w:rPr>
          <w:rFonts w:hint="eastAsia" w:ascii="仿宋" w:hAnsi="仿宋" w:eastAsia="仿宋"/>
          <w:sz w:val="32"/>
          <w:szCs w:val="32"/>
        </w:rPr>
        <w:t>各级</w:t>
      </w:r>
      <w:r>
        <w:rPr>
          <w:rFonts w:ascii="仿宋" w:hAnsi="仿宋" w:eastAsia="仿宋"/>
          <w:sz w:val="32"/>
          <w:szCs w:val="32"/>
        </w:rPr>
        <w:t>采用</w:t>
      </w:r>
      <w:r>
        <w:rPr>
          <w:rFonts w:hint="eastAsia" w:ascii="仿宋" w:hAnsi="仿宋" w:eastAsia="仿宋"/>
          <w:sz w:val="32"/>
          <w:szCs w:val="32"/>
        </w:rPr>
        <w:t>87</w:t>
      </w:r>
      <w:r>
        <w:rPr>
          <w:rFonts w:ascii="仿宋" w:hAnsi="仿宋" w:eastAsia="仿宋"/>
          <w:sz w:val="32"/>
          <w:szCs w:val="32"/>
        </w:rPr>
        <w:t>篇，成绩</w:t>
      </w:r>
      <w:r>
        <w:rPr>
          <w:rFonts w:hint="eastAsia" w:ascii="仿宋" w:hAnsi="仿宋" w:eastAsia="仿宋"/>
          <w:sz w:val="32"/>
          <w:szCs w:val="32"/>
        </w:rPr>
        <w:t>占</w:t>
      </w:r>
      <w:r>
        <w:rPr>
          <w:rFonts w:ascii="仿宋" w:hAnsi="仿宋" w:eastAsia="仿宋"/>
          <w:sz w:val="32"/>
          <w:szCs w:val="32"/>
        </w:rPr>
        <w:t>居全市第二。</w:t>
      </w:r>
    </w:p>
    <w:p>
      <w:pPr>
        <w:spacing w:line="360" w:lineRule="auto"/>
        <w:ind w:firstLine="640" w:firstLineChars="200"/>
        <w:jc w:val="left"/>
        <w:rPr>
          <w:rFonts w:ascii="仿宋" w:hAnsi="仿宋" w:eastAsia="仿宋" w:cs="仿宋_GB2312"/>
          <w:color w:val="000000"/>
          <w:sz w:val="32"/>
          <w:szCs w:val="32"/>
        </w:rPr>
      </w:pPr>
      <w:r>
        <w:rPr>
          <w:rFonts w:hint="eastAsia" w:ascii="仿宋" w:hAnsi="仿宋" w:eastAsia="仿宋" w:cs="宋体"/>
          <w:sz w:val="32"/>
          <w:szCs w:val="32"/>
        </w:rPr>
        <w:t>2.强化督查落实。</w:t>
      </w:r>
      <w:r>
        <w:rPr>
          <w:rFonts w:hint="eastAsia" w:ascii="仿宋" w:hAnsi="仿宋" w:eastAsia="仿宋" w:cs="仿宋_GB2312"/>
          <w:color w:val="000000"/>
          <w:sz w:val="32"/>
          <w:szCs w:val="32"/>
        </w:rPr>
        <w:t>全年围绕巡视整改、疫情防控、禁捕退捕、脱贫攻坚、环境保护等重点工作开展专项督查10余次，常委会会议和议事协调会议议定事项督查13次，办理市委、县委主要领导批示件30余件。</w:t>
      </w:r>
    </w:p>
    <w:p>
      <w:pPr>
        <w:spacing w:line="360" w:lineRule="auto"/>
        <w:ind w:firstLine="640" w:firstLineChars="200"/>
        <w:jc w:val="left"/>
        <w:rPr>
          <w:rFonts w:ascii="仿宋" w:hAnsi="仿宋" w:eastAsia="仿宋" w:cs="仿宋_GB2312"/>
          <w:sz w:val="32"/>
          <w:szCs w:val="32"/>
        </w:rPr>
      </w:pPr>
      <w:r>
        <w:rPr>
          <w:rFonts w:hint="eastAsia" w:ascii="仿宋" w:hAnsi="仿宋" w:eastAsia="仿宋" w:cs="宋体"/>
          <w:sz w:val="32"/>
          <w:szCs w:val="32"/>
        </w:rPr>
        <w:t>3.搞好综合协调。</w:t>
      </w:r>
      <w:r>
        <w:rPr>
          <w:rFonts w:hint="eastAsia" w:ascii="仿宋" w:hAnsi="仿宋" w:eastAsia="仿宋" w:cs="宋体"/>
          <w:b/>
          <w:sz w:val="32"/>
          <w:szCs w:val="32"/>
        </w:rPr>
        <w:t>一是主动调度抓协调。</w:t>
      </w:r>
      <w:r>
        <w:rPr>
          <w:rFonts w:hint="eastAsia" w:ascii="仿宋" w:hAnsi="仿宋" w:eastAsia="仿宋" w:cs="宋体"/>
          <w:sz w:val="32"/>
          <w:szCs w:val="32"/>
        </w:rPr>
        <w:t>小康、改革工作</w:t>
      </w:r>
      <w:r>
        <w:rPr>
          <w:rFonts w:hint="eastAsia" w:ascii="仿宋" w:hAnsi="仿宋" w:eastAsia="仿宋" w:cs="仿宋_GB2312"/>
          <w:sz w:val="32"/>
          <w:szCs w:val="32"/>
        </w:rPr>
        <w:t>找准弱项短板，</w:t>
      </w:r>
      <w:r>
        <w:rPr>
          <w:rFonts w:hint="eastAsia" w:ascii="仿宋" w:hAnsi="仿宋" w:eastAsia="仿宋" w:cs="Times New Roman"/>
          <w:sz w:val="32"/>
          <w:szCs w:val="32"/>
        </w:rPr>
        <w:t>强化调度对接，动态督导跟踪，</w:t>
      </w:r>
      <w:r>
        <w:rPr>
          <w:rFonts w:hint="eastAsia" w:ascii="仿宋" w:hAnsi="仿宋" w:eastAsia="仿宋"/>
          <w:sz w:val="32"/>
          <w:szCs w:val="32"/>
        </w:rPr>
        <w:t>六大领域综合行政执法改革、医共体改革、老旧小区改造等重点改革推进有力，小康工作力争实现争夺“全面小康推进工作先进县”奖牌目标</w:t>
      </w:r>
      <w:r>
        <w:rPr>
          <w:rFonts w:hint="eastAsia" w:ascii="仿宋" w:hAnsi="仿宋" w:eastAsia="仿宋" w:cs="Times New Roman"/>
          <w:sz w:val="32"/>
          <w:szCs w:val="32"/>
        </w:rPr>
        <w:t>；</w:t>
      </w:r>
      <w:r>
        <w:rPr>
          <w:rFonts w:hint="eastAsia" w:ascii="仿宋" w:hAnsi="仿宋" w:eastAsia="仿宋" w:cs="仿宋_GB2312"/>
          <w:sz w:val="32"/>
          <w:szCs w:val="32"/>
        </w:rPr>
        <w:t>市绩效指标</w:t>
      </w:r>
      <w:r>
        <w:rPr>
          <w:rFonts w:hint="eastAsia" w:ascii="仿宋" w:hAnsi="仿宋" w:eastAsia="仿宋"/>
          <w:sz w:val="32"/>
          <w:szCs w:val="32"/>
        </w:rPr>
        <w:t>经常性调度，</w:t>
      </w:r>
      <w:r>
        <w:rPr>
          <w:rFonts w:hint="eastAsia" w:ascii="仿宋" w:hAnsi="仿宋" w:eastAsia="仿宋" w:cs="仿宋_GB2312"/>
          <w:sz w:val="32"/>
          <w:szCs w:val="32"/>
        </w:rPr>
        <w:t>县绩效评估工作高标准推进，</w:t>
      </w:r>
      <w:r>
        <w:rPr>
          <w:rFonts w:hint="eastAsia" w:ascii="仿宋" w:hAnsi="仿宋" w:eastAsia="仿宋"/>
          <w:kern w:val="0"/>
          <w:sz w:val="32"/>
          <w:szCs w:val="32"/>
        </w:rPr>
        <w:t>体现重考核工作实绩、推动高质量发展的导向</w:t>
      </w:r>
      <w:r>
        <w:rPr>
          <w:rFonts w:hint="eastAsia" w:ascii="仿宋" w:hAnsi="仿宋" w:eastAsia="仿宋" w:cs="仿宋_GB2312"/>
          <w:sz w:val="32"/>
          <w:szCs w:val="32"/>
        </w:rPr>
        <w:t>。</w:t>
      </w:r>
      <w:r>
        <w:rPr>
          <w:rFonts w:hint="eastAsia" w:ascii="仿宋" w:hAnsi="仿宋" w:eastAsia="仿宋" w:cs="宋体"/>
          <w:b/>
          <w:sz w:val="32"/>
          <w:szCs w:val="32"/>
        </w:rPr>
        <w:t>二是联络内外抓协调。</w:t>
      </w:r>
      <w:r>
        <w:rPr>
          <w:rFonts w:hint="eastAsia" w:ascii="仿宋" w:hAnsi="仿宋" w:eastAsia="仿宋" w:cs="仿宋_GB2312"/>
          <w:sz w:val="32"/>
          <w:szCs w:val="32"/>
        </w:rPr>
        <w:t>承办全县重大会议40余次，重点参与筹办全国阳光玫瑰葡萄标准化生产学术研讨会暨澧县第十五届葡萄节、首届全民健身运动会、全市项目建设流动现场会等大型活动。协调、调度全国政协副主席刘奇葆，省领导傅奎等国家、省市领导来澧调研20余次。</w:t>
      </w:r>
      <w:r>
        <w:rPr>
          <w:rFonts w:hint="eastAsia" w:ascii="仿宋" w:hAnsi="仿宋" w:eastAsia="仿宋" w:cs="宋体"/>
          <w:b/>
          <w:sz w:val="32"/>
          <w:szCs w:val="32"/>
        </w:rPr>
        <w:t>三是规范办文抓协调。</w:t>
      </w:r>
      <w:r>
        <w:rPr>
          <w:rFonts w:ascii="仿宋" w:hAnsi="仿宋" w:eastAsia="仿宋" w:cs="仿宋_GB2312"/>
          <w:sz w:val="32"/>
          <w:szCs w:val="32"/>
        </w:rPr>
        <w:t>下发文件22份</w:t>
      </w:r>
      <w:r>
        <w:rPr>
          <w:rFonts w:hint="eastAsia" w:ascii="仿宋" w:hAnsi="仿宋" w:eastAsia="仿宋" w:cs="仿宋_GB2312"/>
          <w:sz w:val="32"/>
          <w:szCs w:val="32"/>
        </w:rPr>
        <w:t>，</w:t>
      </w:r>
      <w:r>
        <w:rPr>
          <w:rFonts w:ascii="仿宋" w:hAnsi="仿宋" w:eastAsia="仿宋" w:cs="仿宋_GB2312"/>
          <w:sz w:val="32"/>
          <w:szCs w:val="32"/>
        </w:rPr>
        <w:t>编发县委常委会会议纪要18期、县委常委议事协调会议纪要12期，县委通报1期，各类文件电报690余份，</w:t>
      </w:r>
      <w:r>
        <w:rPr>
          <w:rFonts w:hint="eastAsia" w:ascii="仿宋" w:hAnsi="仿宋" w:eastAsia="仿宋"/>
          <w:bCs/>
          <w:sz w:val="32"/>
          <w:szCs w:val="32"/>
        </w:rPr>
        <w:t>报送党内专项报告</w:t>
      </w:r>
      <w:r>
        <w:rPr>
          <w:rFonts w:hint="eastAsia" w:ascii="仿宋" w:hAnsi="仿宋" w:eastAsia="仿宋" w:cs="宋体"/>
          <w:sz w:val="32"/>
          <w:szCs w:val="32"/>
        </w:rPr>
        <w:t>53期。</w:t>
      </w:r>
    </w:p>
    <w:p>
      <w:pPr>
        <w:spacing w:line="360" w:lineRule="auto"/>
        <w:ind w:firstLine="640" w:firstLineChars="200"/>
        <w:rPr>
          <w:rFonts w:ascii="仿宋" w:hAnsi="仿宋" w:eastAsia="仿宋" w:cs="Times New Roman"/>
          <w:sz w:val="32"/>
          <w:szCs w:val="32"/>
        </w:rPr>
      </w:pPr>
      <w:r>
        <w:rPr>
          <w:rFonts w:hint="eastAsia" w:ascii="仿宋" w:hAnsi="仿宋" w:eastAsia="仿宋"/>
          <w:bCs/>
          <w:sz w:val="32"/>
          <w:szCs w:val="32"/>
        </w:rPr>
        <w:t>4.强化自身建设。</w:t>
      </w:r>
      <w:r>
        <w:rPr>
          <w:rFonts w:hint="eastAsia" w:ascii="仿宋" w:hAnsi="仿宋" w:eastAsia="仿宋"/>
          <w:b/>
          <w:bCs/>
          <w:sz w:val="32"/>
          <w:szCs w:val="32"/>
        </w:rPr>
        <w:t>一是扎实开展党建工作。</w:t>
      </w:r>
      <w:r>
        <w:rPr>
          <w:rFonts w:hint="eastAsia" w:ascii="仿宋" w:hAnsi="仿宋" w:eastAsia="仿宋" w:cs="Times New Roman"/>
          <w:sz w:val="32"/>
          <w:szCs w:val="32"/>
        </w:rPr>
        <w:t>优化党组织架构，强化平台管理，发展预备党员1名，</w:t>
      </w:r>
      <w:r>
        <w:rPr>
          <w:rFonts w:hint="eastAsia" w:ascii="仿宋" w:hAnsi="仿宋" w:eastAsia="仿宋" w:cs="宋体"/>
          <w:sz w:val="32"/>
          <w:szCs w:val="32"/>
        </w:rPr>
        <w:t>支部“五化”量化评估均为满分，位居同类型党组织第一名。</w:t>
      </w:r>
      <w:r>
        <w:rPr>
          <w:rFonts w:hint="eastAsia" w:ascii="仿宋" w:hAnsi="仿宋" w:eastAsia="仿宋" w:cs="Times New Roman"/>
          <w:sz w:val="32"/>
          <w:szCs w:val="32"/>
        </w:rPr>
        <w:t>扎实开展</w:t>
      </w:r>
      <w:r>
        <w:rPr>
          <w:rFonts w:hint="eastAsia" w:ascii="仿宋" w:hAnsi="仿宋" w:eastAsia="仿宋" w:cs="宋体"/>
          <w:sz w:val="32"/>
          <w:szCs w:val="32"/>
        </w:rPr>
        <w:t>“主题党日”“三会一课”全年共开展主题党日11次，党员大会4次，支部书记上党课2次，专题民主生活会1次，重点学习党的十九大，十九届二中、三中、四中、五中全会精神以及习近平新时代中国特色社会主义思想，并通过</w:t>
      </w:r>
      <w:r>
        <w:rPr>
          <w:rFonts w:hint="eastAsia" w:ascii="仿宋" w:hAnsi="仿宋" w:eastAsia="仿宋" w:cs="仿宋_GB2312"/>
          <w:sz w:val="32"/>
          <w:szCs w:val="32"/>
        </w:rPr>
        <w:t>“写家书、诵家书、评家书”以及赴湘西十八洞村开展脱贫攻坚主题党日等活动，</w:t>
      </w:r>
      <w:r>
        <w:rPr>
          <w:rFonts w:hint="eastAsia" w:ascii="仿宋" w:hAnsi="仿宋" w:eastAsia="仿宋"/>
          <w:sz w:val="32"/>
          <w:szCs w:val="32"/>
        </w:rPr>
        <w:t>加强学习效果。</w:t>
      </w:r>
      <w:r>
        <w:rPr>
          <w:rFonts w:hint="eastAsia" w:ascii="仿宋" w:hAnsi="仿宋" w:eastAsia="仿宋"/>
          <w:b/>
          <w:bCs/>
          <w:sz w:val="32"/>
          <w:szCs w:val="32"/>
        </w:rPr>
        <w:t>二是扎实推动精神文明建设。</w:t>
      </w:r>
      <w:r>
        <w:rPr>
          <w:rFonts w:hint="eastAsia" w:ascii="仿宋" w:hAnsi="仿宋" w:eastAsia="仿宋" w:cs="宋体"/>
          <w:sz w:val="32"/>
          <w:szCs w:val="32"/>
        </w:rPr>
        <w:t>顺利通过了市级文明标兵单位复检。</w:t>
      </w:r>
      <w:r>
        <w:rPr>
          <w:rFonts w:hint="eastAsia" w:ascii="仿宋" w:hAnsi="仿宋" w:eastAsia="仿宋"/>
          <w:b/>
          <w:bCs/>
          <w:sz w:val="32"/>
          <w:szCs w:val="32"/>
        </w:rPr>
        <w:t>三是全力抓好意识形态工作。</w:t>
      </w:r>
      <w:r>
        <w:rPr>
          <w:rFonts w:hint="eastAsia" w:ascii="仿宋" w:hAnsi="仿宋" w:eastAsia="仿宋"/>
          <w:sz w:val="32"/>
          <w:szCs w:val="32"/>
        </w:rPr>
        <w:t>通过强化理论学习、开展理想信念教育、开展廉政警示教育、</w:t>
      </w:r>
      <w:r>
        <w:rPr>
          <w:rFonts w:hint="eastAsia" w:ascii="仿宋" w:hAnsi="仿宋" w:eastAsia="仿宋" w:cs="宋体"/>
          <w:sz w:val="32"/>
          <w:szCs w:val="32"/>
        </w:rPr>
        <w:t>谈话提醒等落实</w:t>
      </w:r>
      <w:r>
        <w:rPr>
          <w:rFonts w:hint="eastAsia" w:ascii="仿宋" w:hAnsi="仿宋" w:eastAsia="仿宋"/>
          <w:sz w:val="32"/>
          <w:szCs w:val="32"/>
        </w:rPr>
        <w:t>意识形态工作责任；</w:t>
      </w:r>
      <w:r>
        <w:rPr>
          <w:rFonts w:hint="eastAsia" w:ascii="仿宋" w:hAnsi="仿宋" w:eastAsia="仿宋" w:cs="宋体"/>
          <w:sz w:val="32"/>
          <w:szCs w:val="32"/>
        </w:rPr>
        <w:t>干部利用“学习强国”学习积极性增强，学分达到20000分以上的有10名。</w:t>
      </w:r>
      <w:r>
        <w:rPr>
          <w:rFonts w:hint="eastAsia" w:ascii="仿宋" w:hAnsi="仿宋" w:eastAsia="仿宋"/>
          <w:b/>
          <w:bCs/>
          <w:sz w:val="32"/>
          <w:szCs w:val="32"/>
        </w:rPr>
        <w:t>四是不断深化党风廉政建设。</w:t>
      </w:r>
      <w:r>
        <w:rPr>
          <w:rFonts w:hint="eastAsia" w:ascii="仿宋" w:hAnsi="仿宋" w:eastAsia="仿宋"/>
          <w:bCs/>
          <w:color w:val="000000"/>
          <w:sz w:val="32"/>
          <w:szCs w:val="32"/>
        </w:rPr>
        <w:t>开展廉政谈心谈话200余人次，廉政警示教育活动2次，观看警示教育片1次，筑牢干部</w:t>
      </w:r>
      <w:r>
        <w:rPr>
          <w:rFonts w:hint="eastAsia" w:ascii="仿宋" w:hAnsi="仿宋" w:eastAsia="仿宋"/>
          <w:bCs/>
          <w:color w:val="000000"/>
          <w:sz w:val="32"/>
          <w:szCs w:val="32"/>
          <w:lang w:eastAsia="zh-CN"/>
        </w:rPr>
        <w:t>拒腐防变</w:t>
      </w:r>
      <w:r>
        <w:rPr>
          <w:rFonts w:hint="eastAsia" w:ascii="仿宋" w:hAnsi="仿宋" w:eastAsia="仿宋"/>
          <w:bCs/>
          <w:color w:val="000000"/>
          <w:sz w:val="32"/>
          <w:szCs w:val="32"/>
        </w:rPr>
        <w:t>的思想防线。</w:t>
      </w:r>
      <w:r>
        <w:rPr>
          <w:rFonts w:ascii="仿宋" w:hAnsi="仿宋" w:eastAsia="仿宋"/>
          <w:bCs/>
          <w:color w:val="000000"/>
          <w:sz w:val="32"/>
          <w:szCs w:val="32"/>
        </w:rPr>
        <w:t>严格财经纪律，</w:t>
      </w:r>
      <w:r>
        <w:rPr>
          <w:rFonts w:hint="eastAsia" w:ascii="仿宋" w:hAnsi="仿宋" w:eastAsia="仿宋"/>
          <w:bCs/>
          <w:color w:val="000000"/>
          <w:sz w:val="32"/>
          <w:szCs w:val="32"/>
        </w:rPr>
        <w:t>完善财经制度，营造风清气正的工作氛围。</w:t>
      </w:r>
      <w:r>
        <w:rPr>
          <w:rFonts w:hint="eastAsia" w:ascii="仿宋" w:hAnsi="仿宋" w:eastAsia="仿宋"/>
          <w:b/>
          <w:bCs/>
          <w:color w:val="000000"/>
          <w:sz w:val="32"/>
          <w:szCs w:val="32"/>
        </w:rPr>
        <w:t>五是积极推进法治机关建设。</w:t>
      </w:r>
      <w:r>
        <w:rPr>
          <w:rFonts w:hint="eastAsia" w:ascii="仿宋" w:hAnsi="仿宋" w:eastAsia="仿宋" w:cs="仿宋_GB2312"/>
          <w:color w:val="000000"/>
          <w:sz w:val="32"/>
          <w:szCs w:val="32"/>
        </w:rPr>
        <w:t>深入推进普法教育，严格学法考法，所有干部均按时完成了积分学习，顺利通过了网上考试。</w:t>
      </w:r>
      <w:r>
        <w:rPr>
          <w:rFonts w:hint="eastAsia" w:ascii="仿宋" w:hAnsi="仿宋" w:eastAsia="仿宋"/>
          <w:b/>
          <w:bCs/>
          <w:color w:val="000000"/>
          <w:sz w:val="32"/>
          <w:szCs w:val="32"/>
        </w:rPr>
        <w:t>六是强化业务指导。</w:t>
      </w:r>
      <w:r>
        <w:rPr>
          <w:rFonts w:hint="eastAsia" w:ascii="仿宋" w:hAnsi="仿宋" w:eastAsia="仿宋" w:cs="Times New Roman"/>
          <w:sz w:val="32"/>
          <w:szCs w:val="32"/>
        </w:rPr>
        <w:t>组织开展全县办公室业务培训班，邀请了市委办、省委办公厅等相关领导、业务科室骨干来澧讲课，着力搭建全县办公室系统定期业务交流的平台，全县19个镇干部分三批各两个月到县委办跟班学习，提升全县办公室业务工作水平。</w:t>
      </w:r>
    </w:p>
    <w:p>
      <w:pPr>
        <w:spacing w:line="360" w:lineRule="auto"/>
        <w:ind w:firstLine="640" w:firstLineChars="200"/>
        <w:jc w:val="left"/>
        <w:rPr>
          <w:rFonts w:ascii="仿宋" w:hAnsi="仿宋" w:eastAsia="仿宋" w:cs="仿宋_GB2312"/>
          <w:sz w:val="32"/>
          <w:szCs w:val="32"/>
        </w:rPr>
      </w:pPr>
      <w:r>
        <w:rPr>
          <w:rFonts w:hint="eastAsia" w:ascii="仿宋" w:hAnsi="仿宋" w:eastAsia="仿宋"/>
          <w:bCs/>
          <w:sz w:val="32"/>
          <w:szCs w:val="32"/>
        </w:rPr>
        <w:t>5.做好其他工作。</w:t>
      </w:r>
      <w:r>
        <w:rPr>
          <w:rFonts w:hint="eastAsia" w:ascii="仿宋" w:hAnsi="仿宋" w:eastAsia="仿宋" w:cs="宋体"/>
          <w:b/>
          <w:sz w:val="32"/>
          <w:szCs w:val="32"/>
        </w:rPr>
        <w:t>一是保密工作抓细抓实。</w:t>
      </w:r>
      <w:r>
        <w:rPr>
          <w:rFonts w:hint="eastAsia" w:ascii="仿宋" w:hAnsi="仿宋" w:eastAsia="仿宋" w:cs="仿宋_GB2312"/>
          <w:sz w:val="32"/>
          <w:szCs w:val="32"/>
        </w:rPr>
        <w:t>加强重点保密部门、涉密载体的管理，</w:t>
      </w:r>
      <w:r>
        <w:rPr>
          <w:rFonts w:hint="eastAsia" w:ascii="仿宋" w:hAnsi="仿宋" w:eastAsia="仿宋"/>
          <w:sz w:val="32"/>
          <w:szCs w:val="32"/>
        </w:rPr>
        <w:t>完成全县42家重点单位保密检查工作。迎接市保密局检查，并督促相关抽检单位整改到位，</w:t>
      </w:r>
      <w:r>
        <w:rPr>
          <w:rFonts w:hint="eastAsia" w:ascii="仿宋" w:hAnsi="仿宋" w:eastAsia="仿宋" w:cs="仿宋_GB2312"/>
          <w:sz w:val="32"/>
          <w:szCs w:val="32"/>
        </w:rPr>
        <w:t>筑牢保密防线。参加市保密宣传教育讲课比赛，获三等奖。</w:t>
      </w:r>
      <w:r>
        <w:rPr>
          <w:rFonts w:hint="eastAsia" w:ascii="仿宋" w:hAnsi="仿宋" w:eastAsia="仿宋"/>
          <w:b/>
          <w:sz w:val="32"/>
          <w:szCs w:val="32"/>
        </w:rPr>
        <w:t>二是信息化建设稳步推进。</w:t>
      </w:r>
      <w:r>
        <w:rPr>
          <w:rFonts w:hint="eastAsia" w:ascii="仿宋" w:hAnsi="仿宋" w:eastAsia="仿宋"/>
          <w:sz w:val="32"/>
          <w:szCs w:val="32"/>
        </w:rPr>
        <w:t>常德市党政协同办公平台推广有力，</w:t>
      </w:r>
      <w:r>
        <w:rPr>
          <w:rFonts w:hint="eastAsia" w:ascii="仿宋" w:hAnsi="仿宋" w:eastAsia="仿宋" w:cs="仿宋_GB2312"/>
          <w:sz w:val="32"/>
          <w:szCs w:val="32"/>
        </w:rPr>
        <w:t>多次受到上级点名表扬。现正推进协同办公平台进村（社区），预计年底可实现县、镇、村三级平台全部连通。</w:t>
      </w:r>
      <w:r>
        <w:rPr>
          <w:rFonts w:hint="eastAsia" w:ascii="仿宋" w:hAnsi="仿宋" w:eastAsia="仿宋" w:cs="仿宋_GB2312"/>
          <w:b/>
          <w:sz w:val="32"/>
          <w:szCs w:val="32"/>
        </w:rPr>
        <w:t>三是档案业务指导扎实起步。</w:t>
      </w:r>
      <w:r>
        <w:rPr>
          <w:rFonts w:hint="eastAsia" w:ascii="仿宋" w:hAnsi="仿宋" w:eastAsia="仿宋" w:cs="仿宋_GB2312"/>
          <w:sz w:val="32"/>
          <w:szCs w:val="32"/>
        </w:rPr>
        <w:t>明确县委办一名副主任任档案局局长，配齐档案业务指导室主任和档案局工作人员，两人均考取了档案执法证。与县档案馆联合举办6·9“国际档案日” 宣传活动，对3个重点项目档案进行验收，完成全县69家单位年报统计工作以及2020年档案“双检”工作。</w:t>
      </w:r>
      <w:r>
        <w:rPr>
          <w:rFonts w:hint="eastAsia" w:ascii="仿宋" w:hAnsi="仿宋" w:eastAsia="仿宋"/>
          <w:b/>
          <w:bCs/>
          <w:color w:val="000000"/>
          <w:sz w:val="32"/>
          <w:szCs w:val="32"/>
        </w:rPr>
        <w:t>四是</w:t>
      </w:r>
      <w:r>
        <w:rPr>
          <w:rFonts w:ascii="仿宋" w:hAnsi="仿宋" w:eastAsia="仿宋"/>
          <w:b/>
          <w:bCs/>
          <w:color w:val="000000"/>
          <w:sz w:val="32"/>
          <w:szCs w:val="32"/>
        </w:rPr>
        <w:t>联村帮扶</w:t>
      </w:r>
      <w:r>
        <w:rPr>
          <w:rFonts w:hint="eastAsia" w:ascii="仿宋" w:hAnsi="仿宋" w:eastAsia="仿宋"/>
          <w:b/>
          <w:bCs/>
          <w:color w:val="000000"/>
          <w:sz w:val="32"/>
          <w:szCs w:val="32"/>
        </w:rPr>
        <w:t>成效显著</w:t>
      </w:r>
      <w:r>
        <w:rPr>
          <w:rFonts w:ascii="仿宋" w:hAnsi="仿宋" w:eastAsia="仿宋"/>
          <w:b/>
          <w:bCs/>
          <w:color w:val="000000"/>
          <w:sz w:val="32"/>
          <w:szCs w:val="32"/>
        </w:rPr>
        <w:t>。</w:t>
      </w:r>
      <w:r>
        <w:rPr>
          <w:rFonts w:hint="eastAsia" w:ascii="仿宋" w:hAnsi="仿宋" w:eastAsia="仿宋"/>
          <w:bCs/>
          <w:color w:val="000000"/>
          <w:sz w:val="32"/>
          <w:szCs w:val="32"/>
        </w:rPr>
        <w:t>投入20万元对口帮扶贫困户64户，并通过消费扶贫助力贫困户增收万余元。</w:t>
      </w:r>
      <w:r>
        <w:rPr>
          <w:rFonts w:hint="eastAsia" w:ascii="仿宋" w:hAnsi="仿宋" w:eastAsia="仿宋"/>
          <w:b/>
          <w:bCs/>
          <w:sz w:val="32"/>
          <w:szCs w:val="32"/>
        </w:rPr>
        <w:t>五是</w:t>
      </w:r>
      <w:r>
        <w:rPr>
          <w:rFonts w:ascii="仿宋" w:hAnsi="仿宋" w:eastAsia="仿宋"/>
          <w:b/>
          <w:bCs/>
          <w:sz w:val="32"/>
          <w:szCs w:val="32"/>
        </w:rPr>
        <w:t>信访维稳</w:t>
      </w:r>
      <w:r>
        <w:rPr>
          <w:rFonts w:hint="eastAsia" w:ascii="仿宋" w:hAnsi="仿宋" w:eastAsia="仿宋"/>
          <w:b/>
          <w:bCs/>
          <w:sz w:val="32"/>
          <w:szCs w:val="32"/>
        </w:rPr>
        <w:t>扎实有效。</w:t>
      </w:r>
      <w:r>
        <w:rPr>
          <w:rFonts w:hint="eastAsia" w:ascii="仿宋" w:hAnsi="仿宋" w:eastAsia="仿宋" w:cs="仿宋_GB2312"/>
          <w:sz w:val="32"/>
          <w:szCs w:val="32"/>
        </w:rPr>
        <w:t>接待来信来访326批，498人次，五人以上集访16批，213人次，涉及群体10个，</w:t>
      </w:r>
      <w:r>
        <w:rPr>
          <w:rFonts w:hint="eastAsia" w:ascii="仿宋" w:hAnsi="仿宋" w:eastAsia="仿宋"/>
          <w:sz w:val="32"/>
          <w:szCs w:val="32"/>
        </w:rPr>
        <w:t>为我县创建全省信访“三无”县提供坚强的保障。</w:t>
      </w:r>
      <w:r>
        <w:rPr>
          <w:rFonts w:hint="eastAsia" w:ascii="仿宋" w:hAnsi="仿宋" w:eastAsia="仿宋"/>
          <w:b/>
          <w:sz w:val="32"/>
          <w:szCs w:val="32"/>
        </w:rPr>
        <w:t>六是服务港澳台同胞积极有效。</w:t>
      </w:r>
      <w:r>
        <w:rPr>
          <w:rFonts w:hint="eastAsia" w:ascii="仿宋" w:hAnsi="仿宋" w:eastAsia="仿宋" w:cs="仿宋"/>
          <w:bCs/>
          <w:kern w:val="0"/>
          <w:sz w:val="32"/>
          <w:szCs w:val="32"/>
        </w:rPr>
        <w:t>做好在澧港澳台同胞、摸底排查、信息上报工作，协助做好疫情防控和办证等服务，走访慰问困难台胞台属，协调职能部门解决台企难题。</w:t>
      </w:r>
      <w:r>
        <w:rPr>
          <w:rFonts w:hint="eastAsia" w:ascii="仿宋" w:hAnsi="仿宋" w:eastAsia="仿宋"/>
          <w:b/>
          <w:bCs/>
          <w:sz w:val="32"/>
          <w:szCs w:val="32"/>
        </w:rPr>
        <w:t>七是后勤服务保障有力。</w:t>
      </w:r>
      <w:r>
        <w:rPr>
          <w:rFonts w:hint="eastAsia" w:ascii="仿宋" w:hAnsi="仿宋" w:eastAsia="仿宋" w:cs="仿宋_GB2312"/>
          <w:sz w:val="32"/>
          <w:szCs w:val="32"/>
        </w:rPr>
        <w:t>完善监控、安保机制，加强公车和食堂管理，落实疫情防控工作。</w:t>
      </w:r>
      <w:r>
        <w:rPr>
          <w:rFonts w:ascii="仿宋" w:hAnsi="仿宋" w:eastAsia="仿宋" w:cs="仿宋_GB2312"/>
          <w:sz w:val="32"/>
          <w:szCs w:val="32"/>
        </w:rPr>
        <w:t>对机关食堂进行</w:t>
      </w:r>
      <w:r>
        <w:rPr>
          <w:rFonts w:hint="eastAsia" w:ascii="仿宋" w:hAnsi="仿宋" w:eastAsia="仿宋" w:cs="仿宋_GB2312"/>
          <w:sz w:val="32"/>
          <w:szCs w:val="32"/>
        </w:rPr>
        <w:t>合理改造</w:t>
      </w:r>
      <w:r>
        <w:rPr>
          <w:rFonts w:ascii="仿宋" w:hAnsi="仿宋" w:eastAsia="仿宋" w:cs="仿宋_GB2312"/>
          <w:sz w:val="32"/>
          <w:szCs w:val="32"/>
        </w:rPr>
        <w:t>和添置，及时维护和添置办公家具和设备，</w:t>
      </w:r>
      <w:r>
        <w:rPr>
          <w:rFonts w:hint="eastAsia" w:ascii="仿宋" w:hAnsi="仿宋" w:eastAsia="仿宋" w:cs="仿宋_GB2312"/>
          <w:sz w:val="32"/>
          <w:szCs w:val="32"/>
        </w:rPr>
        <w:t>狠抓园林式建设，确保机关绿化亮化美化。</w:t>
      </w:r>
    </w:p>
    <w:p>
      <w:pPr>
        <w:widowControl/>
        <w:spacing w:line="360" w:lineRule="auto"/>
        <w:ind w:firstLine="320" w:firstLineChars="100"/>
        <w:rPr>
          <w:rFonts w:ascii="黑体" w:hAnsi="黑体" w:eastAsia="黑体" w:cs="黑体"/>
          <w:color w:val="222222"/>
          <w:kern w:val="0"/>
          <w:sz w:val="32"/>
          <w:szCs w:val="32"/>
        </w:rPr>
      </w:pPr>
      <w:r>
        <w:rPr>
          <w:rFonts w:hint="eastAsia" w:ascii="黑体" w:hAnsi="黑体" w:eastAsia="黑体" w:cs="黑体"/>
          <w:color w:val="222222"/>
          <w:kern w:val="0"/>
          <w:sz w:val="32"/>
          <w:szCs w:val="32"/>
        </w:rPr>
        <w:t>七、存在的主要问题</w:t>
      </w:r>
    </w:p>
    <w:p>
      <w:pPr>
        <w:pStyle w:val="6"/>
        <w:shd w:val="clear" w:color="auto" w:fill="FFFFFF"/>
        <w:spacing w:before="0" w:beforeAutospacing="0" w:after="0" w:afterAutospacing="0" w:line="360" w:lineRule="auto"/>
        <w:ind w:firstLine="640" w:firstLineChars="200"/>
        <w:rPr>
          <w:rFonts w:ascii="仿宋" w:hAnsi="仿宋" w:eastAsia="仿宋"/>
          <w:color w:val="000000" w:themeColor="text1"/>
          <w:sz w:val="32"/>
          <w:szCs w:val="32"/>
          <w:shd w:val="clear" w:color="auto" w:fill="FFFFFF"/>
        </w:rPr>
      </w:pPr>
      <w:r>
        <w:rPr>
          <w:rFonts w:hint="eastAsia" w:ascii="仿宋" w:hAnsi="仿宋" w:eastAsia="仿宋"/>
          <w:color w:val="000000" w:themeColor="text1"/>
          <w:sz w:val="32"/>
          <w:szCs w:val="32"/>
          <w:shd w:val="clear" w:color="auto" w:fill="FFFFFF"/>
        </w:rPr>
        <w:t>我办加强了预算执行和财务管理，制定了内部控制制度，2020年预算执行及财务收支遵守了国家有关法律法规的规定，但是在预算执行及资产管理等方面仍存在预算执行不严、预算编制不科学、资产管理不到位等问题。相关财务管理制度还有待进一步完善。</w:t>
      </w:r>
    </w:p>
    <w:p>
      <w:pPr>
        <w:widowControl/>
        <w:spacing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八、有关建议</w:t>
      </w:r>
    </w:p>
    <w:p>
      <w:pPr>
        <w:pStyle w:val="6"/>
        <w:spacing w:before="0" w:beforeAutospacing="0" w:after="0" w:afterAutospacing="0" w:line="360" w:lineRule="auto"/>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pStyle w:val="6"/>
        <w:spacing w:before="0" w:beforeAutospacing="0" w:after="0" w:afterAutospacing="0" w:line="360" w:lineRule="auto"/>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2、在日常预算管理过程中，进一步加强预算支出的审核、跟踪及预算执行情况分析。</w:t>
      </w:r>
    </w:p>
    <w:p>
      <w:pPr>
        <w:pStyle w:val="6"/>
        <w:spacing w:before="0" w:beforeAutospacing="0" w:after="0" w:afterAutospacing="0" w:line="360" w:lineRule="auto"/>
        <w:ind w:firstLine="640" w:firstLineChars="200"/>
        <w:rPr>
          <w:rFonts w:ascii="仿宋" w:hAnsi="仿宋" w:eastAsia="仿宋" w:cstheme="minorEastAsia"/>
          <w:color w:val="000000" w:themeColor="text1"/>
          <w:sz w:val="32"/>
          <w:szCs w:val="32"/>
        </w:rPr>
      </w:pPr>
      <w:r>
        <w:rPr>
          <w:rFonts w:hint="eastAsia" w:ascii="仿宋" w:hAnsi="仿宋" w:eastAsia="仿宋" w:cstheme="minorEastAsia"/>
          <w:color w:val="000000" w:themeColor="text1"/>
          <w:sz w:val="32"/>
          <w:szCs w:val="32"/>
        </w:rPr>
        <w:t>3、完善管理制度，进一步加强财务管理 。进一步贯彻落实中央八项规定，建立本部门“三公经费”等公务支出管理制度及厉行节约制度，加强经费审批和控制，规范支出标准与范围，并严格执行。</w:t>
      </w:r>
    </w:p>
    <w:p>
      <w:pPr>
        <w:widowControl/>
        <w:spacing w:line="440" w:lineRule="exact"/>
        <w:jc w:val="left"/>
        <w:rPr>
          <w:rFonts w:ascii="Times New Roman" w:hAnsi="Times New Roman" w:eastAsia="黑体"/>
          <w:color w:val="000000"/>
          <w:sz w:val="32"/>
          <w:szCs w:val="32"/>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hint="eastAsia"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p>
    <w:p>
      <w:pPr>
        <w:spacing w:line="440" w:lineRule="exact"/>
        <w:jc w:val="center"/>
        <w:rPr>
          <w:rFonts w:asciiTheme="majorEastAsia" w:hAnsiTheme="majorEastAsia" w:eastAsiaTheme="majorEastAsia" w:cstheme="majorEastAsia"/>
          <w:b/>
          <w:bCs/>
          <w:kern w:val="0"/>
          <w:sz w:val="36"/>
          <w:szCs w:val="36"/>
        </w:rPr>
      </w:pPr>
      <w:r>
        <w:rPr>
          <w:rFonts w:hint="eastAsia" w:asciiTheme="majorEastAsia" w:hAnsiTheme="majorEastAsia" w:eastAsiaTheme="majorEastAsia" w:cstheme="majorEastAsia"/>
          <w:b/>
          <w:bCs/>
          <w:kern w:val="0"/>
          <w:sz w:val="36"/>
          <w:szCs w:val="36"/>
        </w:rPr>
        <w:t>部门整体支出绩效评价指标表</w:t>
      </w:r>
    </w:p>
    <w:p>
      <w:pPr>
        <w:spacing w:line="440" w:lineRule="exact"/>
        <w:jc w:val="center"/>
        <w:rPr>
          <w:rFonts w:ascii="Times New Roman" w:hAnsi="Times New Roman"/>
          <w:kern w:val="0"/>
          <w:sz w:val="24"/>
        </w:rPr>
      </w:pPr>
    </w:p>
    <w:tbl>
      <w:tblPr>
        <w:tblStyle w:val="7"/>
        <w:tblW w:w="10771"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312"/>
        <w:gridCol w:w="622"/>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三级</w:t>
            </w:r>
          </w:p>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评价标准</w:t>
            </w:r>
          </w:p>
        </w:tc>
        <w:tc>
          <w:tcPr>
            <w:tcW w:w="33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nil"/>
              <w:right w:val="nil"/>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以100%为标准。在职人员控制率</w:t>
            </w:r>
            <w:r>
              <w:rPr>
                <w:rFonts w:ascii="Times New Roman" w:hAnsi="Times New Roman"/>
                <w:kern w:val="0"/>
                <w:sz w:val="20"/>
                <w:szCs w:val="20"/>
              </w:rPr>
              <w:t>≦</w:t>
            </w:r>
            <w:r>
              <w:rPr>
                <w:rFonts w:ascii="Times New Roman" w:hAnsi="Times New Roman" w:eastAsia="仿宋_GB2312"/>
                <w:kern w:val="0"/>
                <w:sz w:val="20"/>
                <w:szCs w:val="20"/>
              </w:rPr>
              <w:t>100%，计5分；每超过一个百分点扣0.5分，扣完为止。</w:t>
            </w:r>
          </w:p>
        </w:tc>
        <w:tc>
          <w:tcPr>
            <w:tcW w:w="3312"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在职人员控制率=（在职人员数/编制数）×100%，在职人员数：部门（单位）实际在职人数，以财政局确定的部门决算编制口径为准。</w:t>
            </w:r>
          </w:p>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5</w:t>
            </w:r>
          </w:p>
        </w:tc>
      </w:tr>
      <w:tr>
        <w:tblPrEx>
          <w:tblCellMar>
            <w:top w:w="0" w:type="dxa"/>
            <w:left w:w="108" w:type="dxa"/>
            <w:bottom w:w="0" w:type="dxa"/>
            <w:right w:w="108" w:type="dxa"/>
          </w:tblCellMar>
        </w:tblPrEx>
        <w:trPr>
          <w:trHeight w:val="14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“三公经费”变动率</w:t>
            </w:r>
            <w:r>
              <w:rPr>
                <w:rFonts w:ascii="Times New Roman" w:hAnsi="Times New Roman"/>
                <w:kern w:val="0"/>
                <w:sz w:val="20"/>
                <w:szCs w:val="20"/>
              </w:rPr>
              <w:t>≦</w:t>
            </w:r>
            <w:r>
              <w:rPr>
                <w:rFonts w:ascii="Times New Roman" w:hAnsi="Times New Roman" w:eastAsia="仿宋_GB2312"/>
                <w:kern w:val="0"/>
                <w:sz w:val="20"/>
                <w:szCs w:val="20"/>
              </w:rPr>
              <w:t>0,计8分；“三公经费”＞0，每超过一个百分点扣0.8分，扣完为止。</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“三公经费”变动率=[（本年度“三公经费”预算数-上年度“三公经费”预算数）/上年度“三公经费”预算数]×100%</w:t>
            </w:r>
            <w:r>
              <w:rPr>
                <w:rFonts w:hint="eastAsia" w:ascii="Times New Roman" w:hAnsi="Times New Roman" w:eastAsia="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6</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过程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100%计满分，每低于5%扣2分，扣完为止。</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预算完成率=（上年结转+年初预算+本年追加预算-年末结余）/（上年结转+年初预算+本年追加预算）×100%。</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4</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预算控制率=0，计5分；0-10%（含），计4分；10-20%（含），计3分；20-30%（含），计2分；大于30%不得分。</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预算控制率=（本年追加预算/年初预算）×100%。</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4</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100%以下（含）计满分，每超出5%扣2分，扣完为止。没有楼堂馆所项目的部门按满分计算。</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楼堂馆所面积控制率=实际建设面积/批准建设面积×100% 。</w:t>
            </w:r>
          </w:p>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该指标以2015年完工的新建楼堂馆所为评价内容。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100%以下（含）计满分，每超出5%扣2分，扣完为止。</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楼堂馆所投资预算控制率=实际投资金额/批准投资金额×100% 。</w:t>
            </w:r>
          </w:p>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该指标以2015年完工的新建楼堂馆所为评价内容。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5</w:t>
            </w:r>
          </w:p>
        </w:tc>
      </w:tr>
      <w:tr>
        <w:tblPrEx>
          <w:tblCellMar>
            <w:top w:w="0" w:type="dxa"/>
            <w:left w:w="108" w:type="dxa"/>
            <w:bottom w:w="0" w:type="dxa"/>
            <w:right w:w="108" w:type="dxa"/>
          </w:tblCellMar>
        </w:tblPrEx>
        <w:trPr>
          <w:trHeight w:val="167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100%以下（含）计满分，每超出1%扣1分，扣完为止。</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公用经费控制率=（实际支出公用经费总额/预算安排公用经费总额）×100%。</w:t>
            </w:r>
          </w:p>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8</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100%以下（含）计满分，每超出1%扣1分，扣完为止。</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“三公经费”控制率-（“三公经费”实际支出数/“三公经费”预算安排数）×100%。</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8</w:t>
            </w:r>
          </w:p>
        </w:tc>
      </w:tr>
      <w:tr>
        <w:tblPrEx>
          <w:tblCellMar>
            <w:top w:w="0" w:type="dxa"/>
            <w:left w:w="108" w:type="dxa"/>
            <w:bottom w:w="0" w:type="dxa"/>
            <w:right w:w="108" w:type="dxa"/>
          </w:tblCellMar>
        </w:tblPrEx>
        <w:trPr>
          <w:trHeight w:val="10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100%计满分，每超过（降低）5%扣2分。扣完为止。</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政府采购执行率=（实际政府采购金额/政府采购预算数）×100%</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hint="eastAsia" w:ascii="Times New Roman" w:hAnsi="Times New Roman"/>
                <w:kern w:val="0"/>
                <w:sz w:val="24"/>
              </w:rPr>
              <w:t>6</w:t>
            </w: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过程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hint="eastAsia" w:ascii="宋体" w:hAnsi="宋体" w:cs="宋体"/>
                <w:kern w:val="0"/>
                <w:sz w:val="20"/>
                <w:szCs w:val="20"/>
              </w:rPr>
              <w:t>①</w:t>
            </w:r>
            <w:r>
              <w:rPr>
                <w:rFonts w:ascii="Times New Roman" w:hAnsi="Times New Roman" w:eastAsia="仿宋_GB2312"/>
                <w:kern w:val="0"/>
                <w:sz w:val="20"/>
                <w:szCs w:val="20"/>
              </w:rPr>
              <w:t>有内部财务管理制度、会计核算制度等管理制度，2分；</w:t>
            </w:r>
          </w:p>
          <w:p>
            <w:pPr>
              <w:widowControl/>
              <w:spacing w:line="440" w:lineRule="exact"/>
              <w:jc w:val="left"/>
              <w:rPr>
                <w:rFonts w:ascii="Times New Roman" w:hAnsi="Times New Roman" w:eastAsia="仿宋_GB2312"/>
                <w:kern w:val="0"/>
                <w:sz w:val="20"/>
                <w:szCs w:val="20"/>
              </w:rPr>
            </w:pPr>
            <w:r>
              <w:rPr>
                <w:rFonts w:hint="eastAsia" w:ascii="宋体" w:hAnsi="宋体" w:cs="宋体"/>
                <w:kern w:val="0"/>
                <w:sz w:val="20"/>
                <w:szCs w:val="20"/>
              </w:rPr>
              <w:t>②</w:t>
            </w:r>
            <w:r>
              <w:rPr>
                <w:rFonts w:ascii="Times New Roman" w:hAnsi="Times New Roman" w:eastAsia="仿宋_GB2312"/>
                <w:kern w:val="0"/>
                <w:sz w:val="20"/>
                <w:szCs w:val="20"/>
              </w:rPr>
              <w:t>有本部门厉行节约制度,2分；</w:t>
            </w:r>
            <w:r>
              <w:rPr>
                <w:rFonts w:hint="eastAsia" w:ascii="宋体" w:hAnsi="宋体" w:cs="宋体"/>
                <w:kern w:val="0"/>
                <w:sz w:val="20"/>
                <w:szCs w:val="20"/>
              </w:rPr>
              <w:t>③</w:t>
            </w:r>
            <w:r>
              <w:rPr>
                <w:rFonts w:ascii="Times New Roman" w:hAnsi="Times New Roman" w:eastAsia="仿宋_GB2312"/>
                <w:kern w:val="0"/>
                <w:sz w:val="20"/>
                <w:szCs w:val="20"/>
              </w:rPr>
              <w:t>相关管理制度合法、合规、完整，2分；</w:t>
            </w:r>
            <w:r>
              <w:rPr>
                <w:rFonts w:hint="eastAsia" w:ascii="宋体" w:hAnsi="宋体" w:cs="宋体"/>
                <w:kern w:val="0"/>
                <w:sz w:val="20"/>
                <w:szCs w:val="20"/>
              </w:rPr>
              <w:t>④</w:t>
            </w:r>
            <w:r>
              <w:rPr>
                <w:rFonts w:ascii="Times New Roman" w:hAnsi="Times New Roman" w:eastAsia="仿宋_GB2312"/>
                <w:kern w:val="0"/>
                <w:sz w:val="20"/>
                <w:szCs w:val="20"/>
              </w:rPr>
              <w:t>相关管理制度得到有效执行，2分。</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hint="eastAsia" w:ascii="宋体" w:hAnsi="宋体" w:cs="宋体"/>
                <w:kern w:val="0"/>
                <w:sz w:val="20"/>
                <w:szCs w:val="20"/>
              </w:rPr>
              <w:t>①</w:t>
            </w:r>
            <w:r>
              <w:rPr>
                <w:rFonts w:ascii="Times New Roman" w:hAnsi="Times New Roman" w:eastAsia="仿宋_GB2312"/>
                <w:kern w:val="0"/>
                <w:sz w:val="20"/>
                <w:szCs w:val="20"/>
              </w:rPr>
              <w:t>支出符合国家财经法规和财务管理制度规定以及有关专项资金管理办法的规定；</w:t>
            </w:r>
            <w:r>
              <w:rPr>
                <w:rFonts w:hint="eastAsia" w:ascii="宋体" w:hAnsi="宋体" w:cs="宋体"/>
                <w:kern w:val="0"/>
                <w:sz w:val="20"/>
                <w:szCs w:val="20"/>
              </w:rPr>
              <w:t>②</w:t>
            </w:r>
            <w:r>
              <w:rPr>
                <w:rFonts w:ascii="Times New Roman" w:hAnsi="Times New Roman" w:eastAsia="仿宋_GB2312"/>
                <w:kern w:val="0"/>
                <w:sz w:val="20"/>
                <w:szCs w:val="20"/>
              </w:rPr>
              <w:t>资金拨付有完整的审批程序和手续；</w:t>
            </w:r>
            <w:r>
              <w:rPr>
                <w:rFonts w:hint="eastAsia" w:ascii="宋体" w:hAnsi="宋体" w:cs="宋体"/>
                <w:kern w:val="0"/>
                <w:sz w:val="20"/>
                <w:szCs w:val="20"/>
              </w:rPr>
              <w:t>③</w:t>
            </w:r>
            <w:r>
              <w:rPr>
                <w:rFonts w:ascii="Times New Roman" w:hAnsi="Times New Roman" w:eastAsia="仿宋_GB2312"/>
                <w:kern w:val="0"/>
                <w:sz w:val="20"/>
                <w:szCs w:val="20"/>
              </w:rPr>
              <w:t>项目支出按规定经过评估论证；</w:t>
            </w:r>
            <w:r>
              <w:rPr>
                <w:rFonts w:hint="eastAsia" w:ascii="宋体" w:hAnsi="宋体" w:cs="宋体"/>
                <w:kern w:val="0"/>
                <w:sz w:val="20"/>
                <w:szCs w:val="20"/>
              </w:rPr>
              <w:t>④</w:t>
            </w:r>
            <w:r>
              <w:rPr>
                <w:rFonts w:ascii="Times New Roman" w:hAnsi="Times New Roman" w:eastAsia="仿宋_GB2312"/>
                <w:kern w:val="0"/>
                <w:sz w:val="20"/>
                <w:szCs w:val="20"/>
              </w:rPr>
              <w:t>支出符合部门预算批复的用途；</w:t>
            </w:r>
            <w:r>
              <w:rPr>
                <w:rFonts w:hint="eastAsia" w:ascii="宋体" w:hAnsi="宋体" w:cs="宋体"/>
                <w:kern w:val="0"/>
                <w:sz w:val="20"/>
                <w:szCs w:val="20"/>
              </w:rPr>
              <w:t>⑤</w:t>
            </w:r>
            <w:r>
              <w:rPr>
                <w:rFonts w:ascii="Times New Roman" w:hAnsi="Times New Roman" w:eastAsia="仿宋_GB2312"/>
                <w:kern w:val="0"/>
                <w:sz w:val="20"/>
                <w:szCs w:val="20"/>
              </w:rPr>
              <w:t>资金使用无截留、挤占、挪用、虚列支出等情况。以上情况每出现一例不符合要求的扣1分，扣完为止。</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①按规定内容公开预决算信息，1分；②按规定时限公开预决算信息，1分；③基础数据信息和会计信息资料真实，1分；④基础数据信息和会计信息资料完整，1分；⑤基础数据信息和汇集信息资料准确，1分。</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5</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1074" w:type="dxa"/>
            <w:tcBorders>
              <w:top w:val="nil"/>
              <w:left w:val="nil"/>
              <w:bottom w:val="nil"/>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根据绩效办2015年对各部门为民办实事和部门重点工程与重点工作考核分数折算。</w:t>
            </w:r>
          </w:p>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该项得分=（绩效办对应部分考核得分/500）*8</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履职效益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6190" w:type="dxa"/>
            <w:gridSpan w:val="2"/>
            <w:vMerge w:val="restart"/>
            <w:tcBorders>
              <w:top w:val="single" w:color="auto" w:sz="4" w:space="0"/>
              <w:left w:val="single" w:color="auto" w:sz="4" w:space="0"/>
              <w:bottom w:val="nil"/>
              <w:right w:val="single" w:color="000000"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758"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190" w:type="dxa"/>
            <w:gridSpan w:val="2"/>
            <w:vMerge w:val="continue"/>
            <w:tcBorders>
              <w:top w:val="single" w:color="auto" w:sz="4" w:space="0"/>
              <w:left w:val="single" w:color="auto" w:sz="4" w:space="0"/>
              <w:bottom w:val="nil"/>
              <w:right w:val="single" w:color="000000" w:sz="4" w:space="0"/>
            </w:tcBorders>
            <w:vAlign w:val="center"/>
          </w:tcPr>
          <w:p>
            <w:pPr>
              <w:widowControl/>
              <w:spacing w:line="440" w:lineRule="exact"/>
              <w:jc w:val="left"/>
              <w:rPr>
                <w:rFonts w:ascii="Times New Roman" w:hAnsi="Times New Roman" w:eastAsia="仿宋_GB2312"/>
                <w:kern w:val="0"/>
                <w:sz w:val="20"/>
                <w:szCs w:val="20"/>
              </w:rPr>
            </w:pPr>
          </w:p>
        </w:tc>
        <w:tc>
          <w:tcPr>
            <w:tcW w:w="622" w:type="dxa"/>
            <w:tcBorders>
              <w:top w:val="nil"/>
              <w:left w:val="nil"/>
              <w:bottom w:val="nil"/>
              <w:right w:val="single" w:color="auto" w:sz="4" w:space="0"/>
            </w:tcBorders>
            <w:vAlign w:val="center"/>
          </w:tcPr>
          <w:p>
            <w:pPr>
              <w:widowControl/>
              <w:spacing w:line="440" w:lineRule="exact"/>
              <w:jc w:val="left"/>
              <w:rPr>
                <w:rFonts w:ascii="Times New Roman" w:hAnsi="Times New Roman"/>
                <w:kern w:val="0"/>
                <w:sz w:val="24"/>
              </w:rPr>
            </w:pPr>
            <w:r>
              <w:rPr>
                <w:rFonts w:hint="eastAsia" w:ascii="Times New Roman" w:hAnsi="Times New Roman"/>
                <w:kern w:val="0"/>
                <w:sz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促进部门改进文风会风，加强经费及资产管理，推动网上办事，提高行政效率，降低行政成本效果较好的计6分；一般3分；无效果或者效果不明显0分。</w:t>
            </w:r>
          </w:p>
        </w:tc>
        <w:tc>
          <w:tcPr>
            <w:tcW w:w="3312"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90%（含）以上计6分；80%（含）-90%计4分；70%（含）-80%，计2分；低于70%计0分。</w:t>
            </w:r>
          </w:p>
        </w:tc>
        <w:tc>
          <w:tcPr>
            <w:tcW w:w="331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ascii="Times New Roman" w:hAnsi="Times New Roman"/>
                <w:kern w:val="0"/>
                <w:sz w:val="24"/>
              </w:rPr>
              <w:t>　</w:t>
            </w:r>
            <w:r>
              <w:rPr>
                <w:rFonts w:hint="eastAsia" w:ascii="Times New Roman" w:hAnsi="Times New Roman"/>
                <w:kern w:val="0"/>
                <w:sz w:val="24"/>
              </w:rPr>
              <w:t>6</w:t>
            </w:r>
          </w:p>
        </w:tc>
      </w:tr>
      <w:tr>
        <w:tblPrEx>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3312"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0"/>
                <w:szCs w:val="20"/>
              </w:rPr>
            </w:pPr>
          </w:p>
        </w:tc>
        <w:tc>
          <w:tcPr>
            <w:tcW w:w="622"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Times New Roman" w:hAnsi="Times New Roman"/>
                <w:kern w:val="0"/>
                <w:sz w:val="24"/>
              </w:rPr>
            </w:pPr>
            <w:r>
              <w:rPr>
                <w:rFonts w:hint="eastAsia" w:ascii="Times New Roman" w:hAnsi="Times New Roman"/>
                <w:kern w:val="0"/>
                <w:sz w:val="24"/>
              </w:rPr>
              <w:t>96</w:t>
            </w:r>
          </w:p>
        </w:tc>
      </w:tr>
    </w:tbl>
    <w:p>
      <w:pPr>
        <w:spacing w:line="440" w:lineRule="exact"/>
        <w:jc w:val="center"/>
        <w:rPr>
          <w:rFonts w:asciiTheme="majorEastAsia" w:hAnsiTheme="majorEastAsia" w:eastAsiaTheme="majorEastAsia" w:cstheme="majorEastAsia"/>
          <w:b/>
          <w:bCs/>
          <w:kern w:val="0"/>
          <w:sz w:val="32"/>
          <w:szCs w:val="32"/>
        </w:rPr>
      </w:pPr>
      <w:r>
        <w:rPr>
          <w:rFonts w:ascii="Times New Roman" w:hAnsi="Times New Roman" w:eastAsia="黑体"/>
          <w:sz w:val="28"/>
          <w:szCs w:val="28"/>
        </w:rPr>
        <w:br w:type="page"/>
      </w:r>
      <w:r>
        <w:rPr>
          <w:rFonts w:hint="eastAsia" w:asciiTheme="majorEastAsia" w:hAnsiTheme="majorEastAsia" w:eastAsiaTheme="majorEastAsia" w:cstheme="majorEastAsia"/>
          <w:b/>
          <w:bCs/>
          <w:kern w:val="0"/>
          <w:sz w:val="36"/>
          <w:szCs w:val="36"/>
        </w:rPr>
        <w:t>部门整体支出绩效评价基础数据表</w:t>
      </w:r>
    </w:p>
    <w:p>
      <w:pPr>
        <w:widowControl/>
        <w:tabs>
          <w:tab w:val="left" w:pos="3611"/>
          <w:tab w:val="left" w:pos="4791"/>
          <w:tab w:val="left" w:pos="5951"/>
          <w:tab w:val="left" w:pos="7071"/>
          <w:tab w:val="left" w:pos="8191"/>
          <w:tab w:val="left" w:pos="9311"/>
        </w:tabs>
        <w:spacing w:line="440" w:lineRule="exact"/>
        <w:ind w:left="91"/>
        <w:jc w:val="left"/>
        <w:rPr>
          <w:rFonts w:ascii="Times New Roman" w:hAnsi="Times New Roman" w:eastAsia="仿宋_GB2312"/>
          <w:kern w:val="0"/>
          <w:sz w:val="24"/>
        </w:rPr>
      </w:pPr>
      <w:r>
        <w:rPr>
          <w:rFonts w:ascii="Times New Roman" w:hAnsi="Times New Roman" w:eastAsia="仿宋_GB2312"/>
          <w:kern w:val="0"/>
          <w:sz w:val="24"/>
        </w:rPr>
        <w:t>填报单位：</w:t>
      </w:r>
    </w:p>
    <w:tbl>
      <w:tblPr>
        <w:tblStyle w:val="7"/>
        <w:tblW w:w="0" w:type="auto"/>
        <w:jc w:val="center"/>
        <w:tblLayout w:type="fixed"/>
        <w:tblCellMar>
          <w:top w:w="0" w:type="dxa"/>
          <w:left w:w="108" w:type="dxa"/>
          <w:bottom w:w="0" w:type="dxa"/>
          <w:right w:w="108" w:type="dxa"/>
        </w:tblCellMar>
      </w:tblPr>
      <w:tblGrid>
        <w:gridCol w:w="3550"/>
        <w:gridCol w:w="1190"/>
        <w:gridCol w:w="1170"/>
        <w:gridCol w:w="1130"/>
        <w:gridCol w:w="1465"/>
        <w:gridCol w:w="970"/>
        <w:gridCol w:w="864"/>
      </w:tblGrid>
      <w:tr>
        <w:tblPrEx>
          <w:tblCellMar>
            <w:top w:w="0" w:type="dxa"/>
            <w:left w:w="108" w:type="dxa"/>
            <w:bottom w:w="0" w:type="dxa"/>
            <w:right w:w="108" w:type="dxa"/>
          </w:tblCellMar>
        </w:tblPrEx>
        <w:trPr>
          <w:trHeight w:val="417" w:hRule="atLeast"/>
          <w:jc w:val="center"/>
        </w:trPr>
        <w:tc>
          <w:tcPr>
            <w:tcW w:w="35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财政供养人员情况</w:t>
            </w:r>
          </w:p>
        </w:tc>
        <w:tc>
          <w:tcPr>
            <w:tcW w:w="2360"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编制数</w:t>
            </w:r>
          </w:p>
        </w:tc>
        <w:tc>
          <w:tcPr>
            <w:tcW w:w="2595"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20</w:t>
            </w:r>
            <w:r>
              <w:rPr>
                <w:rFonts w:hint="eastAsia" w:ascii="Times New Roman" w:hAnsi="Times New Roman" w:eastAsia="仿宋_GB2312"/>
                <w:b/>
                <w:bCs/>
                <w:kern w:val="0"/>
                <w:sz w:val="24"/>
              </w:rPr>
              <w:t>20</w:t>
            </w:r>
            <w:r>
              <w:rPr>
                <w:rFonts w:ascii="Times New Roman" w:hAnsi="Times New Roman" w:eastAsia="仿宋_GB2312"/>
                <w:b/>
                <w:bCs/>
                <w:kern w:val="0"/>
                <w:sz w:val="24"/>
              </w:rPr>
              <w:t>年实际在职人数</w:t>
            </w:r>
          </w:p>
        </w:tc>
        <w:tc>
          <w:tcPr>
            <w:tcW w:w="1834"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p>
        </w:tc>
        <w:tc>
          <w:tcPr>
            <w:tcW w:w="2360"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r>
              <w:rPr>
                <w:rFonts w:hint="eastAsia" w:ascii="Times New Roman" w:hAnsi="Times New Roman" w:eastAsia="仿宋_GB2312"/>
                <w:kern w:val="0"/>
                <w:sz w:val="24"/>
              </w:rPr>
              <w:t>61</w:t>
            </w:r>
          </w:p>
        </w:tc>
        <w:tc>
          <w:tcPr>
            <w:tcW w:w="2595"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52</w:t>
            </w:r>
          </w:p>
        </w:tc>
        <w:tc>
          <w:tcPr>
            <w:tcW w:w="1834"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100</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经费控制情况</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201</w:t>
            </w:r>
            <w:r>
              <w:rPr>
                <w:rFonts w:hint="eastAsia" w:ascii="Times New Roman" w:hAnsi="Times New Roman" w:eastAsia="仿宋_GB2312"/>
                <w:b/>
                <w:bCs/>
                <w:kern w:val="0"/>
                <w:sz w:val="24"/>
              </w:rPr>
              <w:t>9</w:t>
            </w:r>
            <w:r>
              <w:rPr>
                <w:rFonts w:ascii="Times New Roman" w:hAnsi="Times New Roman" w:eastAsia="仿宋_GB2312"/>
                <w:b/>
                <w:bCs/>
                <w:kern w:val="0"/>
                <w:sz w:val="24"/>
              </w:rPr>
              <w:t>年决算数</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20</w:t>
            </w:r>
            <w:r>
              <w:rPr>
                <w:rFonts w:hint="eastAsia" w:ascii="Times New Roman" w:hAnsi="Times New Roman" w:eastAsia="仿宋_GB2312"/>
                <w:b/>
                <w:bCs/>
                <w:kern w:val="0"/>
                <w:sz w:val="24"/>
              </w:rPr>
              <w:t>20</w:t>
            </w:r>
            <w:r>
              <w:rPr>
                <w:rFonts w:ascii="Times New Roman" w:hAnsi="Times New Roman" w:eastAsia="仿宋_GB2312"/>
                <w:b/>
                <w:bCs/>
                <w:kern w:val="0"/>
                <w:sz w:val="24"/>
              </w:rPr>
              <w:t>年预算数</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20</w:t>
            </w:r>
            <w:r>
              <w:rPr>
                <w:rFonts w:hint="eastAsia" w:ascii="Times New Roman" w:hAnsi="Times New Roman" w:eastAsia="仿宋_GB2312"/>
                <w:b/>
                <w:bCs/>
                <w:kern w:val="0"/>
                <w:sz w:val="24"/>
              </w:rPr>
              <w:t>20</w:t>
            </w:r>
            <w:r>
              <w:rPr>
                <w:rFonts w:ascii="Times New Roman" w:hAnsi="Times New Roman" w:eastAsia="仿宋_GB2312"/>
                <w:b/>
                <w:bCs/>
                <w:kern w:val="0"/>
                <w:sz w:val="24"/>
              </w:rPr>
              <w:t>年决算数</w:t>
            </w:r>
          </w:p>
        </w:tc>
      </w:tr>
      <w:tr>
        <w:tblPrEx>
          <w:tblCellMar>
            <w:top w:w="0" w:type="dxa"/>
            <w:left w:w="108" w:type="dxa"/>
            <w:bottom w:w="0" w:type="dxa"/>
            <w:right w:w="108" w:type="dxa"/>
          </w:tblCellMar>
        </w:tblPrEx>
        <w:trPr>
          <w:trHeight w:val="478"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三公经费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23</w:t>
            </w: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18</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18</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xml:space="preserve">   1、公务用车购置和维护经费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15</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其中：公车购置</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ind w:firstLine="720" w:firstLineChars="300"/>
              <w:jc w:val="left"/>
              <w:rPr>
                <w:rFonts w:ascii="Times New Roman" w:hAnsi="Times New Roman" w:eastAsia="仿宋_GB2312"/>
                <w:kern w:val="0"/>
                <w:sz w:val="24"/>
              </w:rPr>
            </w:pPr>
            <w:r>
              <w:rPr>
                <w:rFonts w:ascii="Times New Roman" w:hAnsi="Times New Roman" w:eastAsia="仿宋_GB2312"/>
                <w:kern w:val="0"/>
                <w:sz w:val="24"/>
              </w:rPr>
              <w:t>公车运行维护</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15</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xml:space="preserve">   2、出国经费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xml:space="preserve">   3、公务接待</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r>
              <w:rPr>
                <w:rFonts w:hint="eastAsia" w:ascii="Times New Roman" w:hAnsi="Times New Roman" w:eastAsia="仿宋_GB2312"/>
                <w:kern w:val="0"/>
                <w:sz w:val="24"/>
              </w:rPr>
              <w:t>8</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8</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8</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项目支出：</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570</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237.68</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891.3</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xml:space="preserve">    1、业务工作专项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xml:space="preserve">    2、运行维护专项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公用经费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19.68</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129</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21.05</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其中：办公经费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19.68</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 xml:space="preserve"> 129</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hint="eastAsia" w:ascii="Times New Roman" w:hAnsi="Times New Roman" w:eastAsia="仿宋_GB2312"/>
                <w:kern w:val="0"/>
                <w:sz w:val="24"/>
              </w:rPr>
              <w:t>15.05</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ind w:firstLine="600" w:firstLineChars="250"/>
              <w:jc w:val="left"/>
              <w:rPr>
                <w:rFonts w:ascii="Times New Roman" w:hAnsi="Times New Roman" w:eastAsia="仿宋_GB2312"/>
                <w:kern w:val="0"/>
                <w:sz w:val="24"/>
              </w:rPr>
            </w:pPr>
            <w:r>
              <w:rPr>
                <w:rFonts w:hint="eastAsia" w:ascii="Times New Roman" w:hAnsi="Times New Roman" w:eastAsia="仿宋_GB2312"/>
                <w:kern w:val="0"/>
                <w:sz w:val="24"/>
              </w:rPr>
              <w:t>印刷</w:t>
            </w:r>
            <w:r>
              <w:rPr>
                <w:rFonts w:ascii="Times New Roman" w:hAnsi="Times New Roman" w:eastAsia="仿宋_GB2312"/>
                <w:kern w:val="0"/>
                <w:sz w:val="24"/>
              </w:rPr>
              <w:t>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ind w:firstLine="600" w:firstLineChars="250"/>
              <w:jc w:val="left"/>
              <w:rPr>
                <w:rFonts w:ascii="Times New Roman" w:hAnsi="Times New Roman" w:eastAsia="仿宋_GB2312"/>
                <w:kern w:val="0"/>
                <w:sz w:val="24"/>
              </w:rPr>
            </w:pPr>
            <w:r>
              <w:rPr>
                <w:rFonts w:ascii="Times New Roman" w:hAnsi="Times New Roman" w:eastAsia="仿宋_GB2312"/>
                <w:kern w:val="0"/>
                <w:sz w:val="24"/>
              </w:rPr>
              <w:t>会议费、培训费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color w:val="FF0000"/>
                <w:kern w:val="0"/>
                <w:sz w:val="24"/>
              </w:rPr>
            </w:pPr>
            <w:r>
              <w:rPr>
                <w:rFonts w:ascii="Times New Roman" w:hAnsi="Times New Roman" w:eastAsia="仿宋_GB2312"/>
                <w:color w:val="FF0000"/>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color w:val="FF0000"/>
                <w:kern w:val="0"/>
                <w:sz w:val="24"/>
              </w:rPr>
            </w:pPr>
            <w:r>
              <w:rPr>
                <w:rFonts w:ascii="Times New Roman" w:hAnsi="Times New Roman" w:eastAsia="仿宋_GB2312"/>
                <w:color w:val="FF0000"/>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color w:val="FF0000"/>
                <w:kern w:val="0"/>
                <w:sz w:val="24"/>
              </w:rPr>
            </w:pPr>
            <w:r>
              <w:rPr>
                <w:rFonts w:ascii="Times New Roman" w:hAnsi="Times New Roman"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ind w:firstLine="600" w:firstLineChars="250"/>
              <w:jc w:val="left"/>
              <w:rPr>
                <w:rFonts w:ascii="Times New Roman" w:hAnsi="Times New Roman" w:eastAsia="仿宋_GB2312"/>
                <w:kern w:val="0"/>
                <w:sz w:val="24"/>
              </w:rPr>
            </w:pPr>
            <w:r>
              <w:rPr>
                <w:rFonts w:ascii="Times New Roman" w:hAnsi="Times New Roman" w:eastAsia="仿宋_GB2312"/>
                <w:kern w:val="0"/>
                <w:sz w:val="24"/>
              </w:rPr>
              <w:t>政府采购金额</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ind w:firstLine="360" w:firstLineChars="150"/>
              <w:jc w:val="left"/>
              <w:rPr>
                <w:rFonts w:ascii="Times New Roman" w:hAnsi="Times New Roman" w:eastAsia="仿宋_GB2312"/>
                <w:kern w:val="0"/>
                <w:sz w:val="24"/>
              </w:rPr>
            </w:pPr>
            <w:r>
              <w:rPr>
                <w:rFonts w:ascii="Times New Roman" w:hAnsi="Times New Roman" w:eastAsia="仿宋_GB2312"/>
                <w:kern w:val="0"/>
                <w:sz w:val="24"/>
              </w:rPr>
              <w:t>部门整体支出预算调整</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1154" w:hRule="atLeast"/>
          <w:jc w:val="center"/>
        </w:trPr>
        <w:tc>
          <w:tcPr>
            <w:tcW w:w="3550" w:type="dxa"/>
            <w:vMerge w:val="restart"/>
            <w:tcBorders>
              <w:top w:val="nil"/>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楼堂馆所控制情况</w:t>
            </w:r>
          </w:p>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（20</w:t>
            </w:r>
            <w:r>
              <w:rPr>
                <w:rFonts w:hint="eastAsia" w:ascii="Times New Roman" w:hAnsi="Times New Roman" w:eastAsia="仿宋_GB2312"/>
                <w:kern w:val="0"/>
                <w:sz w:val="24"/>
              </w:rPr>
              <w:t>20</w:t>
            </w:r>
            <w:r>
              <w:rPr>
                <w:rFonts w:ascii="Times New Roman" w:hAnsi="Times New Roman" w:eastAsia="仿宋_GB2312"/>
                <w:kern w:val="0"/>
                <w:sz w:val="24"/>
              </w:rPr>
              <w:t>年完工项目）</w:t>
            </w:r>
          </w:p>
        </w:tc>
        <w:tc>
          <w:tcPr>
            <w:tcW w:w="1190"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批复规模</w:t>
            </w:r>
            <w:r>
              <w:rPr>
                <w:rFonts w:ascii="Times New Roman" w:hAnsi="Times New Roman" w:eastAsia="仿宋_GB2312"/>
                <w:b/>
                <w:bCs/>
                <w:kern w:val="0"/>
                <w:sz w:val="24"/>
              </w:rPr>
              <w:br w:type="textWrapping"/>
            </w:r>
            <w:r>
              <w:rPr>
                <w:rFonts w:ascii="Times New Roman" w:hAnsi="Times New Roman" w:eastAsia="仿宋_GB2312"/>
                <w:b/>
                <w:bCs/>
                <w:kern w:val="0"/>
                <w:sz w:val="24"/>
              </w:rPr>
              <w:t>（</w:t>
            </w:r>
            <w:r>
              <w:rPr>
                <w:rFonts w:ascii="Times New Roman" w:hAnsi="Times New Roman"/>
                <w:b/>
                <w:bCs/>
                <w:kern w:val="0"/>
                <w:sz w:val="24"/>
              </w:rPr>
              <w:t>㎡</w:t>
            </w:r>
            <w:r>
              <w:rPr>
                <w:rFonts w:ascii="Times New Roman" w:hAnsi="Times New Roman" w:eastAsia="仿宋_GB2312"/>
                <w:b/>
                <w:bCs/>
                <w:kern w:val="0"/>
                <w:sz w:val="24"/>
              </w:rPr>
              <w:t>）</w:t>
            </w:r>
          </w:p>
        </w:tc>
        <w:tc>
          <w:tcPr>
            <w:tcW w:w="1170"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实际规模（</w:t>
            </w:r>
            <w:r>
              <w:rPr>
                <w:rFonts w:ascii="Times New Roman" w:hAnsi="Times New Roman"/>
                <w:b/>
                <w:bCs/>
                <w:kern w:val="0"/>
                <w:sz w:val="24"/>
              </w:rPr>
              <w:t>㎡</w:t>
            </w:r>
            <w:r>
              <w:rPr>
                <w:rFonts w:ascii="Times New Roman" w:hAnsi="Times New Roman" w:eastAsia="仿宋_GB2312"/>
                <w:b/>
                <w:bCs/>
                <w:kern w:val="0"/>
                <w:sz w:val="24"/>
              </w:rPr>
              <w:t>）</w:t>
            </w:r>
          </w:p>
        </w:tc>
        <w:tc>
          <w:tcPr>
            <w:tcW w:w="1130"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规模控制率</w:t>
            </w:r>
          </w:p>
        </w:tc>
        <w:tc>
          <w:tcPr>
            <w:tcW w:w="1465"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预算投资（万元）</w:t>
            </w:r>
          </w:p>
        </w:tc>
        <w:tc>
          <w:tcPr>
            <w:tcW w:w="970"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实际投资（万元）</w:t>
            </w:r>
          </w:p>
        </w:tc>
        <w:tc>
          <w:tcPr>
            <w:tcW w:w="864"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kern w:val="0"/>
                <w:sz w:val="24"/>
              </w:rPr>
            </w:pPr>
            <w:r>
              <w:rPr>
                <w:rFonts w:ascii="Times New Roman" w:hAnsi="Times New Roman" w:eastAsia="仿宋_GB2312"/>
                <w:b/>
                <w:bCs/>
                <w:kern w:val="0"/>
                <w:sz w:val="24"/>
              </w:rPr>
              <w:t>投资概算控制率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p>
        </w:tc>
        <w:tc>
          <w:tcPr>
            <w:tcW w:w="1190" w:type="dxa"/>
            <w:tcBorders>
              <w:top w:val="nil"/>
              <w:left w:val="nil"/>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170"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w:t>
            </w:r>
          </w:p>
        </w:tc>
        <w:tc>
          <w:tcPr>
            <w:tcW w:w="1130"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w:t>
            </w:r>
          </w:p>
        </w:tc>
        <w:tc>
          <w:tcPr>
            <w:tcW w:w="1465"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w:t>
            </w:r>
          </w:p>
        </w:tc>
        <w:tc>
          <w:tcPr>
            <w:tcW w:w="970"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w:t>
            </w:r>
          </w:p>
        </w:tc>
        <w:tc>
          <w:tcPr>
            <w:tcW w:w="864" w:type="dxa"/>
            <w:tcBorders>
              <w:top w:val="nil"/>
              <w:left w:val="nil"/>
              <w:bottom w:val="single" w:color="auto" w:sz="4" w:space="0"/>
              <w:right w:val="single" w:color="auto" w:sz="4" w:space="0"/>
            </w:tcBorders>
            <w:vAlign w:val="center"/>
          </w:tcPr>
          <w:p>
            <w:pPr>
              <w:widowControl/>
              <w:spacing w:line="440" w:lineRule="exact"/>
              <w:jc w:val="left"/>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厉行节约保障措施</w:t>
            </w:r>
          </w:p>
        </w:tc>
        <w:tc>
          <w:tcPr>
            <w:tcW w:w="6789" w:type="dxa"/>
            <w:gridSpan w:val="6"/>
            <w:tcBorders>
              <w:top w:val="single" w:color="auto" w:sz="4" w:space="0"/>
              <w:left w:val="nil"/>
              <w:bottom w:val="single" w:color="auto" w:sz="4" w:space="0"/>
              <w:right w:val="single" w:color="000000" w:sz="4" w:space="0"/>
            </w:tcBorders>
            <w:vAlign w:val="center"/>
          </w:tcPr>
          <w:p>
            <w:pPr>
              <w:widowControl/>
              <w:spacing w:line="440" w:lineRule="exact"/>
              <w:jc w:val="center"/>
              <w:rPr>
                <w:rFonts w:ascii="Times New Roman" w:hAnsi="Times New Roman" w:eastAsia="仿宋_GB2312"/>
                <w:kern w:val="0"/>
                <w:sz w:val="24"/>
              </w:rPr>
            </w:pPr>
            <w:r>
              <w:rPr>
                <w:rFonts w:ascii="Times New Roman" w:hAnsi="Times New Roman" w:eastAsia="仿宋_GB2312"/>
                <w:kern w:val="0"/>
                <w:sz w:val="24"/>
              </w:rPr>
              <w:t>　</w:t>
            </w:r>
          </w:p>
        </w:tc>
      </w:tr>
    </w:tbl>
    <w:p>
      <w:pPr>
        <w:widowControl/>
        <w:spacing w:line="440" w:lineRule="exact"/>
        <w:jc w:val="left"/>
        <w:rPr>
          <w:rFonts w:ascii="Times New Roman" w:hAnsi="Times New Roman"/>
        </w:rPr>
      </w:pPr>
      <w:r>
        <w:rPr>
          <w:rFonts w:ascii="Times New Roman" w:hAnsi="Times New Roman" w:eastAsia="仿宋_GB2312"/>
          <w:kern w:val="0"/>
          <w:sz w:val="22"/>
        </w:rPr>
        <w:t>说明：“项目支出”需要填报除专项资金和基本支出以外的所有项目情况，包括业务工作项目、运行维护项目等；“公用经费”填报基本支出中的一般商品和服务支出。</w:t>
      </w:r>
    </w:p>
    <w:p>
      <w:pPr>
        <w:widowControl/>
        <w:spacing w:line="440" w:lineRule="exact"/>
        <w:rPr>
          <w:rFonts w:ascii="Times New Roman" w:hAnsi="Times New Roman" w:eastAsia="黑体"/>
          <w:color w:val="000000"/>
          <w:sz w:val="32"/>
          <w:szCs w:val="32"/>
        </w:rPr>
      </w:pPr>
    </w:p>
    <w:p>
      <w:pPr>
        <w:spacing w:line="440" w:lineRule="exact"/>
        <w:jc w:val="left"/>
        <w:rPr>
          <w:rFonts w:ascii="宋体" w:cs="Times New Roman"/>
          <w:color w:val="000000"/>
          <w:kern w:val="0"/>
          <w:sz w:val="32"/>
          <w:szCs w:val="32"/>
        </w:rPr>
      </w:pPr>
    </w:p>
    <w:p>
      <w:pPr>
        <w:spacing w:line="440" w:lineRule="exact"/>
        <w:jc w:val="left"/>
        <w:rPr>
          <w:rFonts w:ascii="宋体" w:cs="Times New Roman"/>
          <w:color w:val="000000"/>
          <w:kern w:val="0"/>
          <w:sz w:val="32"/>
          <w:szCs w:val="32"/>
        </w:rPr>
      </w:pPr>
    </w:p>
    <w:tbl>
      <w:tblPr>
        <w:tblStyle w:val="7"/>
        <w:tblW w:w="10225" w:type="dxa"/>
        <w:tblInd w:w="89" w:type="dxa"/>
        <w:tblLayout w:type="autofit"/>
        <w:tblCellMar>
          <w:top w:w="0" w:type="dxa"/>
          <w:left w:w="108" w:type="dxa"/>
          <w:bottom w:w="0" w:type="dxa"/>
          <w:right w:w="108" w:type="dxa"/>
        </w:tblCellMar>
      </w:tblPr>
      <w:tblGrid>
        <w:gridCol w:w="1275"/>
        <w:gridCol w:w="748"/>
        <w:gridCol w:w="1061"/>
        <w:gridCol w:w="1690"/>
        <w:gridCol w:w="1064"/>
        <w:gridCol w:w="928"/>
        <w:gridCol w:w="1532"/>
        <w:gridCol w:w="1161"/>
        <w:gridCol w:w="766"/>
      </w:tblGrid>
      <w:tr>
        <w:tblPrEx>
          <w:tblCellMar>
            <w:top w:w="0" w:type="dxa"/>
            <w:left w:w="108" w:type="dxa"/>
            <w:bottom w:w="0" w:type="dxa"/>
            <w:right w:w="108" w:type="dxa"/>
          </w:tblCellMar>
        </w:tblPrEx>
        <w:trPr>
          <w:trHeight w:val="450" w:hRule="atLeast"/>
        </w:trPr>
        <w:tc>
          <w:tcPr>
            <w:tcW w:w="10225" w:type="dxa"/>
            <w:gridSpan w:val="9"/>
            <w:tcBorders>
              <w:top w:val="nil"/>
              <w:left w:val="nil"/>
              <w:bottom w:val="nil"/>
              <w:right w:val="nil"/>
            </w:tcBorders>
            <w:shd w:val="clear" w:color="auto" w:fill="auto"/>
            <w:vAlign w:val="center"/>
          </w:tcPr>
          <w:p>
            <w:pPr>
              <w:widowControl/>
              <w:spacing w:line="440" w:lineRule="exact"/>
              <w:jc w:val="center"/>
              <w:rPr>
                <w:rFonts w:ascii="宋体" w:hAnsi="宋体" w:cs="宋体"/>
                <w:b/>
                <w:bCs/>
                <w:color w:val="000000"/>
                <w:kern w:val="0"/>
                <w:sz w:val="32"/>
                <w:szCs w:val="32"/>
              </w:rPr>
            </w:pPr>
            <w:r>
              <w:rPr>
                <w:rFonts w:hint="eastAsia" w:ascii="宋体" w:hAnsi="宋体" w:cs="宋体"/>
                <w:b/>
                <w:bCs/>
                <w:color w:val="000000"/>
                <w:kern w:val="0"/>
                <w:sz w:val="32"/>
                <w:szCs w:val="32"/>
              </w:rPr>
              <w:t>部门整体支出绩效目标申报表</w:t>
            </w:r>
          </w:p>
        </w:tc>
      </w:tr>
      <w:tr>
        <w:tblPrEx>
          <w:tblCellMar>
            <w:top w:w="0" w:type="dxa"/>
            <w:left w:w="108" w:type="dxa"/>
            <w:bottom w:w="0" w:type="dxa"/>
            <w:right w:w="108" w:type="dxa"/>
          </w:tblCellMar>
        </w:tblPrEx>
        <w:trPr>
          <w:trHeight w:val="360" w:hRule="atLeast"/>
        </w:trPr>
        <w:tc>
          <w:tcPr>
            <w:tcW w:w="10225" w:type="dxa"/>
            <w:gridSpan w:val="9"/>
            <w:tcBorders>
              <w:top w:val="nil"/>
              <w:left w:val="nil"/>
              <w:bottom w:val="nil"/>
              <w:right w:val="nil"/>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（2020年度）</w:t>
            </w:r>
          </w:p>
        </w:tc>
      </w:tr>
      <w:tr>
        <w:tblPrEx>
          <w:tblCellMar>
            <w:top w:w="0" w:type="dxa"/>
            <w:left w:w="108" w:type="dxa"/>
            <w:bottom w:w="0" w:type="dxa"/>
            <w:right w:w="108" w:type="dxa"/>
          </w:tblCellMar>
        </w:tblPrEx>
        <w:trPr>
          <w:trHeight w:val="270" w:hRule="atLeast"/>
        </w:trPr>
        <w:tc>
          <w:tcPr>
            <w:tcW w:w="10225" w:type="dxa"/>
            <w:gridSpan w:val="9"/>
            <w:tcBorders>
              <w:top w:val="nil"/>
              <w:left w:val="nil"/>
              <w:bottom w:val="single" w:color="auto" w:sz="4" w:space="0"/>
              <w:right w:val="nil"/>
            </w:tcBorders>
            <w:shd w:val="clear" w:color="auto" w:fill="auto"/>
            <w:vAlign w:val="center"/>
          </w:tcPr>
          <w:p>
            <w:pPr>
              <w:widowControl/>
              <w:spacing w:line="440" w:lineRule="exact"/>
              <w:jc w:val="left"/>
              <w:rPr>
                <w:rFonts w:ascii="宋体" w:hAnsi="宋体" w:cs="宋体"/>
                <w:color w:val="000000"/>
                <w:kern w:val="0"/>
                <w:sz w:val="22"/>
                <w:szCs w:val="22"/>
              </w:rPr>
            </w:pPr>
            <w:r>
              <w:rPr>
                <w:rFonts w:hint="eastAsia" w:ascii="宋体" w:hAnsi="宋体" w:cs="宋体"/>
                <w:color w:val="000000"/>
                <w:kern w:val="0"/>
                <w:sz w:val="22"/>
                <w:szCs w:val="22"/>
              </w:rPr>
              <w:t>填报单位（盖章）：中共澧县县委办公室                                            单位：万元</w:t>
            </w:r>
          </w:p>
        </w:tc>
      </w:tr>
      <w:tr>
        <w:tblPrEx>
          <w:tblCellMar>
            <w:top w:w="0" w:type="dxa"/>
            <w:left w:w="108" w:type="dxa"/>
            <w:bottom w:w="0" w:type="dxa"/>
            <w:right w:w="108" w:type="dxa"/>
          </w:tblCellMar>
        </w:tblPrEx>
        <w:trPr>
          <w:trHeight w:val="270" w:hRule="atLeast"/>
        </w:trPr>
        <w:tc>
          <w:tcPr>
            <w:tcW w:w="205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部门名称</w:t>
            </w:r>
          </w:p>
        </w:tc>
        <w:tc>
          <w:tcPr>
            <w:tcW w:w="279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中共澧县县委办公室</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在职人数</w:t>
            </w:r>
          </w:p>
        </w:tc>
        <w:tc>
          <w:tcPr>
            <w:tcW w:w="939"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1557"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单位性质</w:t>
            </w:r>
          </w:p>
        </w:tc>
        <w:tc>
          <w:tcPr>
            <w:tcW w:w="180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党政机关</w:t>
            </w:r>
          </w:p>
        </w:tc>
      </w:tr>
      <w:tr>
        <w:tblPrEx>
          <w:tblCellMar>
            <w:top w:w="0" w:type="dxa"/>
            <w:left w:w="108" w:type="dxa"/>
            <w:bottom w:w="0" w:type="dxa"/>
            <w:right w:w="108" w:type="dxa"/>
          </w:tblCellMar>
        </w:tblPrEx>
        <w:trPr>
          <w:trHeight w:val="270" w:hRule="atLeast"/>
        </w:trPr>
        <w:tc>
          <w:tcPr>
            <w:tcW w:w="205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年度预算申请</w:t>
            </w:r>
          </w:p>
        </w:tc>
        <w:tc>
          <w:tcPr>
            <w:tcW w:w="279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资金总额：</w:t>
            </w:r>
          </w:p>
        </w:tc>
        <w:tc>
          <w:tcPr>
            <w:tcW w:w="5376"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727.3　</w:t>
            </w:r>
          </w:p>
        </w:tc>
      </w:tr>
      <w:tr>
        <w:tblPrEx>
          <w:tblCellMar>
            <w:top w:w="0" w:type="dxa"/>
            <w:left w:w="108" w:type="dxa"/>
            <w:bottom w:w="0" w:type="dxa"/>
            <w:right w:w="108" w:type="dxa"/>
          </w:tblCellMar>
        </w:tblPrEx>
        <w:trPr>
          <w:trHeight w:val="270" w:hRule="atLeast"/>
        </w:trPr>
        <w:tc>
          <w:tcPr>
            <w:tcW w:w="4849"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40" w:lineRule="exact"/>
              <w:jc w:val="left"/>
              <w:rPr>
                <w:rFonts w:ascii="宋体" w:hAnsi="宋体" w:cs="宋体"/>
                <w:color w:val="000000"/>
                <w:kern w:val="0"/>
                <w:sz w:val="22"/>
                <w:szCs w:val="22"/>
              </w:rPr>
            </w:pPr>
            <w:r>
              <w:rPr>
                <w:rFonts w:hint="eastAsia" w:ascii="宋体" w:hAnsi="宋体" w:cs="宋体"/>
                <w:color w:val="000000"/>
                <w:kern w:val="0"/>
                <w:sz w:val="22"/>
                <w:szCs w:val="22"/>
              </w:rPr>
              <w:t xml:space="preserve"> 按收入性质分：</w:t>
            </w:r>
          </w:p>
        </w:tc>
        <w:tc>
          <w:tcPr>
            <w:tcW w:w="2017"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727.3</w:t>
            </w:r>
          </w:p>
        </w:tc>
        <w:tc>
          <w:tcPr>
            <w:tcW w:w="27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按支出性质分：</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727.3</w:t>
            </w:r>
          </w:p>
        </w:tc>
      </w:tr>
      <w:tr>
        <w:tblPrEx>
          <w:tblCellMar>
            <w:top w:w="0" w:type="dxa"/>
            <w:left w:w="108" w:type="dxa"/>
            <w:bottom w:w="0" w:type="dxa"/>
            <w:right w:w="108" w:type="dxa"/>
          </w:tblCellMar>
        </w:tblPrEx>
        <w:trPr>
          <w:trHeight w:val="270" w:hRule="atLeast"/>
        </w:trPr>
        <w:tc>
          <w:tcPr>
            <w:tcW w:w="48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其中：    一般公共预算：</w:t>
            </w:r>
          </w:p>
        </w:tc>
        <w:tc>
          <w:tcPr>
            <w:tcW w:w="2017"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727.3</w:t>
            </w:r>
          </w:p>
        </w:tc>
        <w:tc>
          <w:tcPr>
            <w:tcW w:w="27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其中：基本支出：</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598.3</w:t>
            </w:r>
          </w:p>
        </w:tc>
      </w:tr>
      <w:tr>
        <w:tblPrEx>
          <w:tblCellMar>
            <w:top w:w="0" w:type="dxa"/>
            <w:left w:w="108" w:type="dxa"/>
            <w:bottom w:w="0" w:type="dxa"/>
            <w:right w:w="108" w:type="dxa"/>
          </w:tblCellMar>
        </w:tblPrEx>
        <w:trPr>
          <w:trHeight w:val="270" w:hRule="atLeast"/>
        </w:trPr>
        <w:tc>
          <w:tcPr>
            <w:tcW w:w="48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        政府性基金拨款：</w:t>
            </w:r>
          </w:p>
        </w:tc>
        <w:tc>
          <w:tcPr>
            <w:tcW w:w="2017"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7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     项目支出：</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129</w:t>
            </w:r>
          </w:p>
        </w:tc>
      </w:tr>
      <w:tr>
        <w:tblPrEx>
          <w:tblCellMar>
            <w:top w:w="0" w:type="dxa"/>
            <w:left w:w="108" w:type="dxa"/>
            <w:bottom w:w="0" w:type="dxa"/>
            <w:right w:w="108" w:type="dxa"/>
          </w:tblCellMar>
        </w:tblPrEx>
        <w:trPr>
          <w:trHeight w:val="270" w:hRule="atLeast"/>
        </w:trPr>
        <w:tc>
          <w:tcPr>
            <w:tcW w:w="48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  纳入专户的非税收入拨款：</w:t>
            </w:r>
          </w:p>
        </w:tc>
        <w:tc>
          <w:tcPr>
            <w:tcW w:w="2017"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359"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4" w:hRule="atLeast"/>
        </w:trPr>
        <w:tc>
          <w:tcPr>
            <w:tcW w:w="48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其他资金：</w:t>
            </w:r>
          </w:p>
        </w:tc>
        <w:tc>
          <w:tcPr>
            <w:tcW w:w="2017"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p>
        </w:tc>
        <w:tc>
          <w:tcPr>
            <w:tcW w:w="3359"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790"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部门职能职责描述</w:t>
            </w:r>
          </w:p>
        </w:tc>
        <w:tc>
          <w:tcPr>
            <w:tcW w:w="8930"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color w:val="000000"/>
                <w:kern w:val="0"/>
                <w:sz w:val="22"/>
                <w:szCs w:val="22"/>
              </w:rPr>
            </w:pPr>
            <w:r>
              <w:rPr>
                <w:rFonts w:hint="eastAsia" w:ascii="宋体" w:hAnsi="宋体" w:cs="宋体"/>
                <w:color w:val="000000"/>
                <w:kern w:val="0"/>
                <w:sz w:val="22"/>
                <w:szCs w:val="22"/>
              </w:rPr>
              <w:t>县委办是协助县委领导处理日常事务工作的机构，主要履行以下职责：（一）围绕县委工作部署，对涉及全县经济建设、社会发展、党的自身建设等全局性的重大问题进行调查研究，为县委科学决策提出建议、预案。（二）负责县委有关会议的筹备和组织协调工作。负责安排县委领导的公务活动，办理县委领导交办的事项。（三）负责县委文件和文稿的起草、校核、印发工作，负责文书处理、档案管理和开发利用工作；研究、审核县直各部门、各镇（街道）党（工）委向县委的请示，提出处理意见报县委领导审批。（四）及时收集、筛选、综合整理各类情况，全面准确地为县委、上级党委报送信息；及时传达贯彻党委、政府的重大决策、重要精神和扩大镇（街道）、部门工作交流。（五）负责党的方针政策、上级党委和县委重要工作部署、领导同志重要批示、批件贯彻落实情况的督促检查，以及受县委委托对某些问题的调查核实；组织督办人大代表有关建议、政协委员有关提案。（六）负责牵头组织全县目标管理年度考核工作和县委、县政府各项工作年度奖惩的汇总初审。（七）负责县委值班工作，及时向县委报告重要情况，处理群众来信来访，协助处理县直各部门和镇（街道）反映的重要问题。（八）负责全县党政系统机要密码通信和密码管理；负责全县商用密码管理；负责上级党委文件和党政领导机关要件的传递工作；负责牵头全县电子政务内网的建设和全县党委系统信息化工作。（九）负责全县保密工作的规划、宣传教育、指导协调、监督管理和泄密案件查处工作；负责涉密通信、办公自动化等的技术防范和审批管理。（十）负责有关人员来本县视察的公务活动安排和接待工作。（十一）负责县委机关行政后勤管理和机关大院的安全保卫工作。（十二）负责对档案局、史志办、接待处等部门的归口管理。（十三）负责对全县各级办公室的业务指导和协调管理。（十四）承办县委及上级党委办公室交办的其他工作。</w:t>
            </w:r>
          </w:p>
        </w:tc>
      </w:tr>
      <w:tr>
        <w:tblPrEx>
          <w:tblCellMar>
            <w:top w:w="0" w:type="dxa"/>
            <w:left w:w="108" w:type="dxa"/>
            <w:bottom w:w="0" w:type="dxa"/>
            <w:right w:w="108" w:type="dxa"/>
          </w:tblCellMar>
        </w:tblPrEx>
        <w:trPr>
          <w:trHeight w:val="630" w:hRule="atLeast"/>
        </w:trPr>
        <w:tc>
          <w:tcPr>
            <w:tcW w:w="12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整体绩效目标</w:t>
            </w:r>
          </w:p>
        </w:tc>
        <w:tc>
          <w:tcPr>
            <w:tcW w:w="1838" w:type="dxa"/>
            <w:gridSpan w:val="2"/>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目标1：</w:t>
            </w:r>
          </w:p>
        </w:tc>
        <w:tc>
          <w:tcPr>
            <w:tcW w:w="7092" w:type="dxa"/>
            <w:gridSpan w:val="6"/>
            <w:tcBorders>
              <w:top w:val="single" w:color="auto" w:sz="4" w:space="0"/>
              <w:left w:val="nil"/>
              <w:bottom w:val="single" w:color="auto" w:sz="4" w:space="0"/>
              <w:right w:val="single" w:color="000000" w:sz="4" w:space="0"/>
            </w:tcBorders>
            <w:shd w:val="clear" w:color="auto" w:fill="auto"/>
          </w:tcPr>
          <w:p>
            <w:pPr>
              <w:widowControl/>
              <w:spacing w:line="440" w:lineRule="exact"/>
              <w:rPr>
                <w:rFonts w:ascii="宋体" w:hAnsi="宋体" w:cs="宋体"/>
                <w:color w:val="000000"/>
                <w:kern w:val="0"/>
                <w:sz w:val="22"/>
                <w:szCs w:val="22"/>
              </w:rPr>
            </w:pPr>
            <w:r>
              <w:rPr>
                <w:rFonts w:hint="eastAsia" w:ascii="宋体" w:hAnsi="宋体" w:cs="宋体"/>
                <w:color w:val="000000"/>
                <w:kern w:val="0"/>
                <w:sz w:val="22"/>
                <w:szCs w:val="22"/>
              </w:rPr>
              <w:t>服务全县经济发展，搜集、研究重要信息、动态，为县委决策提供参考的建议方案</w:t>
            </w:r>
          </w:p>
        </w:tc>
      </w:tr>
      <w:tr>
        <w:tblPrEx>
          <w:tblCellMar>
            <w:top w:w="0" w:type="dxa"/>
            <w:left w:w="108" w:type="dxa"/>
            <w:bottom w:w="0" w:type="dxa"/>
            <w:right w:w="108" w:type="dxa"/>
          </w:tblCellMar>
        </w:tblPrEx>
        <w:trPr>
          <w:trHeight w:val="315"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目标2：</w:t>
            </w:r>
          </w:p>
        </w:tc>
        <w:tc>
          <w:tcPr>
            <w:tcW w:w="7092" w:type="dxa"/>
            <w:gridSpan w:val="6"/>
            <w:tcBorders>
              <w:top w:val="single" w:color="auto" w:sz="4" w:space="0"/>
              <w:left w:val="nil"/>
              <w:bottom w:val="single" w:color="auto" w:sz="4" w:space="0"/>
              <w:right w:val="single" w:color="000000" w:sz="4" w:space="0"/>
            </w:tcBorders>
            <w:shd w:val="clear" w:color="auto" w:fill="auto"/>
          </w:tcPr>
          <w:p>
            <w:pPr>
              <w:widowControl/>
              <w:spacing w:line="440" w:lineRule="exact"/>
              <w:rPr>
                <w:rFonts w:ascii="宋体" w:hAnsi="宋体" w:cs="宋体"/>
                <w:color w:val="000000"/>
                <w:kern w:val="0"/>
                <w:sz w:val="22"/>
                <w:szCs w:val="22"/>
              </w:rPr>
            </w:pPr>
            <w:r>
              <w:rPr>
                <w:rFonts w:hint="eastAsia" w:ascii="宋体" w:hAnsi="宋体" w:cs="宋体"/>
                <w:color w:val="000000"/>
                <w:kern w:val="0"/>
                <w:sz w:val="22"/>
                <w:szCs w:val="22"/>
              </w:rPr>
              <w:t>办理各类公文，负责有关会议的组织工作，督促有关事项的落实</w:t>
            </w:r>
          </w:p>
        </w:tc>
      </w:tr>
      <w:tr>
        <w:tblPrEx>
          <w:tblCellMar>
            <w:top w:w="0" w:type="dxa"/>
            <w:left w:w="108" w:type="dxa"/>
            <w:bottom w:w="0" w:type="dxa"/>
            <w:right w:w="108" w:type="dxa"/>
          </w:tblCellMar>
        </w:tblPrEx>
        <w:trPr>
          <w:trHeight w:val="270"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目标3：</w:t>
            </w:r>
          </w:p>
        </w:tc>
        <w:tc>
          <w:tcPr>
            <w:tcW w:w="7092" w:type="dxa"/>
            <w:gridSpan w:val="6"/>
            <w:tcBorders>
              <w:top w:val="single" w:color="auto" w:sz="4" w:space="0"/>
              <w:left w:val="nil"/>
              <w:bottom w:val="single" w:color="auto" w:sz="4" w:space="0"/>
              <w:right w:val="single" w:color="000000" w:sz="4" w:space="0"/>
            </w:tcBorders>
            <w:shd w:val="clear" w:color="auto" w:fill="auto"/>
          </w:tcPr>
          <w:p>
            <w:pPr>
              <w:widowControl/>
              <w:spacing w:line="440" w:lineRule="exact"/>
              <w:rPr>
                <w:rFonts w:ascii="宋体" w:hAnsi="宋体" w:cs="宋体"/>
                <w:color w:val="000000"/>
                <w:kern w:val="0"/>
                <w:sz w:val="22"/>
                <w:szCs w:val="22"/>
              </w:rPr>
            </w:pPr>
            <w:r>
              <w:rPr>
                <w:rFonts w:hint="eastAsia" w:ascii="宋体" w:hAnsi="宋体" w:cs="宋体"/>
                <w:color w:val="000000"/>
                <w:kern w:val="0"/>
                <w:sz w:val="22"/>
                <w:szCs w:val="22"/>
              </w:rPr>
              <w:t>加强经费及资产管理，降低行政成本,完善机关有关制度</w:t>
            </w:r>
          </w:p>
        </w:tc>
      </w:tr>
      <w:tr>
        <w:tblPrEx>
          <w:tblCellMar>
            <w:top w:w="0" w:type="dxa"/>
            <w:left w:w="108" w:type="dxa"/>
            <w:bottom w:w="0" w:type="dxa"/>
            <w:right w:w="108" w:type="dxa"/>
          </w:tblCellMar>
        </w:tblPrEx>
        <w:trPr>
          <w:trHeight w:val="270"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7092"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2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部门整体支出       年度绩效目标</w:t>
            </w:r>
          </w:p>
        </w:tc>
        <w:tc>
          <w:tcPr>
            <w:tcW w:w="1838" w:type="dxa"/>
            <w:gridSpan w:val="2"/>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rPr>
            </w:pPr>
            <w:r>
              <w:rPr>
                <w:rFonts w:hint="eastAsia" w:ascii="宋体" w:hAnsi="宋体" w:cs="宋体"/>
                <w:kern w:val="0"/>
              </w:rPr>
              <w:t>一级指标</w:t>
            </w:r>
          </w:p>
        </w:tc>
        <w:tc>
          <w:tcPr>
            <w:tcW w:w="17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二级指标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三级指标</w:t>
            </w:r>
          </w:p>
        </w:tc>
        <w:tc>
          <w:tcPr>
            <w:tcW w:w="249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指标内容</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指标值</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trHeight w:val="555"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产出指标</w:t>
            </w:r>
          </w:p>
        </w:tc>
        <w:tc>
          <w:tcPr>
            <w:tcW w:w="171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数量指标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tcPr>
          <w:p>
            <w:pPr>
              <w:widowControl/>
              <w:spacing w:line="440" w:lineRule="exact"/>
              <w:rPr>
                <w:rFonts w:ascii="宋体" w:hAnsi="宋体" w:cs="宋体"/>
                <w:color w:val="000000"/>
                <w:kern w:val="0"/>
                <w:sz w:val="22"/>
                <w:szCs w:val="22"/>
              </w:rPr>
            </w:pPr>
            <w:r>
              <w:rPr>
                <w:rFonts w:hint="eastAsia" w:ascii="宋体" w:hAnsi="宋体" w:cs="宋体"/>
                <w:color w:val="000000"/>
                <w:kern w:val="0"/>
                <w:sz w:val="22"/>
                <w:szCs w:val="22"/>
              </w:rPr>
              <w:t>提供全县经济发展动态信息30条；为县委决策提供参考建议预计20项；组织对县直单位各项工作考核20大项。</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0"/>
                <w:szCs w:val="20"/>
              </w:rPr>
            </w:pP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635"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质量指标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tcPr>
          <w:p>
            <w:pPr>
              <w:widowControl/>
              <w:spacing w:line="440" w:lineRule="exact"/>
              <w:rPr>
                <w:rFonts w:ascii="宋体" w:hAnsi="宋体" w:cs="宋体"/>
                <w:color w:val="000000"/>
                <w:kern w:val="0"/>
                <w:sz w:val="22"/>
                <w:szCs w:val="22"/>
              </w:rPr>
            </w:pPr>
            <w:r>
              <w:rPr>
                <w:rFonts w:hint="eastAsia" w:ascii="宋体" w:hAnsi="宋体" w:cs="宋体"/>
                <w:color w:val="000000"/>
                <w:kern w:val="0"/>
                <w:sz w:val="22"/>
                <w:szCs w:val="22"/>
              </w:rPr>
              <w:t>完成各项工作任务，认真调查研究、搞好综合协调，维护社会维定，各项工作完成率100%，努力达到县委县政府要求。</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0"/>
                <w:szCs w:val="20"/>
              </w:rPr>
            </w:pP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tcBorders>
              <w:top w:val="nil"/>
              <w:left w:val="nil"/>
              <w:bottom w:val="nil"/>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时效指标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tcPr>
          <w:p>
            <w:pPr>
              <w:widowControl/>
              <w:spacing w:line="440" w:lineRule="exact"/>
              <w:rPr>
                <w:rFonts w:ascii="宋体" w:hAnsi="宋体" w:cs="宋体"/>
                <w:color w:val="000000"/>
                <w:kern w:val="0"/>
                <w:sz w:val="22"/>
                <w:szCs w:val="22"/>
              </w:rPr>
            </w:pPr>
            <w:r>
              <w:rPr>
                <w:rFonts w:hint="eastAsia" w:ascii="宋体" w:hAnsi="宋体" w:cs="宋体"/>
                <w:color w:val="000000"/>
                <w:kern w:val="0"/>
                <w:sz w:val="22"/>
                <w:szCs w:val="22"/>
              </w:rPr>
              <w:t>工资福利及退休费等人员经费发放及时性；其他经费支出1-12月合理调度</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650"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成本指标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tcPr>
          <w:p>
            <w:pPr>
              <w:widowControl/>
              <w:spacing w:line="440" w:lineRule="exact"/>
              <w:rPr>
                <w:rFonts w:ascii="宋体" w:hAnsi="宋体" w:cs="宋体"/>
                <w:color w:val="000000"/>
                <w:kern w:val="0"/>
                <w:sz w:val="22"/>
                <w:szCs w:val="22"/>
              </w:rPr>
            </w:pPr>
            <w:r>
              <w:rPr>
                <w:rFonts w:hint="eastAsia" w:ascii="宋体" w:hAnsi="宋体" w:cs="宋体"/>
                <w:color w:val="000000"/>
                <w:kern w:val="0"/>
                <w:sz w:val="22"/>
                <w:szCs w:val="22"/>
              </w:rPr>
              <w:t>按预算数支出人员经费和公用经费，从严控制“三公”经费支出。</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0"/>
                <w:szCs w:val="20"/>
              </w:rPr>
            </w:pP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65"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效益指标</w:t>
            </w:r>
          </w:p>
        </w:tc>
        <w:tc>
          <w:tcPr>
            <w:tcW w:w="17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经济效益指标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tcPr>
          <w:p>
            <w:pPr>
              <w:widowControl/>
              <w:spacing w:line="440" w:lineRule="exact"/>
              <w:rPr>
                <w:rFonts w:ascii="宋体" w:hAnsi="宋体" w:cs="宋体"/>
                <w:color w:val="000000"/>
                <w:kern w:val="0"/>
                <w:sz w:val="22"/>
                <w:szCs w:val="22"/>
              </w:rPr>
            </w:pPr>
            <w:r>
              <w:rPr>
                <w:rFonts w:hint="eastAsia" w:ascii="宋体" w:hAnsi="宋体" w:cs="宋体"/>
                <w:color w:val="000000"/>
                <w:kern w:val="0"/>
                <w:sz w:val="22"/>
                <w:szCs w:val="22"/>
              </w:rPr>
              <w:t>引进投资项目，接待来电、来信和来访，协调好各类突发事件，为全县经济发展提供良好的环境。</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25"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社会效益指标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tcPr>
          <w:p>
            <w:pPr>
              <w:widowControl/>
              <w:spacing w:line="440" w:lineRule="exact"/>
              <w:rPr>
                <w:rFonts w:ascii="宋体" w:hAnsi="宋体" w:cs="宋体"/>
                <w:color w:val="000000"/>
                <w:kern w:val="0"/>
                <w:sz w:val="22"/>
                <w:szCs w:val="22"/>
              </w:rPr>
            </w:pPr>
            <w:r>
              <w:rPr>
                <w:rFonts w:hint="eastAsia" w:ascii="宋体" w:hAnsi="宋体" w:cs="宋体"/>
                <w:color w:val="000000"/>
                <w:kern w:val="0"/>
                <w:sz w:val="22"/>
                <w:szCs w:val="22"/>
              </w:rPr>
              <w:t>提升服务水平，提高办公速度，提高干部综合能力。</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生态效益指标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可持续影响指标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35" w:hRule="atLeast"/>
        </w:trPr>
        <w:tc>
          <w:tcPr>
            <w:tcW w:w="1295"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838" w:type="dxa"/>
            <w:gridSpan w:val="2"/>
            <w:vMerge w:val="continue"/>
            <w:tcBorders>
              <w:top w:val="nil"/>
              <w:left w:val="single" w:color="auto" w:sz="4" w:space="0"/>
              <w:bottom w:val="single" w:color="000000" w:sz="4" w:space="0"/>
              <w:right w:val="single" w:color="auto" w:sz="4" w:space="0"/>
            </w:tcBorders>
            <w:vAlign w:val="center"/>
          </w:tcPr>
          <w:p>
            <w:pPr>
              <w:widowControl/>
              <w:spacing w:line="440" w:lineRule="exact"/>
              <w:jc w:val="left"/>
              <w:rPr>
                <w:rFonts w:ascii="宋体" w:hAnsi="宋体" w:cs="宋体"/>
                <w:color w:val="000000"/>
                <w:kern w:val="0"/>
                <w:sz w:val="22"/>
                <w:szCs w:val="22"/>
              </w:rPr>
            </w:pPr>
          </w:p>
        </w:tc>
        <w:tc>
          <w:tcPr>
            <w:tcW w:w="1716"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0"/>
                <w:szCs w:val="20"/>
              </w:rPr>
            </w:pPr>
            <w:r>
              <w:rPr>
                <w:rFonts w:hint="eastAsia" w:ascii="宋体" w:hAnsi="宋体" w:cs="宋体"/>
                <w:kern w:val="0"/>
                <w:sz w:val="20"/>
                <w:szCs w:val="20"/>
              </w:rPr>
              <w:t>满意度指标</w:t>
            </w:r>
          </w:p>
        </w:tc>
        <w:tc>
          <w:tcPr>
            <w:tcW w:w="10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496"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满意率达到90%以上。</w:t>
            </w:r>
          </w:p>
        </w:tc>
        <w:tc>
          <w:tcPr>
            <w:tcW w:w="1178"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24"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470"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color w:val="000000"/>
                <w:kern w:val="0"/>
                <w:sz w:val="22"/>
                <w:szCs w:val="22"/>
              </w:rPr>
            </w:pPr>
            <w:r>
              <w:rPr>
                <w:rFonts w:hint="eastAsia" w:ascii="宋体" w:hAnsi="宋体" w:cs="宋体"/>
                <w:color w:val="000000"/>
                <w:kern w:val="0"/>
                <w:sz w:val="22"/>
                <w:szCs w:val="22"/>
              </w:rPr>
              <w:t>财政部门审核意见</w:t>
            </w:r>
          </w:p>
        </w:tc>
        <w:tc>
          <w:tcPr>
            <w:tcW w:w="8930" w:type="dxa"/>
            <w:gridSpan w:val="8"/>
            <w:tcBorders>
              <w:top w:val="single" w:color="auto" w:sz="4" w:space="0"/>
              <w:left w:val="nil"/>
              <w:bottom w:val="single" w:color="auto" w:sz="4" w:space="0"/>
              <w:right w:val="single" w:color="000000" w:sz="4" w:space="0"/>
            </w:tcBorders>
            <w:shd w:val="clear" w:color="auto" w:fill="auto"/>
            <w:vAlign w:val="bottom"/>
          </w:tcPr>
          <w:p>
            <w:pPr>
              <w:widowControl/>
              <w:spacing w:line="440" w:lineRule="exact"/>
              <w:jc w:val="right"/>
              <w:rPr>
                <w:rFonts w:ascii="宋体" w:hAnsi="宋体" w:cs="宋体"/>
                <w:color w:val="000000"/>
                <w:kern w:val="0"/>
                <w:sz w:val="24"/>
                <w:szCs w:val="24"/>
              </w:rPr>
            </w:pPr>
            <w:r>
              <w:rPr>
                <w:rFonts w:hint="eastAsia" w:ascii="宋体" w:hAnsi="宋体" w:cs="宋体"/>
                <w:color w:val="000000"/>
                <w:kern w:val="0"/>
                <w:sz w:val="24"/>
                <w:szCs w:val="24"/>
              </w:rPr>
              <w:t>年   月   日</w:t>
            </w:r>
          </w:p>
        </w:tc>
      </w:tr>
    </w:tbl>
    <w:p>
      <w:pPr>
        <w:spacing w:line="440" w:lineRule="exact"/>
        <w:jc w:val="left"/>
        <w:rPr>
          <w:rFonts w:ascii="宋体" w:cs="Times New Roman"/>
          <w:color w:val="000000"/>
          <w:kern w:val="0"/>
          <w:sz w:val="32"/>
          <w:szCs w:val="32"/>
        </w:rPr>
      </w:pP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k2YTE0MzIwNmQ1Yzg1ZGY1YWM4ODc4NDU1ZDRiNWQifQ=="/>
  </w:docVars>
  <w:rsids>
    <w:rsidRoot w:val="004506F9"/>
    <w:rsid w:val="00021899"/>
    <w:rsid w:val="0002229B"/>
    <w:rsid w:val="00024A82"/>
    <w:rsid w:val="000273BD"/>
    <w:rsid w:val="000415B7"/>
    <w:rsid w:val="00047EDB"/>
    <w:rsid w:val="000658A3"/>
    <w:rsid w:val="00072A59"/>
    <w:rsid w:val="00073D60"/>
    <w:rsid w:val="00074155"/>
    <w:rsid w:val="000A3F69"/>
    <w:rsid w:val="000B3A75"/>
    <w:rsid w:val="001105C6"/>
    <w:rsid w:val="00110E2F"/>
    <w:rsid w:val="00152C6D"/>
    <w:rsid w:val="00154801"/>
    <w:rsid w:val="00155226"/>
    <w:rsid w:val="00155F17"/>
    <w:rsid w:val="00162D39"/>
    <w:rsid w:val="001A67DB"/>
    <w:rsid w:val="001D09B1"/>
    <w:rsid w:val="001D42F6"/>
    <w:rsid w:val="001D51E5"/>
    <w:rsid w:val="001E5373"/>
    <w:rsid w:val="001F0C3B"/>
    <w:rsid w:val="00202A35"/>
    <w:rsid w:val="00214427"/>
    <w:rsid w:val="00236A17"/>
    <w:rsid w:val="00265724"/>
    <w:rsid w:val="002726D0"/>
    <w:rsid w:val="0027426B"/>
    <w:rsid w:val="00296D9D"/>
    <w:rsid w:val="002B7CB6"/>
    <w:rsid w:val="002D20BF"/>
    <w:rsid w:val="002E35C7"/>
    <w:rsid w:val="0033475A"/>
    <w:rsid w:val="003479BD"/>
    <w:rsid w:val="003768D5"/>
    <w:rsid w:val="003934BF"/>
    <w:rsid w:val="003E5D50"/>
    <w:rsid w:val="00413265"/>
    <w:rsid w:val="00426D74"/>
    <w:rsid w:val="004506F9"/>
    <w:rsid w:val="004515E6"/>
    <w:rsid w:val="00464EF3"/>
    <w:rsid w:val="004717A2"/>
    <w:rsid w:val="00476EF9"/>
    <w:rsid w:val="004819E9"/>
    <w:rsid w:val="00490644"/>
    <w:rsid w:val="00491741"/>
    <w:rsid w:val="00496C49"/>
    <w:rsid w:val="004A5345"/>
    <w:rsid w:val="004A7BBE"/>
    <w:rsid w:val="00500E5F"/>
    <w:rsid w:val="005122EF"/>
    <w:rsid w:val="00517C33"/>
    <w:rsid w:val="00523644"/>
    <w:rsid w:val="00526229"/>
    <w:rsid w:val="0054069E"/>
    <w:rsid w:val="00545341"/>
    <w:rsid w:val="00554F3C"/>
    <w:rsid w:val="005767CC"/>
    <w:rsid w:val="00576CF7"/>
    <w:rsid w:val="00590D9F"/>
    <w:rsid w:val="00593944"/>
    <w:rsid w:val="00595D26"/>
    <w:rsid w:val="00596032"/>
    <w:rsid w:val="005A74E6"/>
    <w:rsid w:val="005D008E"/>
    <w:rsid w:val="005D4D55"/>
    <w:rsid w:val="005D7989"/>
    <w:rsid w:val="005E2CFB"/>
    <w:rsid w:val="00607A4A"/>
    <w:rsid w:val="0061242D"/>
    <w:rsid w:val="006143E8"/>
    <w:rsid w:val="0062132A"/>
    <w:rsid w:val="0062378F"/>
    <w:rsid w:val="00644BDF"/>
    <w:rsid w:val="00651EEC"/>
    <w:rsid w:val="00675449"/>
    <w:rsid w:val="00687A8F"/>
    <w:rsid w:val="006A102F"/>
    <w:rsid w:val="006A351B"/>
    <w:rsid w:val="006B0422"/>
    <w:rsid w:val="006C1B53"/>
    <w:rsid w:val="006D7730"/>
    <w:rsid w:val="006E5284"/>
    <w:rsid w:val="006F3D3C"/>
    <w:rsid w:val="006F3EB5"/>
    <w:rsid w:val="00702E34"/>
    <w:rsid w:val="00703B42"/>
    <w:rsid w:val="00704395"/>
    <w:rsid w:val="00720FF1"/>
    <w:rsid w:val="0072368A"/>
    <w:rsid w:val="00760EB7"/>
    <w:rsid w:val="00774544"/>
    <w:rsid w:val="007B729F"/>
    <w:rsid w:val="007C7512"/>
    <w:rsid w:val="007D2CF2"/>
    <w:rsid w:val="007F1B49"/>
    <w:rsid w:val="00800EBA"/>
    <w:rsid w:val="00810104"/>
    <w:rsid w:val="00812ED5"/>
    <w:rsid w:val="00816A28"/>
    <w:rsid w:val="008277D9"/>
    <w:rsid w:val="00830E07"/>
    <w:rsid w:val="00881FC3"/>
    <w:rsid w:val="008A3E8D"/>
    <w:rsid w:val="008C21CE"/>
    <w:rsid w:val="008D3ACE"/>
    <w:rsid w:val="00904BAE"/>
    <w:rsid w:val="00911121"/>
    <w:rsid w:val="009237C4"/>
    <w:rsid w:val="009246AB"/>
    <w:rsid w:val="00927491"/>
    <w:rsid w:val="00933A44"/>
    <w:rsid w:val="009472FE"/>
    <w:rsid w:val="00950252"/>
    <w:rsid w:val="00966144"/>
    <w:rsid w:val="00967F5D"/>
    <w:rsid w:val="009A0F95"/>
    <w:rsid w:val="009B3ADF"/>
    <w:rsid w:val="009C06C6"/>
    <w:rsid w:val="009C3B52"/>
    <w:rsid w:val="009C754E"/>
    <w:rsid w:val="009D553F"/>
    <w:rsid w:val="009E3832"/>
    <w:rsid w:val="009E7C02"/>
    <w:rsid w:val="00A20513"/>
    <w:rsid w:val="00A2551F"/>
    <w:rsid w:val="00A315C5"/>
    <w:rsid w:val="00A336C2"/>
    <w:rsid w:val="00A42218"/>
    <w:rsid w:val="00A46B65"/>
    <w:rsid w:val="00A659AE"/>
    <w:rsid w:val="00A70249"/>
    <w:rsid w:val="00A744C5"/>
    <w:rsid w:val="00A91CCB"/>
    <w:rsid w:val="00AB4FC0"/>
    <w:rsid w:val="00AC684D"/>
    <w:rsid w:val="00AE1D97"/>
    <w:rsid w:val="00AE7C02"/>
    <w:rsid w:val="00AF1CF5"/>
    <w:rsid w:val="00B157D8"/>
    <w:rsid w:val="00B16511"/>
    <w:rsid w:val="00B23DE4"/>
    <w:rsid w:val="00B313E7"/>
    <w:rsid w:val="00B33BEA"/>
    <w:rsid w:val="00B3438B"/>
    <w:rsid w:val="00B52183"/>
    <w:rsid w:val="00B57C9F"/>
    <w:rsid w:val="00B845B3"/>
    <w:rsid w:val="00B85D8B"/>
    <w:rsid w:val="00BB36C3"/>
    <w:rsid w:val="00BD1356"/>
    <w:rsid w:val="00BE3674"/>
    <w:rsid w:val="00BF0F67"/>
    <w:rsid w:val="00C3049A"/>
    <w:rsid w:val="00C31B1E"/>
    <w:rsid w:val="00C64B17"/>
    <w:rsid w:val="00C770D0"/>
    <w:rsid w:val="00C77645"/>
    <w:rsid w:val="00C963CA"/>
    <w:rsid w:val="00CB0C86"/>
    <w:rsid w:val="00CC0E8C"/>
    <w:rsid w:val="00CE04C3"/>
    <w:rsid w:val="00CE2B80"/>
    <w:rsid w:val="00CE40BF"/>
    <w:rsid w:val="00CE76A0"/>
    <w:rsid w:val="00D148C6"/>
    <w:rsid w:val="00D2323A"/>
    <w:rsid w:val="00D4727C"/>
    <w:rsid w:val="00D64B7C"/>
    <w:rsid w:val="00D673DB"/>
    <w:rsid w:val="00D71FEE"/>
    <w:rsid w:val="00D762B2"/>
    <w:rsid w:val="00D84334"/>
    <w:rsid w:val="00DB3B38"/>
    <w:rsid w:val="00DC11DA"/>
    <w:rsid w:val="00DD06FF"/>
    <w:rsid w:val="00DD5FE9"/>
    <w:rsid w:val="00E00C7A"/>
    <w:rsid w:val="00E35008"/>
    <w:rsid w:val="00E468CC"/>
    <w:rsid w:val="00E55B68"/>
    <w:rsid w:val="00E72F3E"/>
    <w:rsid w:val="00E75B94"/>
    <w:rsid w:val="00E91F5A"/>
    <w:rsid w:val="00E93DF1"/>
    <w:rsid w:val="00EC6B91"/>
    <w:rsid w:val="00F06A0E"/>
    <w:rsid w:val="00F4409F"/>
    <w:rsid w:val="00F5717D"/>
    <w:rsid w:val="00F57E54"/>
    <w:rsid w:val="00F74360"/>
    <w:rsid w:val="00FB1473"/>
    <w:rsid w:val="00FB462F"/>
    <w:rsid w:val="00FC0D08"/>
    <w:rsid w:val="00FE16FA"/>
    <w:rsid w:val="00FE20B9"/>
    <w:rsid w:val="00FE328A"/>
    <w:rsid w:val="00FF226B"/>
    <w:rsid w:val="54EA5CD1"/>
    <w:rsid w:val="5F0C30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qFormat/>
    <w:uiPriority w:val="99"/>
    <w:pPr>
      <w:shd w:val="clear" w:color="auto" w:fill="000080"/>
    </w:pPr>
  </w:style>
  <w:style w:type="paragraph" w:styleId="3">
    <w:name w:val="Balloon Text"/>
    <w:basedOn w:val="1"/>
    <w:link w:val="14"/>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locked/>
    <w:uiPriority w:val="99"/>
    <w:rPr>
      <w:sz w:val="18"/>
      <w:szCs w:val="18"/>
    </w:rPr>
  </w:style>
  <w:style w:type="character" w:customStyle="1" w:styleId="11">
    <w:name w:val="页脚 Char"/>
    <w:basedOn w:val="9"/>
    <w:link w:val="4"/>
    <w:locked/>
    <w:uiPriority w:val="99"/>
    <w:rPr>
      <w:sz w:val="18"/>
      <w:szCs w:val="18"/>
    </w:rPr>
  </w:style>
  <w:style w:type="paragraph" w:customStyle="1" w:styleId="12">
    <w:name w:val="Defaul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Char"/>
    <w:basedOn w:val="9"/>
    <w:link w:val="3"/>
    <w:semiHidden/>
    <w:locked/>
    <w:uiPriority w:val="99"/>
    <w:rPr>
      <w:sz w:val="18"/>
      <w:szCs w:val="18"/>
    </w:rPr>
  </w:style>
  <w:style w:type="character" w:customStyle="1" w:styleId="15">
    <w:name w:val="文档结构图 Char"/>
    <w:basedOn w:val="9"/>
    <w:link w:val="2"/>
    <w:semiHidden/>
    <w:locked/>
    <w:uiPriority w:val="99"/>
    <w:rPr>
      <w:rFonts w:ascii="Times New Roman" w:hAnsi="Times New Roman" w:cs="Times New Roman"/>
      <w:sz w:val="2"/>
      <w:szCs w:val="2"/>
    </w:rPr>
  </w:style>
  <w:style w:type="character" w:customStyle="1" w:styleId="16">
    <w:name w:val="font1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7590</Words>
  <Characters>8012</Characters>
  <Lines>63</Lines>
  <Paragraphs>17</Paragraphs>
  <TotalTime>143</TotalTime>
  <ScaleCrop>false</ScaleCrop>
  <LinksUpToDate>false</LinksUpToDate>
  <CharactersWithSpaces>8243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2020-08-04T03:45:00Z</dcterms:created>
  <dc:creator>李航 null</dc:creator>
  <cp:lastModifiedBy>Administrator</cp:lastModifiedBy>
  <cp:lastPrinted>2020-07-15T07:25:00Z</cp:lastPrinted>
  <dcterms:modified xsi:type="dcterms:W3CDTF">2024-08-28T07:24:09Z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DDB02F04DCFC442CA6FDCF37154F35C4</vt:lpwstr>
  </property>
</Properties>
</file>