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_GB2312" w:cs="Times New Roman"/>
          <w:sz w:val="28"/>
          <w:szCs w:val="28"/>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48"/>
          <w:szCs w:val="48"/>
        </w:rPr>
      </w:pPr>
      <w:r>
        <w:rPr>
          <w:rFonts w:ascii="Times New Roman" w:hAnsi="Times New Roman" w:cs="Times New Roman"/>
          <w:b/>
          <w:sz w:val="48"/>
          <w:szCs w:val="48"/>
        </w:rPr>
        <w:t>2021年度</w:t>
      </w:r>
      <w:r>
        <w:rPr>
          <w:rFonts w:hint="eastAsia" w:ascii="Times New Roman" w:hAnsi="Times New Roman" w:cs="Times New Roman"/>
          <w:b/>
          <w:sz w:val="48"/>
          <w:szCs w:val="48"/>
        </w:rPr>
        <w:t>澧县发展和改革局</w:t>
      </w:r>
      <w:r>
        <w:rPr>
          <w:rFonts w:ascii="Times New Roman" w:hAnsi="Times New Roman" w:cs="Times New Roman"/>
          <w:b/>
          <w:sz w:val="48"/>
          <w:szCs w:val="48"/>
        </w:rPr>
        <w:t>单位</w:t>
      </w:r>
    </w:p>
    <w:p>
      <w:pPr>
        <w:jc w:val="center"/>
        <w:rPr>
          <w:rFonts w:ascii="Times New Roman" w:hAnsi="Times New Roman" w:cs="Times New Roman"/>
          <w:b/>
          <w:sz w:val="48"/>
          <w:szCs w:val="48"/>
        </w:rPr>
      </w:pPr>
      <w:r>
        <w:rPr>
          <w:rFonts w:ascii="Times New Roman" w:hAnsi="Times New Roman" w:cs="Times New Roman"/>
          <w:b/>
          <w:sz w:val="48"/>
          <w:szCs w:val="48"/>
        </w:rPr>
        <w:t>整体支出绩效自评报告</w:t>
      </w: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单位名称：（盖章）</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年   月   日</w:t>
      </w:r>
    </w:p>
    <w:p>
      <w:pPr>
        <w:jc w:val="cente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80" w:lineRule="exact"/>
        <w:jc w:val="center"/>
        <w:rPr>
          <w:rFonts w:ascii="Times New Roman" w:hAnsi="Times New Roman" w:cs="Times New Roman" w:eastAsiaTheme="majorEastAsia"/>
          <w:b/>
          <w:sz w:val="44"/>
          <w:szCs w:val="44"/>
        </w:rPr>
      </w:pPr>
    </w:p>
    <w:p>
      <w:pPr>
        <w:spacing w:line="580" w:lineRule="exact"/>
        <w:jc w:val="center"/>
        <w:rPr>
          <w:rFonts w:hint="eastAsia" w:ascii="Times New Roman" w:hAnsi="Times New Roman" w:cs="Times New Roman" w:eastAsiaTheme="majorEastAsia"/>
          <w:b/>
          <w:sz w:val="44"/>
          <w:szCs w:val="44"/>
        </w:rPr>
      </w:pPr>
      <w:r>
        <w:rPr>
          <w:rFonts w:hint="eastAsia" w:ascii="Times New Roman" w:hAnsi="Times New Roman" w:cs="Times New Roman" w:eastAsiaTheme="majorEastAsia"/>
          <w:b/>
          <w:sz w:val="44"/>
          <w:szCs w:val="44"/>
        </w:rPr>
        <w:t>澧县发展和改革局2021年度整体绩效评价报   告</w:t>
      </w:r>
    </w:p>
    <w:p>
      <w:pPr>
        <w:spacing w:line="360" w:lineRule="auto"/>
        <w:ind w:firstLine="600" w:firstLineChars="200"/>
        <w:rPr>
          <w:rFonts w:hint="eastAsia" w:asciiTheme="minorEastAsia" w:hAnsiTheme="minorEastAsia"/>
          <w:color w:val="3D3D3D"/>
          <w:sz w:val="30"/>
          <w:szCs w:val="30"/>
        </w:rPr>
      </w:pPr>
    </w:p>
    <w:p>
      <w:pPr>
        <w:spacing w:line="360" w:lineRule="auto"/>
        <w:ind w:firstLine="600" w:firstLineChars="200"/>
        <w:rPr>
          <w:rFonts w:cs="Times New Roman" w:asciiTheme="minorEastAsia" w:hAnsiTheme="minorEastAsia"/>
          <w:sz w:val="30"/>
          <w:szCs w:val="30"/>
        </w:rPr>
      </w:pPr>
      <w:r>
        <w:rPr>
          <w:rFonts w:hint="eastAsia" w:asciiTheme="minorEastAsia" w:hAnsiTheme="minorEastAsia"/>
          <w:color w:val="3D3D3D"/>
          <w:sz w:val="30"/>
          <w:szCs w:val="30"/>
        </w:rPr>
        <w:t>《澧县财政局关于开展2021年度预算支出绩效自评工作的通知》（澧财发〔2022〕11号）文件要求，我局自下而上对2021年澧县发展和改革局部门整体支出进行了绩效评价。现将有关情况报告如下：</w:t>
      </w:r>
    </w:p>
    <w:p>
      <w:pPr>
        <w:pStyle w:val="8"/>
        <w:numPr>
          <w:ilvl w:val="0"/>
          <w:numId w:val="1"/>
        </w:numPr>
        <w:spacing w:line="360" w:lineRule="auto"/>
        <w:ind w:firstLineChars="0"/>
        <w:rPr>
          <w:rFonts w:cs="Times New Roman" w:asciiTheme="minorEastAsia" w:hAnsiTheme="minorEastAsia"/>
          <w:sz w:val="30"/>
          <w:szCs w:val="30"/>
        </w:rPr>
      </w:pPr>
      <w:r>
        <w:rPr>
          <w:rFonts w:cs="Times New Roman" w:asciiTheme="minorEastAsia" w:hAnsiTheme="minorEastAsia"/>
          <w:sz w:val="30"/>
          <w:szCs w:val="30"/>
        </w:rPr>
        <w:t>部门（单位）基本情况</w:t>
      </w:r>
    </w:p>
    <w:p>
      <w:pPr>
        <w:snapToGrid w:val="0"/>
        <w:spacing w:line="360" w:lineRule="auto"/>
        <w:ind w:firstLine="600" w:firstLineChars="200"/>
        <w:rPr>
          <w:rFonts w:asciiTheme="minorEastAsia" w:hAnsiTheme="minorEastAsia"/>
          <w:sz w:val="30"/>
          <w:szCs w:val="30"/>
        </w:rPr>
      </w:pPr>
      <w:r>
        <w:rPr>
          <w:rFonts w:hint="eastAsia" w:cs="Times New Roman" w:asciiTheme="minorEastAsia" w:hAnsiTheme="minorEastAsia"/>
          <w:sz w:val="30"/>
          <w:szCs w:val="30"/>
        </w:rPr>
        <w:t>1、</w:t>
      </w:r>
      <w:r>
        <w:rPr>
          <w:rFonts w:hint="eastAsia" w:asciiTheme="minorEastAsia" w:hAnsiTheme="minorEastAsia"/>
          <w:sz w:val="30"/>
          <w:szCs w:val="30"/>
        </w:rPr>
        <w:t>机构构成</w:t>
      </w:r>
    </w:p>
    <w:p>
      <w:pPr>
        <w:snapToGrid w:val="0"/>
        <w:spacing w:line="360" w:lineRule="auto"/>
        <w:ind w:firstLine="600" w:firstLineChars="200"/>
        <w:rPr>
          <w:rFonts w:asciiTheme="minorEastAsia" w:hAnsiTheme="minorEastAsia"/>
          <w:sz w:val="30"/>
          <w:szCs w:val="30"/>
        </w:rPr>
      </w:pPr>
      <w:r>
        <w:rPr>
          <w:rFonts w:hint="eastAsia" w:cs="宋体" w:asciiTheme="minorEastAsia" w:hAnsiTheme="minorEastAsia"/>
          <w:sz w:val="30"/>
          <w:szCs w:val="30"/>
        </w:rPr>
        <w:t>澧县发展和改革局单位内设机构包括：办公室、综合规划法制股、政工股、投环资股、农经和改革股、价格收费调控股、行政审批办、粮食调控和物资储备股、粮食发展与安全股、粮食质检与监督检查股，长江经济带和洞庭湖发展股共</w:t>
      </w:r>
      <w:r>
        <w:rPr>
          <w:rFonts w:cs="宋体" w:asciiTheme="minorEastAsia" w:hAnsiTheme="minorEastAsia"/>
          <w:sz w:val="30"/>
          <w:szCs w:val="30"/>
        </w:rPr>
        <w:t>1</w:t>
      </w:r>
      <w:r>
        <w:rPr>
          <w:rFonts w:hint="eastAsia" w:cs="宋体" w:asciiTheme="minorEastAsia" w:hAnsiTheme="minorEastAsia"/>
          <w:sz w:val="30"/>
          <w:szCs w:val="30"/>
        </w:rPr>
        <w:t>1个股室。</w:t>
      </w:r>
    </w:p>
    <w:p>
      <w:pPr>
        <w:spacing w:line="360" w:lineRule="auto"/>
        <w:ind w:firstLine="600" w:firstLineChars="200"/>
        <w:rPr>
          <w:rFonts w:cs="宋体" w:asciiTheme="minorEastAsia" w:hAnsiTheme="minorEastAsia"/>
          <w:sz w:val="30"/>
          <w:szCs w:val="30"/>
        </w:rPr>
      </w:pPr>
      <w:r>
        <w:rPr>
          <w:rFonts w:hint="eastAsia" w:cs="宋体" w:asciiTheme="minorEastAsia" w:hAnsiTheme="minorEastAsia"/>
          <w:sz w:val="30"/>
          <w:szCs w:val="30"/>
        </w:rPr>
        <w:t>2、人员情况</w:t>
      </w:r>
    </w:p>
    <w:p>
      <w:pPr>
        <w:snapToGrid w:val="0"/>
        <w:spacing w:line="360" w:lineRule="auto"/>
        <w:ind w:firstLine="600" w:firstLineChars="200"/>
        <w:rPr>
          <w:rFonts w:asciiTheme="minorEastAsia" w:hAnsiTheme="minorEastAsia"/>
          <w:sz w:val="30"/>
          <w:szCs w:val="30"/>
        </w:rPr>
      </w:pPr>
      <w:r>
        <w:rPr>
          <w:rFonts w:hint="eastAsia" w:asciiTheme="minorEastAsia" w:hAnsiTheme="minorEastAsia"/>
          <w:sz w:val="30"/>
          <w:szCs w:val="30"/>
        </w:rPr>
        <w:t>澧县发展和改革局2021年年末共有在职人数45人，离退休110人。</w:t>
      </w:r>
    </w:p>
    <w:p>
      <w:pPr>
        <w:snapToGrid w:val="0"/>
        <w:spacing w:line="360" w:lineRule="auto"/>
        <w:ind w:firstLine="600" w:firstLineChars="200"/>
        <w:rPr>
          <w:rFonts w:cs="Times New Roman" w:asciiTheme="minorEastAsia" w:hAnsiTheme="minorEastAsia"/>
          <w:sz w:val="30"/>
          <w:szCs w:val="30"/>
        </w:rPr>
      </w:pPr>
      <w:r>
        <w:rPr>
          <w:rFonts w:hint="eastAsia" w:cs="Times New Roman" w:asciiTheme="minorEastAsia" w:hAnsiTheme="minorEastAsia"/>
          <w:sz w:val="30"/>
          <w:szCs w:val="30"/>
        </w:rPr>
        <w:t>3、部门职能职责</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（一）</w:t>
      </w:r>
      <w:r>
        <w:rPr>
          <w:rFonts w:asciiTheme="minorEastAsia" w:hAnsiTheme="minorEastAsia"/>
          <w:sz w:val="30"/>
          <w:szCs w:val="30"/>
        </w:rPr>
        <w:t>拟订并组织实施全</w:t>
      </w:r>
      <w:r>
        <w:rPr>
          <w:rFonts w:hint="eastAsia" w:asciiTheme="minorEastAsia" w:hAnsiTheme="minorEastAsia"/>
          <w:sz w:val="30"/>
          <w:szCs w:val="30"/>
        </w:rPr>
        <w:t>县</w:t>
      </w:r>
      <w:r>
        <w:rPr>
          <w:rFonts w:asciiTheme="minorEastAsia" w:hAnsiTheme="minorEastAsia"/>
          <w:sz w:val="30"/>
          <w:szCs w:val="30"/>
        </w:rPr>
        <w:t>国民经济和社会发展战略、中长期规划和年度计划。牵头组织统一规划体系建设。负责</w:t>
      </w:r>
      <w:r>
        <w:rPr>
          <w:rFonts w:hint="eastAsia" w:asciiTheme="minorEastAsia" w:hAnsiTheme="minorEastAsia"/>
          <w:sz w:val="30"/>
          <w:szCs w:val="30"/>
        </w:rPr>
        <w:t>县</w:t>
      </w:r>
      <w:r>
        <w:rPr>
          <w:rFonts w:asciiTheme="minorEastAsia" w:hAnsiTheme="minorEastAsia"/>
          <w:sz w:val="30"/>
          <w:szCs w:val="30"/>
        </w:rPr>
        <w:t>级专项规划、区域规划、空间规划与全</w:t>
      </w:r>
      <w:r>
        <w:rPr>
          <w:rFonts w:hint="eastAsia" w:asciiTheme="minorEastAsia" w:hAnsiTheme="minorEastAsia"/>
          <w:sz w:val="30"/>
          <w:szCs w:val="30"/>
        </w:rPr>
        <w:t>县</w:t>
      </w:r>
      <w:r>
        <w:rPr>
          <w:rFonts w:asciiTheme="minorEastAsia" w:hAnsiTheme="minorEastAsia"/>
          <w:sz w:val="30"/>
          <w:szCs w:val="30"/>
        </w:rPr>
        <w:t>发展规划的统筹衔接。研究拟订全</w:t>
      </w:r>
      <w:r>
        <w:rPr>
          <w:rFonts w:hint="eastAsia" w:asciiTheme="minorEastAsia" w:hAnsiTheme="minorEastAsia"/>
          <w:sz w:val="30"/>
          <w:szCs w:val="30"/>
        </w:rPr>
        <w:t>县</w:t>
      </w:r>
      <w:r>
        <w:rPr>
          <w:rFonts w:asciiTheme="minorEastAsia" w:hAnsiTheme="minorEastAsia"/>
          <w:sz w:val="30"/>
          <w:szCs w:val="30"/>
        </w:rPr>
        <w:t>国民经济和社会发展、经济体制改革和对外开放的有关制度</w:t>
      </w:r>
      <w:r>
        <w:rPr>
          <w:rFonts w:hint="eastAsia" w:asciiTheme="minorEastAsia" w:hAnsiTheme="minorEastAsia"/>
          <w:sz w:val="30"/>
          <w:szCs w:val="30"/>
        </w:rPr>
        <w:t>办法</w:t>
      </w:r>
      <w:r>
        <w:rPr>
          <w:rFonts w:asciiTheme="minorEastAsia" w:hAnsiTheme="minorEastAsia"/>
          <w:sz w:val="30"/>
          <w:szCs w:val="30"/>
        </w:rPr>
        <w:t>，协调解决有关重大问题。受</w:t>
      </w:r>
      <w:r>
        <w:rPr>
          <w:rFonts w:hint="eastAsia" w:asciiTheme="minorEastAsia" w:hAnsiTheme="minorEastAsia"/>
          <w:sz w:val="30"/>
          <w:szCs w:val="30"/>
        </w:rPr>
        <w:t>县</w:t>
      </w:r>
      <w:r>
        <w:rPr>
          <w:rFonts w:asciiTheme="minorEastAsia" w:hAnsiTheme="minorEastAsia"/>
          <w:sz w:val="30"/>
          <w:szCs w:val="30"/>
        </w:rPr>
        <w:t>政府委托向</w:t>
      </w:r>
      <w:r>
        <w:rPr>
          <w:rFonts w:hint="eastAsia" w:asciiTheme="minorEastAsia" w:hAnsiTheme="minorEastAsia"/>
          <w:sz w:val="30"/>
          <w:szCs w:val="30"/>
        </w:rPr>
        <w:t>县</w:t>
      </w:r>
      <w:r>
        <w:rPr>
          <w:rFonts w:asciiTheme="minorEastAsia" w:hAnsiTheme="minorEastAsia"/>
          <w:sz w:val="30"/>
          <w:szCs w:val="30"/>
        </w:rPr>
        <w:t>人民代表大会提交国民经济和社会发展计划的报告。</w:t>
      </w:r>
    </w:p>
    <w:p>
      <w:pPr>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（二）研究提出加快建设现代化经济体系、推动高质量发展的总体目标、重大任务以及相关措施。组织开展重大战略规划、重大政策、重大工程等评估督导，提出相关调整建议。</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三）统筹提出全县国民经济和社会发展主要目标，监测预测预警宏观经济和社会发展态势趋势，提出宏观调控政策建议。综合协调宏观经济政策，牵头研究宏观经济应对措施。调节经济运行，协调解决经济运行中的重大问题。参与拟订财政、金融和土地等措施办法。</w:t>
      </w:r>
    </w:p>
    <w:p>
      <w:pPr>
        <w:spacing w:line="360" w:lineRule="auto"/>
        <w:rPr>
          <w:rFonts w:asciiTheme="minorEastAsia" w:hAnsiTheme="minorEastAsia"/>
          <w:sz w:val="30"/>
          <w:szCs w:val="30"/>
        </w:rPr>
      </w:pPr>
      <w:r>
        <w:rPr>
          <w:rFonts w:hint="eastAsia" w:asciiTheme="minorEastAsia" w:hAnsiTheme="minorEastAsia"/>
          <w:sz w:val="30"/>
          <w:szCs w:val="30"/>
        </w:rPr>
        <w:t xml:space="preserve">    （四）指导推进和综合协调全县经济体制改革有关工作，提出相关改革建议。牵头推进供给侧结构性改革。协调推进产权制度和要素市场化配置改革。推动完善基本经济制度和现代市场体系建设，会同有关部门组织实施市场准入负面清单制度。</w:t>
      </w:r>
    </w:p>
    <w:p>
      <w:pPr>
        <w:spacing w:line="360" w:lineRule="auto"/>
        <w:rPr>
          <w:rFonts w:asciiTheme="minorEastAsia" w:hAnsiTheme="minorEastAsia"/>
          <w:sz w:val="30"/>
          <w:szCs w:val="30"/>
        </w:rPr>
      </w:pPr>
      <w:r>
        <w:rPr>
          <w:rFonts w:hint="eastAsia" w:asciiTheme="minorEastAsia" w:hAnsiTheme="minorEastAsia"/>
          <w:sz w:val="30"/>
          <w:szCs w:val="30"/>
        </w:rPr>
        <w:t xml:space="preserve">    （五）提出全县利用外资和境外投资的战略、规划、总量平衡和结构优化的措施办法。牵头推进实施“一带一路”建设和洞庭湖生态经济区建设。统筹协调“走出去”有关工作。负责全县全口径外债的总量控制、结构优化和监测工作。</w:t>
      </w:r>
    </w:p>
    <w:p>
      <w:pPr>
        <w:spacing w:line="360" w:lineRule="auto"/>
        <w:rPr>
          <w:rFonts w:asciiTheme="minorEastAsia" w:hAnsiTheme="minorEastAsia"/>
          <w:sz w:val="30"/>
          <w:szCs w:val="30"/>
        </w:rPr>
      </w:pPr>
      <w:r>
        <w:rPr>
          <w:rFonts w:hint="eastAsia" w:asciiTheme="minorEastAsia" w:hAnsiTheme="minorEastAsia"/>
          <w:sz w:val="30"/>
          <w:szCs w:val="30"/>
        </w:rPr>
        <w:t xml:space="preserve">    （六）负责投资综合管理，拟订全县固定资产投资总规模、结构调控目标及措施。统筹安排中央、省、市预算内基本建设资金，按规定权限审批、核准、审核、备案重大项目。规划全县重大建设项目和生产力布局。拟订并推动落实鼓励民间投资措施办法。负责政府投资项目代建制实施的指导、协调和监督管理。指导工程咨询业发展。</w:t>
      </w:r>
    </w:p>
    <w:p>
      <w:pPr>
        <w:spacing w:line="360" w:lineRule="auto"/>
        <w:rPr>
          <w:rFonts w:asciiTheme="minorEastAsia" w:hAnsiTheme="minorEastAsia"/>
          <w:sz w:val="30"/>
          <w:szCs w:val="30"/>
        </w:rPr>
      </w:pPr>
      <w:r>
        <w:rPr>
          <w:rFonts w:hint="eastAsia" w:asciiTheme="minorEastAsia" w:hAnsiTheme="minorEastAsia"/>
          <w:sz w:val="30"/>
          <w:szCs w:val="30"/>
        </w:rPr>
        <w:t xml:space="preserve">    （七）推进落实区域协调发展战略和重大政策，组织拟订实施办法和相关区域规划。统筹推进实施国家、省、市重大区域发展战略。贯彻落实国家西部开发、中部崛起、长江经济带发展的相关政策措施，推进实施“一带一部”区域发展。协调推进两型社会建设。组织拟订和实施老少边贫及其他特殊困难地区发展规划和措施办法，组织实施易地扶贫搬迁等。组织编制并推动实施新型城镇化规划。参与研究拟订全县新型城镇化发展战略和重大政策措施，协调配合做好相关工作。制定开发区发展规划和措施办法。统筹协调区域合作和对口支援工作。</w:t>
      </w:r>
    </w:p>
    <w:p>
      <w:pPr>
        <w:spacing w:line="360" w:lineRule="auto"/>
        <w:rPr>
          <w:rFonts w:asciiTheme="minorEastAsia" w:hAnsiTheme="minorEastAsia"/>
          <w:sz w:val="30"/>
          <w:szCs w:val="30"/>
        </w:rPr>
      </w:pPr>
      <w:r>
        <w:rPr>
          <w:rFonts w:hint="eastAsia" w:asciiTheme="minorEastAsia" w:hAnsiTheme="minorEastAsia"/>
          <w:sz w:val="30"/>
          <w:szCs w:val="30"/>
        </w:rPr>
        <w:t xml:space="preserve">    （八）组织拟订综合性产业措施办法。负责协调一、二、三产业发展的重大问题并统筹衔接相关发展规划和重大政策。协调推进重大基础设施建设，组织拟订并推动实施服务业及现代物流业发展规划和重大措施办法。综合研判消费变动趋势，拟订实施促进消费的综合性措施办法。</w:t>
      </w:r>
    </w:p>
    <w:p>
      <w:pPr>
        <w:spacing w:line="360" w:lineRule="auto"/>
        <w:ind w:firstLine="630"/>
        <w:rPr>
          <w:rFonts w:asciiTheme="minorEastAsia" w:hAnsiTheme="minorEastAsia"/>
          <w:sz w:val="30"/>
          <w:szCs w:val="30"/>
        </w:rPr>
      </w:pPr>
      <w:r>
        <w:rPr>
          <w:rFonts w:hint="eastAsia" w:asciiTheme="minorEastAsia" w:hAnsiTheme="minorEastAsia"/>
          <w:sz w:val="30"/>
          <w:szCs w:val="30"/>
        </w:rPr>
        <w:t>（九）推动实施创新驱动发展战略。会同相关部门拟订推进创新创业的规划和措施办法，提出创新发展和培育经济发展新动能的措施。研究提出产业集群发展相关措施办法。会同有关部门规划布局全县重大科技基础设施。组织拟订并推动实施高技术产业和战略性新兴产业发展规划及措施办法，协调产业升级、重大技术装备推广应用等方面的重大问题。</w:t>
      </w:r>
    </w:p>
    <w:p>
      <w:pPr>
        <w:spacing w:line="360" w:lineRule="auto"/>
        <w:ind w:firstLine="630"/>
        <w:rPr>
          <w:rFonts w:asciiTheme="minorEastAsia" w:hAnsiTheme="minorEastAsia"/>
          <w:sz w:val="30"/>
          <w:szCs w:val="30"/>
        </w:rPr>
      </w:pPr>
      <w:r>
        <w:rPr>
          <w:rFonts w:hint="eastAsia" w:asciiTheme="minorEastAsia" w:hAnsiTheme="minorEastAsia"/>
          <w:sz w:val="30"/>
          <w:szCs w:val="30"/>
        </w:rPr>
        <w:t>(十）跟踪研判涉及经济安全、生态安全、资源安全、科技安全、社会安全等各类风险隐患，提出相关工作建议。承担经济、生态、资源等重点领域国家安全工作协调机制相关工作。负责重要商品总量平衡和宏观调控，提出重要工业品、原材料和重要农产品进出口调控建议并做好相关工作。</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十一）负责社会发展与国民经济发展的政策衔接，协调有关重大问题。组织拟订社会发展战略和总体规划，统筹推进基本公共服务体系建设和收入分配制度改革，提出促进就业、完善社会保障与经济协调发展的政策建议。</w:t>
      </w:r>
    </w:p>
    <w:p>
      <w:pPr>
        <w:spacing w:line="360" w:lineRule="auto"/>
        <w:rPr>
          <w:rFonts w:asciiTheme="minorEastAsia" w:hAnsiTheme="minorEastAsia"/>
          <w:sz w:val="30"/>
          <w:szCs w:val="30"/>
        </w:rPr>
      </w:pPr>
      <w:r>
        <w:rPr>
          <w:rFonts w:hint="eastAsia" w:asciiTheme="minorEastAsia" w:hAnsiTheme="minorEastAsia"/>
          <w:sz w:val="30"/>
          <w:szCs w:val="30"/>
        </w:rPr>
        <w:t xml:space="preserve">    （十二）推进实施可持续发展战略，推动生态文明建设和改革；协调生态环境保护与修复、能源资源节约和综合利用等工作。提出健全生态保护补偿机制的措施，综合协调节能环保产业和清洁生产促进有关工作。组织完成能源消费控制目标任务。</w:t>
      </w:r>
    </w:p>
    <w:p>
      <w:pPr>
        <w:spacing w:line="360" w:lineRule="auto"/>
        <w:rPr>
          <w:rFonts w:asciiTheme="minorEastAsia" w:hAnsiTheme="minorEastAsia"/>
          <w:sz w:val="30"/>
          <w:szCs w:val="30"/>
        </w:rPr>
      </w:pPr>
      <w:r>
        <w:rPr>
          <w:rFonts w:hint="eastAsia" w:asciiTheme="minorEastAsia" w:hAnsiTheme="minorEastAsia"/>
          <w:sz w:val="30"/>
          <w:szCs w:val="30"/>
        </w:rPr>
        <w:t xml:space="preserve">    （十三）研究提出全县能源发展战略、规划、产业政策并组织实施；监测能源发展情况，衔接能源生产建设和供需平衡；组织推进能源重大设备研发，指导能源科技进步、成套设备的引进消化创新，组织协调能源行业重大示范工程和推广应用能源行业新产品、新技术、新设备；规划能源重大建设项目布局，按权限核准、审核、申报和安排重大能源建设项目。</w:t>
      </w:r>
    </w:p>
    <w:p>
      <w:pPr>
        <w:spacing w:line="360" w:lineRule="auto"/>
        <w:rPr>
          <w:rFonts w:asciiTheme="minorEastAsia" w:hAnsiTheme="minorEastAsia"/>
          <w:sz w:val="30"/>
          <w:szCs w:val="30"/>
        </w:rPr>
      </w:pPr>
      <w:r>
        <w:rPr>
          <w:rFonts w:hint="eastAsia" w:asciiTheme="minorEastAsia" w:hAnsiTheme="minorEastAsia"/>
          <w:sz w:val="30"/>
          <w:szCs w:val="30"/>
        </w:rPr>
        <w:t xml:space="preserve">    （十四）组织实施有关价格政策，组织制定少数由县级管理的重要商品、服务价格和重要收费标准。监测、分析市场价格形势；组织实施价格总水平控制；管理国家、省、市、县列名管理的商品和服务价格。负责价格成本调查和监审。</w:t>
      </w:r>
    </w:p>
    <w:p>
      <w:pPr>
        <w:spacing w:line="360" w:lineRule="auto"/>
        <w:rPr>
          <w:rFonts w:asciiTheme="minorEastAsia" w:hAnsiTheme="minorEastAsia"/>
          <w:sz w:val="30"/>
          <w:szCs w:val="30"/>
        </w:rPr>
      </w:pPr>
      <w:r>
        <w:rPr>
          <w:rFonts w:hint="eastAsia" w:asciiTheme="minorEastAsia" w:hAnsiTheme="minorEastAsia"/>
          <w:sz w:val="30"/>
          <w:szCs w:val="30"/>
        </w:rPr>
        <w:t xml:space="preserve">    （十五）牵头开展社会信用体系建设，研究拟订推进社会信用体系建设的规划和措施，统筹推进统一的信用信息平台建设，协调有关重大问题。</w:t>
      </w:r>
    </w:p>
    <w:p>
      <w:pPr>
        <w:spacing w:line="360" w:lineRule="auto"/>
        <w:rPr>
          <w:rFonts w:asciiTheme="minorEastAsia" w:hAnsiTheme="minorEastAsia"/>
          <w:sz w:val="30"/>
          <w:szCs w:val="30"/>
        </w:rPr>
      </w:pPr>
      <w:r>
        <w:rPr>
          <w:rFonts w:hint="eastAsia" w:asciiTheme="minorEastAsia" w:hAnsiTheme="minorEastAsia"/>
          <w:sz w:val="30"/>
          <w:szCs w:val="30"/>
        </w:rPr>
        <w:t xml:space="preserve">    （十六）会同有关部门拟订推进全县经济建设与国防建设协调发展的战略和规划，协调有关重大问题。推动实施军民融合发展战略，组织编制全县国民经济动员规划，协调和组织实施全县国民经济动员有关工作。</w:t>
      </w:r>
    </w:p>
    <w:p>
      <w:pPr>
        <w:spacing w:line="360" w:lineRule="auto"/>
        <w:rPr>
          <w:rFonts w:asciiTheme="minorEastAsia" w:hAnsiTheme="minorEastAsia"/>
          <w:sz w:val="30"/>
          <w:szCs w:val="30"/>
        </w:rPr>
      </w:pPr>
      <w:r>
        <w:rPr>
          <w:rFonts w:hint="eastAsia" w:asciiTheme="minorEastAsia" w:hAnsiTheme="minorEastAsia"/>
          <w:sz w:val="30"/>
          <w:szCs w:val="30"/>
        </w:rPr>
        <w:t xml:space="preserve">    （十七）研究提出全县粮食宏观调控及粮食流通中长期规划；拟订全县粮食市场体系建设与发展规划，承担全县粮食流通宏观调控的具体工作。研究提出全县战略物资储备规划、全县储备品种目录的建议，组织实施全县战略和应急储备物资的收储、轮换和日常管理。监测粮食和战略物资供求变化并预测预警，指导协调政策性粮食购销和粮食产销合作，保障军队粮食供应，承担粮食安全省长责任制考核日常工作。负责全县粮食流通、加工行业安全生产工作的监督管理，承担所属物资储备承储单位安全生产的监管责任。拟订全县储备基础设施、粮食流通设施建设规划并组织实施，管理有关储备基础设施和粮食流通设施投资项目。负责粮食流通监督检查，负责粮食收购，储存、运输环节粮食质量安全和原粮卫生的监督管理，组织实施粮食库存检查工作。负责推进粮食质量安全监管监测体系建设，指导全县粮食质量监督检验机构的设置并依法实施监督。负责粮食流通行业管理，制定行业发展规划，组织实施粮食流通和物资储备有关标准、粮食质量有关标准，负责实施粮食收购行政许可的有关行政管理，负责协调推进粮食产业发展有关工作。负责直属粮食企业国有资产监管工作。</w:t>
      </w:r>
    </w:p>
    <w:p>
      <w:pPr>
        <w:widowControl/>
        <w:spacing w:line="360" w:lineRule="auto"/>
        <w:ind w:firstLine="585"/>
        <w:rPr>
          <w:rFonts w:cs="黑体" w:asciiTheme="minorEastAsia" w:hAnsiTheme="minorEastAsia"/>
          <w:color w:val="222222"/>
          <w:sz w:val="30"/>
          <w:szCs w:val="30"/>
        </w:rPr>
      </w:pPr>
      <w:r>
        <w:rPr>
          <w:rStyle w:val="9"/>
          <w:rFonts w:hint="eastAsia" w:asciiTheme="minorEastAsia" w:hAnsiTheme="minorEastAsia"/>
          <w:sz w:val="30"/>
          <w:szCs w:val="30"/>
        </w:rPr>
        <w:t xml:space="preserve">4、 </w:t>
      </w:r>
      <w:r>
        <w:rPr>
          <w:rFonts w:hint="eastAsia" w:cs="黑体" w:asciiTheme="minorEastAsia" w:hAnsiTheme="minorEastAsia"/>
          <w:color w:val="222222"/>
          <w:sz w:val="30"/>
          <w:szCs w:val="30"/>
        </w:rPr>
        <w:t>部门财务情况</w:t>
      </w:r>
    </w:p>
    <w:p>
      <w:pPr>
        <w:snapToGrid w:val="0"/>
        <w:spacing w:line="360" w:lineRule="auto"/>
        <w:ind w:firstLine="600" w:firstLineChars="200"/>
        <w:rPr>
          <w:rFonts w:asciiTheme="minorEastAsia" w:hAnsiTheme="minorEastAsia"/>
          <w:sz w:val="30"/>
          <w:szCs w:val="30"/>
        </w:rPr>
      </w:pPr>
      <w:r>
        <w:rPr>
          <w:rFonts w:hint="eastAsia" w:asciiTheme="minorEastAsia" w:hAnsiTheme="minorEastAsia"/>
          <w:sz w:val="30"/>
          <w:szCs w:val="30"/>
        </w:rPr>
        <w:t>2021年财政拨款支出决算数 2013.3万元，支出按功能分类科目分占比较重的项目：一般公共服务支出决算数 731.54万元，占本年支出决算数的 36.34% ；社会保障和就业支出决算数39.06万元，占本年支出决算数的1.94%  ；住房保障和就业支出决算数29.29万元，占本年支出决算数的1.45 %；卫生健康支出18.31万元，占本年支出决算数0.91%，农林水支出10万元，占本年支出决算数的0.5 %；资源勘探信息等支出265.01万元，占本年支出决算数的13.16%，粮食物资储备支出决算数583.65万元，占本年支出决算数的28.99%，其他支出决算数336.44万元 ，占本年支出决算数的16.71% ，按支出性质分：基本支出决算数为522.44万元，占本年支出决算数的25.95 % ，项目支出决算数为1490.86万元，占本年支出决算数的74.05% 。</w:t>
      </w:r>
    </w:p>
    <w:p>
      <w:pPr>
        <w:widowControl/>
        <w:spacing w:line="360" w:lineRule="auto"/>
        <w:ind w:firstLine="600" w:firstLineChars="200"/>
        <w:rPr>
          <w:rFonts w:asciiTheme="minorEastAsia" w:hAnsiTheme="minorEastAsia"/>
          <w:color w:val="222222"/>
          <w:sz w:val="30"/>
          <w:szCs w:val="30"/>
        </w:rPr>
      </w:pPr>
      <w:r>
        <w:rPr>
          <w:rFonts w:hint="eastAsia" w:asciiTheme="minorEastAsia" w:hAnsiTheme="minorEastAsia"/>
          <w:color w:val="222222"/>
          <w:sz w:val="30"/>
          <w:szCs w:val="30"/>
        </w:rPr>
        <w:t>（三） “三公经费”支出使用和管理情况</w:t>
      </w:r>
    </w:p>
    <w:p>
      <w:pPr>
        <w:snapToGrid w:val="0"/>
        <w:spacing w:line="360" w:lineRule="auto"/>
        <w:ind w:firstLine="750" w:firstLineChars="250"/>
        <w:rPr>
          <w:rFonts w:asciiTheme="minorEastAsia" w:hAnsiTheme="minorEastAsia"/>
          <w:color w:val="333333"/>
          <w:sz w:val="30"/>
          <w:szCs w:val="30"/>
        </w:rPr>
      </w:pPr>
      <w:r>
        <w:rPr>
          <w:rFonts w:asciiTheme="minorEastAsia" w:hAnsiTheme="minorEastAsia"/>
          <w:color w:val="222222"/>
          <w:sz w:val="30"/>
          <w:szCs w:val="30"/>
        </w:rPr>
        <w:t>20</w:t>
      </w:r>
      <w:r>
        <w:rPr>
          <w:rFonts w:hint="eastAsia" w:asciiTheme="minorEastAsia" w:hAnsiTheme="minorEastAsia"/>
          <w:color w:val="222222"/>
          <w:sz w:val="30"/>
          <w:szCs w:val="30"/>
        </w:rPr>
        <w:t>21年“三公经费”总额 17.5万元，其中因公出国境费支出零万元，公务用车运行维护费零万元，公务接待费 17.5 万元，与上年一致，对于“三公经费”的支出，采用严格审核、报批程序，</w:t>
      </w:r>
      <w:r>
        <w:rPr>
          <w:rFonts w:hint="eastAsia" w:asciiTheme="minorEastAsia" w:hAnsiTheme="minorEastAsia"/>
          <w:color w:val="333333"/>
          <w:sz w:val="30"/>
          <w:szCs w:val="30"/>
        </w:rPr>
        <w:t>严格执行</w:t>
      </w:r>
      <w:bookmarkStart w:id="0" w:name="_GoBack"/>
      <w:bookmarkEnd w:id="0"/>
      <w:r>
        <w:rPr>
          <w:rFonts w:hint="eastAsia" w:asciiTheme="minorEastAsia" w:hAnsiTheme="minorEastAsia"/>
          <w:color w:val="333333"/>
          <w:sz w:val="30"/>
          <w:szCs w:val="30"/>
        </w:rPr>
        <w:t>八项规定和县委县政府关于厉行节约反对浪费的规定。</w:t>
      </w:r>
    </w:p>
    <w:p>
      <w:pPr>
        <w:widowControl/>
        <w:spacing w:line="360" w:lineRule="auto"/>
        <w:ind w:firstLine="744" w:firstLineChars="248"/>
        <w:rPr>
          <w:rFonts w:cs="黑体" w:asciiTheme="minorEastAsia" w:hAnsiTheme="minorEastAsia"/>
          <w:color w:val="222222"/>
          <w:sz w:val="30"/>
          <w:szCs w:val="30"/>
        </w:rPr>
      </w:pPr>
      <w:r>
        <w:rPr>
          <w:rFonts w:hint="eastAsia" w:asciiTheme="minorEastAsia" w:hAnsiTheme="minorEastAsia"/>
          <w:color w:val="333333"/>
          <w:sz w:val="30"/>
          <w:szCs w:val="30"/>
        </w:rPr>
        <w:t>5、</w:t>
      </w:r>
      <w:r>
        <w:rPr>
          <w:rFonts w:hint="eastAsia" w:cs="黑体" w:asciiTheme="minorEastAsia" w:hAnsiTheme="minorEastAsia"/>
          <w:color w:val="222222"/>
          <w:sz w:val="30"/>
          <w:szCs w:val="30"/>
        </w:rPr>
        <w:t>部门绩效目标</w:t>
      </w:r>
    </w:p>
    <w:p>
      <w:pPr>
        <w:widowControl/>
        <w:spacing w:line="360" w:lineRule="auto"/>
        <w:ind w:firstLine="450" w:firstLineChars="150"/>
        <w:rPr>
          <w:rFonts w:cs="黑体" w:asciiTheme="minorEastAsia" w:hAnsiTheme="minorEastAsia"/>
          <w:b/>
          <w:color w:val="222222"/>
          <w:sz w:val="30"/>
          <w:szCs w:val="30"/>
        </w:rPr>
      </w:pPr>
      <w:r>
        <w:rPr>
          <w:rFonts w:hint="eastAsia" w:asciiTheme="minorEastAsia" w:hAnsiTheme="minorEastAsia"/>
          <w:color w:val="222222"/>
          <w:sz w:val="30"/>
          <w:szCs w:val="30"/>
        </w:rPr>
        <w:t>（一）部门绩效总目标</w:t>
      </w:r>
    </w:p>
    <w:p>
      <w:pPr>
        <w:spacing w:line="360" w:lineRule="auto"/>
        <w:ind w:firstLine="600" w:firstLineChars="200"/>
        <w:jc w:val="left"/>
        <w:rPr>
          <w:rFonts w:cs="宋体" w:asciiTheme="minorEastAsia" w:hAnsiTheme="minorEastAsia"/>
          <w:color w:val="000000"/>
          <w:sz w:val="30"/>
          <w:szCs w:val="30"/>
        </w:rPr>
      </w:pPr>
      <w:r>
        <w:rPr>
          <w:rFonts w:hint="eastAsia" w:cs="宋体" w:asciiTheme="minorEastAsia" w:hAnsiTheme="minorEastAsia"/>
          <w:color w:val="101010"/>
          <w:sz w:val="30"/>
          <w:szCs w:val="30"/>
        </w:rPr>
        <w:t>总目标：</w:t>
      </w:r>
      <w:r>
        <w:rPr>
          <w:rFonts w:hint="eastAsia" w:cs="宋体" w:asciiTheme="minorEastAsia" w:hAnsiTheme="minorEastAsia"/>
          <w:color w:val="000000"/>
          <w:sz w:val="30"/>
          <w:szCs w:val="30"/>
        </w:rPr>
        <w:t>紧紧围绕“开放强市、产业立市”战略，全力推进产业立市行动，认真履行抓产业、上项目、搞协调、促改革、稳物价、保粮安工作职责，务实求新、克难奋进，促进全市经济社会健康持续发展。</w:t>
      </w:r>
    </w:p>
    <w:p>
      <w:pPr>
        <w:widowControl/>
        <w:spacing w:line="360" w:lineRule="auto"/>
        <w:ind w:firstLine="450" w:firstLineChars="150"/>
        <w:jc w:val="left"/>
        <w:rPr>
          <w:rFonts w:cs="宋体" w:asciiTheme="minorEastAsia" w:hAnsiTheme="minorEastAsia"/>
          <w:color w:val="101010"/>
          <w:sz w:val="30"/>
          <w:szCs w:val="30"/>
        </w:rPr>
      </w:pPr>
      <w:r>
        <w:rPr>
          <w:rFonts w:hint="eastAsia" w:asciiTheme="minorEastAsia" w:hAnsiTheme="minorEastAsia"/>
          <w:color w:val="222222"/>
          <w:sz w:val="30"/>
          <w:szCs w:val="30"/>
        </w:rPr>
        <w:t>（二）</w:t>
      </w:r>
      <w:r>
        <w:rPr>
          <w:rFonts w:asciiTheme="minorEastAsia" w:hAnsiTheme="minorEastAsia"/>
          <w:color w:val="222222"/>
          <w:sz w:val="30"/>
          <w:szCs w:val="30"/>
        </w:rPr>
        <w:t>2</w:t>
      </w:r>
      <w:r>
        <w:rPr>
          <w:rFonts w:hint="eastAsia" w:asciiTheme="minorEastAsia" w:hAnsiTheme="minorEastAsia"/>
          <w:color w:val="222222"/>
          <w:sz w:val="30"/>
          <w:szCs w:val="30"/>
        </w:rPr>
        <w:t>021年度部门绩效目标</w:t>
      </w:r>
    </w:p>
    <w:p>
      <w:pPr>
        <w:widowControl/>
        <w:spacing w:line="360" w:lineRule="auto"/>
        <w:ind w:firstLine="600" w:firstLineChars="200"/>
        <w:rPr>
          <w:rFonts w:cs="Times New Roman" w:asciiTheme="minorEastAsia" w:hAnsiTheme="minorEastAsia"/>
          <w:color w:val="000000"/>
          <w:sz w:val="30"/>
          <w:szCs w:val="30"/>
        </w:rPr>
      </w:pPr>
      <w:r>
        <w:rPr>
          <w:rFonts w:cs="Times New Roman" w:asciiTheme="minorEastAsia" w:hAnsiTheme="minorEastAsia"/>
          <w:color w:val="000000"/>
          <w:sz w:val="30"/>
          <w:szCs w:val="30"/>
        </w:rPr>
        <w:t>目标1、编制九大专项32个项目的挣资方案；加强对57个项目的事中、事后监督；加快推进县事业单位及国企公车改革工作；加大县域新能源开发利用力度，启动通用机场建设项目前期工作。</w:t>
      </w:r>
      <w:r>
        <w:rPr>
          <w:rFonts w:cs="Times New Roman" w:asciiTheme="minorEastAsia" w:hAnsiTheme="minorEastAsia"/>
          <w:color w:val="000000"/>
          <w:sz w:val="30"/>
          <w:szCs w:val="30"/>
        </w:rPr>
        <w:br w:type="textWrapping"/>
      </w:r>
      <w:r>
        <w:rPr>
          <w:rFonts w:hint="eastAsia" w:cs="Times New Roman" w:asciiTheme="minorEastAsia" w:hAnsiTheme="minorEastAsia"/>
          <w:color w:val="000000"/>
          <w:sz w:val="30"/>
          <w:szCs w:val="30"/>
        </w:rPr>
        <w:t xml:space="preserve">   </w:t>
      </w:r>
      <w:r>
        <w:rPr>
          <w:rFonts w:cs="Times New Roman" w:asciiTheme="minorEastAsia" w:hAnsiTheme="minorEastAsia"/>
          <w:color w:val="000000"/>
          <w:sz w:val="30"/>
          <w:szCs w:val="30"/>
        </w:rPr>
        <w:t>目标2、争取全年粮食收获品抽样检查342份；成品抽样120份；对全县所有收购粮食企业进行执法监督大检查6次，配合全国一年一度的粮食库存数量大检查2次；对专业人员进行培训6次。</w:t>
      </w:r>
      <w:r>
        <w:rPr>
          <w:rFonts w:cs="Times New Roman" w:asciiTheme="minorEastAsia" w:hAnsiTheme="minorEastAsia"/>
          <w:color w:val="000000"/>
          <w:sz w:val="30"/>
          <w:szCs w:val="30"/>
        </w:rPr>
        <w:br w:type="textWrapping"/>
      </w:r>
      <w:r>
        <w:rPr>
          <w:rFonts w:hint="eastAsia" w:cs="Times New Roman" w:asciiTheme="minorEastAsia" w:hAnsiTheme="minorEastAsia"/>
          <w:color w:val="000000"/>
          <w:sz w:val="30"/>
          <w:szCs w:val="30"/>
        </w:rPr>
        <w:t xml:space="preserve">   </w:t>
      </w:r>
      <w:r>
        <w:rPr>
          <w:rFonts w:cs="Times New Roman" w:asciiTheme="minorEastAsia" w:hAnsiTheme="minorEastAsia"/>
          <w:color w:val="000000"/>
          <w:sz w:val="30"/>
          <w:szCs w:val="30"/>
        </w:rPr>
        <w:t>目标3、完成约80起涉案物品的鉴定，加强价格管理，稳定价格水平。</w:t>
      </w:r>
      <w:r>
        <w:rPr>
          <w:rFonts w:cs="Times New Roman" w:asciiTheme="minorEastAsia" w:hAnsiTheme="minorEastAsia"/>
          <w:color w:val="000000"/>
          <w:sz w:val="30"/>
          <w:szCs w:val="30"/>
        </w:rPr>
        <w:br w:type="textWrapping"/>
      </w:r>
      <w:r>
        <w:rPr>
          <w:rFonts w:hint="eastAsia" w:cs="Times New Roman" w:asciiTheme="minorEastAsia" w:hAnsiTheme="minorEastAsia"/>
          <w:color w:val="000000"/>
          <w:sz w:val="30"/>
          <w:szCs w:val="30"/>
        </w:rPr>
        <w:t xml:space="preserve">   </w:t>
      </w:r>
      <w:r>
        <w:rPr>
          <w:rFonts w:cs="Times New Roman" w:asciiTheme="minorEastAsia" w:hAnsiTheme="minorEastAsia"/>
          <w:color w:val="000000"/>
          <w:sz w:val="30"/>
          <w:szCs w:val="30"/>
        </w:rPr>
        <w:t>目标4、做好市级重点项目约14个，计划总投资110亿元，完成年度计划投资约40亿元。</w:t>
      </w:r>
      <w:r>
        <w:rPr>
          <w:rFonts w:cs="Times New Roman" w:asciiTheme="minorEastAsia" w:hAnsiTheme="minorEastAsia"/>
          <w:color w:val="000000"/>
          <w:sz w:val="30"/>
          <w:szCs w:val="30"/>
        </w:rPr>
        <w:br w:type="textWrapping"/>
      </w:r>
      <w:r>
        <w:rPr>
          <w:rFonts w:hint="eastAsia" w:cs="Times New Roman" w:asciiTheme="minorEastAsia" w:hAnsiTheme="minorEastAsia"/>
          <w:color w:val="000000"/>
          <w:sz w:val="30"/>
          <w:szCs w:val="30"/>
        </w:rPr>
        <w:t xml:space="preserve">   </w:t>
      </w:r>
      <w:r>
        <w:rPr>
          <w:rFonts w:cs="Times New Roman" w:asciiTheme="minorEastAsia" w:hAnsiTheme="minorEastAsia"/>
          <w:color w:val="000000"/>
          <w:sz w:val="30"/>
          <w:szCs w:val="30"/>
        </w:rPr>
        <w:t>目标5、抓好“优质粮食工程”实施工作，丰富粮油产品，不断提升粮油质量，强化粮食生产，认真开展粮食消防安全生产检查工作。</w:t>
      </w:r>
      <w:r>
        <w:rPr>
          <w:rFonts w:cs="Times New Roman" w:asciiTheme="minorEastAsia" w:hAnsiTheme="minorEastAsia"/>
          <w:color w:val="000000"/>
          <w:sz w:val="30"/>
          <w:szCs w:val="30"/>
        </w:rPr>
        <w:br w:type="textWrapping"/>
      </w:r>
      <w:r>
        <w:rPr>
          <w:rFonts w:hint="eastAsia" w:cs="Times New Roman" w:asciiTheme="minorEastAsia" w:hAnsiTheme="minorEastAsia"/>
          <w:color w:val="000000"/>
          <w:sz w:val="30"/>
          <w:szCs w:val="30"/>
        </w:rPr>
        <w:t xml:space="preserve">   </w:t>
      </w:r>
      <w:r>
        <w:rPr>
          <w:rFonts w:cs="Times New Roman" w:asciiTheme="minorEastAsia" w:hAnsiTheme="minorEastAsia"/>
          <w:color w:val="000000"/>
          <w:sz w:val="30"/>
          <w:szCs w:val="30"/>
        </w:rPr>
        <w:t>目标6、对全县354个已批复公开招标项目开展核查，清理不合规项目。</w:t>
      </w:r>
      <w:r>
        <w:rPr>
          <w:rFonts w:cs="Times New Roman" w:asciiTheme="minorEastAsia" w:hAnsiTheme="minorEastAsia"/>
          <w:color w:val="000000"/>
          <w:sz w:val="30"/>
          <w:szCs w:val="30"/>
        </w:rPr>
        <w:br w:type="textWrapping"/>
      </w:r>
      <w:r>
        <w:rPr>
          <w:rFonts w:hint="eastAsia" w:cs="Times New Roman" w:asciiTheme="minorEastAsia" w:hAnsiTheme="minorEastAsia"/>
          <w:color w:val="000000"/>
          <w:sz w:val="30"/>
          <w:szCs w:val="30"/>
        </w:rPr>
        <w:t xml:space="preserve">   </w:t>
      </w:r>
      <w:r>
        <w:rPr>
          <w:rFonts w:cs="Times New Roman" w:asciiTheme="minorEastAsia" w:hAnsiTheme="minorEastAsia"/>
          <w:color w:val="000000"/>
          <w:sz w:val="30"/>
          <w:szCs w:val="30"/>
        </w:rPr>
        <w:t>目标7、向上争取农口资金1.5亿元，争取保障性安居工程9400万元。</w:t>
      </w:r>
    </w:p>
    <w:p>
      <w:pPr>
        <w:widowControl/>
        <w:spacing w:line="360" w:lineRule="auto"/>
        <w:ind w:firstLine="450" w:firstLineChars="150"/>
        <w:rPr>
          <w:rFonts w:cs="黑体" w:asciiTheme="minorEastAsia" w:hAnsiTheme="minorEastAsia"/>
          <w:color w:val="222222"/>
          <w:sz w:val="30"/>
          <w:szCs w:val="30"/>
        </w:rPr>
      </w:pPr>
      <w:r>
        <w:rPr>
          <w:rFonts w:hint="eastAsia" w:cs="黑体" w:asciiTheme="minorEastAsia" w:hAnsiTheme="minorEastAsia"/>
          <w:color w:val="222222"/>
          <w:sz w:val="30"/>
          <w:szCs w:val="30"/>
        </w:rPr>
        <w:t>（三）绩效评价工作情况</w:t>
      </w:r>
    </w:p>
    <w:p>
      <w:pPr>
        <w:widowControl/>
        <w:spacing w:line="360" w:lineRule="auto"/>
        <w:ind w:firstLine="600" w:firstLineChars="200"/>
        <w:rPr>
          <w:rFonts w:cs="黑体" w:asciiTheme="minorEastAsia" w:hAnsiTheme="minorEastAsia"/>
          <w:color w:val="000000"/>
          <w:sz w:val="30"/>
          <w:szCs w:val="30"/>
        </w:rPr>
      </w:pPr>
      <w:r>
        <w:rPr>
          <w:rFonts w:hint="eastAsia" w:cs="黑体" w:asciiTheme="minorEastAsia" w:hAnsiTheme="minorEastAsia"/>
          <w:color w:val="000000"/>
          <w:sz w:val="30"/>
          <w:szCs w:val="30"/>
        </w:rPr>
        <w:t>根据县财政局关于开展整体支出绩效自评的通知，澧县发展和改革局成立了绩效评价领导小组，统筹负责部门整体绩效评价工作，由分管财务局领导为组长，财务股长任副组长，各业务股室股长任成员,在实施部门整体绩效自评的过程中，采取座谈、发放调查问卷、现场核实等方式，听取有关情况，检查有关账目，收集整理支出相关资料，及时发现绩效目标中存在的问题，并及时纠正，形成评价结论。</w:t>
      </w:r>
    </w:p>
    <w:p>
      <w:pPr>
        <w:widowControl/>
        <w:spacing w:line="360" w:lineRule="auto"/>
        <w:ind w:firstLine="450" w:firstLineChars="150"/>
        <w:rPr>
          <w:rFonts w:cs="黑体" w:asciiTheme="minorEastAsia" w:hAnsiTheme="minorEastAsia"/>
          <w:color w:val="000000"/>
          <w:sz w:val="30"/>
          <w:szCs w:val="30"/>
        </w:rPr>
      </w:pPr>
      <w:r>
        <w:rPr>
          <w:rFonts w:hint="eastAsia" w:cs="黑体" w:asciiTheme="minorEastAsia" w:hAnsiTheme="minorEastAsia"/>
          <w:color w:val="000000"/>
          <w:sz w:val="30"/>
          <w:szCs w:val="30"/>
        </w:rPr>
        <w:t>（四）综合评价结果</w:t>
      </w:r>
    </w:p>
    <w:p>
      <w:pPr>
        <w:widowControl/>
        <w:spacing w:line="360" w:lineRule="auto"/>
        <w:ind w:firstLine="600" w:firstLineChars="200"/>
        <w:rPr>
          <w:rFonts w:cs="黑体" w:asciiTheme="minorEastAsia" w:hAnsiTheme="minorEastAsia"/>
          <w:color w:val="222222"/>
          <w:sz w:val="30"/>
          <w:szCs w:val="30"/>
        </w:rPr>
      </w:pPr>
      <w:r>
        <w:rPr>
          <w:rFonts w:hint="eastAsia" w:cs="黑体" w:asciiTheme="minorEastAsia" w:hAnsiTheme="minorEastAsia"/>
          <w:color w:val="222222"/>
          <w:sz w:val="30"/>
          <w:szCs w:val="30"/>
        </w:rPr>
        <w:t>根据《部门整体支出绩效自评表》评分，澧县发展和改革局</w:t>
      </w:r>
      <w:r>
        <w:rPr>
          <w:rFonts w:cs="黑体" w:asciiTheme="minorEastAsia" w:hAnsiTheme="minorEastAsia"/>
          <w:color w:val="222222"/>
          <w:sz w:val="30"/>
          <w:szCs w:val="30"/>
        </w:rPr>
        <w:t>20</w:t>
      </w:r>
      <w:r>
        <w:rPr>
          <w:rFonts w:hint="eastAsia" w:cs="黑体" w:asciiTheme="minorEastAsia" w:hAnsiTheme="minorEastAsia"/>
          <w:color w:val="222222"/>
          <w:sz w:val="30"/>
          <w:szCs w:val="30"/>
        </w:rPr>
        <w:t>21年度部门整体支出自评得分为 95分。</w:t>
      </w:r>
    </w:p>
    <w:p>
      <w:pPr>
        <w:spacing w:line="360" w:lineRule="auto"/>
        <w:ind w:firstLine="300" w:firstLineChars="100"/>
        <w:rPr>
          <w:rFonts w:cs="Times New Roman" w:asciiTheme="minorEastAsia" w:hAnsiTheme="minorEastAsia"/>
          <w:sz w:val="30"/>
          <w:szCs w:val="30"/>
        </w:rPr>
      </w:pPr>
      <w:r>
        <w:rPr>
          <w:rFonts w:cs="Times New Roman" w:asciiTheme="minorEastAsia" w:hAnsiTheme="minorEastAsia"/>
          <w:sz w:val="30"/>
          <w:szCs w:val="30"/>
        </w:rPr>
        <w:t>二、一般公共预算支出情况</w:t>
      </w:r>
    </w:p>
    <w:p>
      <w:pPr>
        <w:spacing w:line="360" w:lineRule="auto"/>
        <w:ind w:firstLine="450" w:firstLineChars="150"/>
        <w:rPr>
          <w:rFonts w:cs="Times New Roman" w:asciiTheme="minorEastAsia" w:hAnsiTheme="minorEastAsia"/>
          <w:sz w:val="30"/>
          <w:szCs w:val="30"/>
        </w:rPr>
      </w:pPr>
      <w:r>
        <w:rPr>
          <w:rFonts w:cs="Times New Roman" w:asciiTheme="minorEastAsia" w:hAnsiTheme="minorEastAsia"/>
          <w:sz w:val="30"/>
          <w:szCs w:val="30"/>
        </w:rPr>
        <w:t>（一）基本支出情况</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基本支出是指为保障局机关正常运转、完成日常工作任务而发生的各项支出，包括用于基本工资、津贴补贴等人员经费以及办公费、印刷费、水电费、办公设备购置等日常公用经费。2021年度我局部门决算的财政拨款基本支出 522.44 万元，其中：人员经费 483.15  万元，占基本支出的 92.48 %,主要包括基本工资、津贴补贴、绩效工资、社会保障；公用经费 39.29 万元，占基本支出的 7.52 %，主要包括办公费、印刷费、咨询费、手续费、水电费、培训费、会议费、公务接待费、其他交通费等。</w:t>
      </w:r>
    </w:p>
    <w:p>
      <w:pPr>
        <w:spacing w:line="360" w:lineRule="auto"/>
        <w:ind w:firstLine="300" w:firstLineChars="100"/>
        <w:rPr>
          <w:rFonts w:cs="Times New Roman" w:asciiTheme="minorEastAsia" w:hAnsiTheme="minorEastAsia"/>
          <w:sz w:val="30"/>
          <w:szCs w:val="30"/>
        </w:rPr>
      </w:pPr>
      <w:r>
        <w:rPr>
          <w:rFonts w:hint="eastAsia" w:cs="Times New Roman" w:asciiTheme="minorEastAsia" w:hAnsiTheme="minorEastAsia"/>
          <w:sz w:val="30"/>
          <w:szCs w:val="30"/>
        </w:rPr>
        <w:t>（二）</w:t>
      </w:r>
      <w:r>
        <w:rPr>
          <w:rFonts w:cs="Times New Roman" w:asciiTheme="minorEastAsia" w:hAnsiTheme="minorEastAsia"/>
          <w:sz w:val="30"/>
          <w:szCs w:val="30"/>
        </w:rPr>
        <w:t>项目支出情况</w:t>
      </w:r>
    </w:p>
    <w:p>
      <w:pPr>
        <w:spacing w:line="360" w:lineRule="auto"/>
        <w:rPr>
          <w:rFonts w:cs="Times New Roman" w:asciiTheme="minorEastAsia" w:hAnsiTheme="minorEastAsia"/>
          <w:sz w:val="30"/>
          <w:szCs w:val="30"/>
        </w:rPr>
      </w:pPr>
      <w:r>
        <w:rPr>
          <w:rFonts w:hint="eastAsia" w:asciiTheme="minorEastAsia" w:hAnsiTheme="minorEastAsia"/>
          <w:sz w:val="30"/>
          <w:szCs w:val="30"/>
        </w:rPr>
        <w:t xml:space="preserve">   项目支出决算数1490.86万元，其中一般公共服务支出295.76 万元，农林水支出10万元，资源勘探工业信息等支出 265.01万元，粮油物资储备支出 583.65万元，其他支出336.44万元。</w:t>
      </w:r>
    </w:p>
    <w:p>
      <w:pPr>
        <w:spacing w:line="360" w:lineRule="auto"/>
        <w:ind w:firstLine="150" w:firstLineChars="50"/>
        <w:rPr>
          <w:rFonts w:cs="Times New Roman" w:asciiTheme="minorEastAsia" w:hAnsiTheme="minorEastAsia"/>
          <w:sz w:val="30"/>
          <w:szCs w:val="30"/>
        </w:rPr>
      </w:pPr>
      <w:r>
        <w:rPr>
          <w:rFonts w:cs="Times New Roman" w:asciiTheme="minorEastAsia" w:hAnsiTheme="minorEastAsia"/>
          <w:sz w:val="30"/>
          <w:szCs w:val="30"/>
        </w:rPr>
        <w:t>三、政府性基金预算支出情况</w:t>
      </w:r>
    </w:p>
    <w:p>
      <w:pPr>
        <w:spacing w:line="360" w:lineRule="auto"/>
        <w:ind w:firstLine="600" w:firstLineChars="200"/>
        <w:rPr>
          <w:rFonts w:cs="Times New Roman" w:asciiTheme="minorEastAsia" w:hAnsiTheme="minorEastAsia"/>
          <w:sz w:val="30"/>
          <w:szCs w:val="30"/>
        </w:rPr>
      </w:pPr>
      <w:r>
        <w:rPr>
          <w:rFonts w:hint="eastAsia" w:cs="Times New Roman" w:asciiTheme="minorEastAsia" w:hAnsiTheme="minorEastAsia"/>
          <w:sz w:val="30"/>
          <w:szCs w:val="30"/>
        </w:rPr>
        <w:t>无</w:t>
      </w:r>
    </w:p>
    <w:p>
      <w:pPr>
        <w:spacing w:line="360" w:lineRule="auto"/>
        <w:ind w:firstLine="150" w:firstLineChars="50"/>
        <w:rPr>
          <w:rFonts w:cs="Times New Roman" w:asciiTheme="minorEastAsia" w:hAnsiTheme="minorEastAsia"/>
          <w:sz w:val="30"/>
          <w:szCs w:val="30"/>
        </w:rPr>
      </w:pPr>
      <w:r>
        <w:rPr>
          <w:rFonts w:cs="Times New Roman" w:asciiTheme="minorEastAsia" w:hAnsiTheme="minorEastAsia"/>
          <w:sz w:val="30"/>
          <w:szCs w:val="30"/>
        </w:rPr>
        <w:t>四、国有资本经营预算支出情况</w:t>
      </w:r>
    </w:p>
    <w:p>
      <w:pPr>
        <w:spacing w:line="360" w:lineRule="auto"/>
        <w:ind w:firstLine="600" w:firstLineChars="200"/>
        <w:rPr>
          <w:rFonts w:cs="Times New Roman" w:asciiTheme="minorEastAsia" w:hAnsiTheme="minorEastAsia"/>
          <w:sz w:val="30"/>
          <w:szCs w:val="30"/>
        </w:rPr>
      </w:pPr>
      <w:r>
        <w:rPr>
          <w:rFonts w:hint="eastAsia" w:cs="Times New Roman" w:asciiTheme="minorEastAsia" w:hAnsiTheme="minorEastAsia"/>
          <w:sz w:val="30"/>
          <w:szCs w:val="30"/>
        </w:rPr>
        <w:t>无</w:t>
      </w:r>
    </w:p>
    <w:p>
      <w:pPr>
        <w:spacing w:line="360" w:lineRule="auto"/>
        <w:ind w:firstLine="150" w:firstLineChars="50"/>
        <w:rPr>
          <w:rFonts w:cs="Times New Roman" w:asciiTheme="minorEastAsia" w:hAnsiTheme="minorEastAsia"/>
          <w:sz w:val="30"/>
          <w:szCs w:val="30"/>
        </w:rPr>
      </w:pPr>
      <w:r>
        <w:rPr>
          <w:rFonts w:cs="Times New Roman" w:asciiTheme="minorEastAsia" w:hAnsiTheme="minorEastAsia"/>
          <w:sz w:val="30"/>
          <w:szCs w:val="30"/>
        </w:rPr>
        <w:t>五、社会保险基金预算支出情况</w:t>
      </w:r>
    </w:p>
    <w:p>
      <w:pPr>
        <w:spacing w:line="360" w:lineRule="auto"/>
        <w:ind w:firstLine="600" w:firstLineChars="200"/>
        <w:rPr>
          <w:rFonts w:cs="Times New Roman" w:asciiTheme="minorEastAsia" w:hAnsiTheme="minorEastAsia"/>
          <w:sz w:val="30"/>
          <w:szCs w:val="30"/>
        </w:rPr>
      </w:pPr>
      <w:r>
        <w:rPr>
          <w:rFonts w:hint="eastAsia" w:cs="Times New Roman" w:asciiTheme="minorEastAsia" w:hAnsiTheme="minorEastAsia"/>
          <w:sz w:val="30"/>
          <w:szCs w:val="30"/>
        </w:rPr>
        <w:t>无</w:t>
      </w:r>
    </w:p>
    <w:p>
      <w:pPr>
        <w:spacing w:line="360" w:lineRule="auto"/>
        <w:ind w:firstLine="150" w:firstLineChars="50"/>
        <w:rPr>
          <w:rFonts w:cs="Times New Roman" w:asciiTheme="minorEastAsia" w:hAnsiTheme="minorEastAsia"/>
          <w:sz w:val="30"/>
          <w:szCs w:val="30"/>
        </w:rPr>
      </w:pPr>
      <w:r>
        <w:rPr>
          <w:rFonts w:cs="Times New Roman" w:asciiTheme="minorEastAsia" w:hAnsiTheme="minorEastAsia"/>
          <w:sz w:val="30"/>
          <w:szCs w:val="30"/>
        </w:rPr>
        <w:t>六、单位整体支出绩效情况</w:t>
      </w:r>
    </w:p>
    <w:p>
      <w:pPr>
        <w:spacing w:line="360" w:lineRule="auto"/>
        <w:ind w:firstLine="750" w:firstLineChars="250"/>
        <w:rPr>
          <w:rFonts w:asciiTheme="minorEastAsia" w:hAnsiTheme="minorEastAsia"/>
          <w:color w:val="000000"/>
          <w:sz w:val="30"/>
          <w:szCs w:val="30"/>
        </w:rPr>
      </w:pPr>
      <w:r>
        <w:rPr>
          <w:rFonts w:hint="eastAsia" w:asciiTheme="minorEastAsia" w:hAnsiTheme="minorEastAsia"/>
          <w:color w:val="000000"/>
          <w:sz w:val="30"/>
          <w:szCs w:val="30"/>
        </w:rPr>
        <w:t>2021年，县发改局紧跟县委县政府工作部署，在项目建设、争项争资、粮食安全、价费管理等领域重点发力，取得明显成效。</w:t>
      </w:r>
    </w:p>
    <w:p>
      <w:pPr>
        <w:pStyle w:val="11"/>
        <w:spacing w:line="360" w:lineRule="auto"/>
        <w:ind w:firstLine="600" w:firstLineChars="200"/>
        <w:rPr>
          <w:rFonts w:asciiTheme="minorEastAsia" w:hAnsiTheme="minorEastAsia" w:eastAsiaTheme="minorEastAsia"/>
          <w:color w:val="000000"/>
          <w:sz w:val="30"/>
          <w:szCs w:val="30"/>
        </w:rPr>
      </w:pPr>
      <w:r>
        <w:rPr>
          <w:rFonts w:hint="eastAsia" w:cs="仿宋_GB2312" w:asciiTheme="minorEastAsia" w:hAnsiTheme="minorEastAsia" w:eastAsiaTheme="minorEastAsia"/>
          <w:bCs/>
          <w:color w:val="000000"/>
          <w:sz w:val="30"/>
          <w:szCs w:val="30"/>
        </w:rPr>
        <w:t>（1）围绕中心、服务大局，扩投资稳增长取得新成效。</w:t>
      </w:r>
      <w:r>
        <w:rPr>
          <w:rFonts w:hint="eastAsia" w:cs="楷体_GB2312" w:asciiTheme="minorEastAsia" w:hAnsiTheme="minorEastAsia" w:eastAsiaTheme="minorEastAsia"/>
          <w:color w:val="000000"/>
          <w:sz w:val="30"/>
          <w:szCs w:val="30"/>
        </w:rPr>
        <w:t>投资增速稳中有进。</w:t>
      </w:r>
      <w:r>
        <w:rPr>
          <w:rFonts w:hint="eastAsia" w:asciiTheme="minorEastAsia" w:hAnsiTheme="minorEastAsia" w:eastAsiaTheme="minorEastAsia"/>
          <w:color w:val="000000"/>
          <w:sz w:val="30"/>
          <w:szCs w:val="30"/>
        </w:rPr>
        <w:t>完成固定资产投资203.7亿元，同比增长9.7%，其中产业投资比重为70.9%。</w:t>
      </w:r>
      <w:r>
        <w:rPr>
          <w:rFonts w:hint="eastAsia" w:cs="楷体_GB2312" w:asciiTheme="minorEastAsia" w:hAnsiTheme="minorEastAsia" w:eastAsiaTheme="minorEastAsia"/>
          <w:color w:val="000000"/>
          <w:sz w:val="30"/>
          <w:szCs w:val="30"/>
        </w:rPr>
        <w:t>重大项目推进有力。</w:t>
      </w:r>
      <w:r>
        <w:rPr>
          <w:rFonts w:hint="eastAsia" w:asciiTheme="minorEastAsia" w:hAnsiTheme="minorEastAsia" w:eastAsiaTheme="minorEastAsia"/>
          <w:color w:val="000000"/>
          <w:sz w:val="30"/>
          <w:szCs w:val="30"/>
        </w:rPr>
        <w:t>2021年全县纳入省市重点考核项目14个，年度计划投资40.2亿元，元至11月，完成投资41.4亿元，占年度计划的103%。2021年纳入县重点推进项目101个，总投资125.8亿元。</w:t>
      </w:r>
      <w:r>
        <w:rPr>
          <w:rFonts w:hint="eastAsia" w:asciiTheme="minorEastAsia" w:hAnsiTheme="minorEastAsia" w:eastAsiaTheme="minorEastAsia"/>
          <w:sz w:val="30"/>
          <w:szCs w:val="30"/>
        </w:rPr>
        <w:t>到目前为止，立创半导体、普特思电子、韩顺电子等7个亿元产业项目相继建成投产，年内建成亿元产业项目将达到17个。安慈高速澧县段、新裕公路等重大基础设施和民生项目13个将建成投入运行。</w:t>
      </w:r>
      <w:r>
        <w:rPr>
          <w:rFonts w:hint="eastAsia" w:cs="楷体_GB2312" w:asciiTheme="minorEastAsia" w:hAnsiTheme="minorEastAsia" w:eastAsiaTheme="minorEastAsia"/>
          <w:color w:val="000000"/>
          <w:sz w:val="30"/>
          <w:szCs w:val="30"/>
        </w:rPr>
        <w:t>项目服务优质高效。</w:t>
      </w:r>
      <w:r>
        <w:rPr>
          <w:rFonts w:hint="eastAsia" w:asciiTheme="minorEastAsia" w:hAnsiTheme="minorEastAsia" w:eastAsiaTheme="minorEastAsia"/>
          <w:color w:val="000000"/>
          <w:sz w:val="30"/>
          <w:szCs w:val="30"/>
        </w:rPr>
        <w:t>抓行政审批服务，共办理审批、核准、备案、招标核准、调整等事项270个，并坚持从立项把关，所有投资项目必须在澧县成立公司，将税费交在本县。抓固定资产调度，抓固定资产投资项目入库，有效保证了每月入库规上项目10个以上。抓重点项目督导，先后发出重点建设项目进展情况通报8次，交办函3期，有力营造了项目建设良好氛围。</w:t>
      </w:r>
    </w:p>
    <w:p>
      <w:pPr>
        <w:pStyle w:val="11"/>
        <w:spacing w:line="360" w:lineRule="auto"/>
        <w:ind w:firstLine="600" w:firstLineChars="200"/>
        <w:rPr>
          <w:rFonts w:asciiTheme="minorEastAsia" w:hAnsiTheme="minorEastAsia" w:eastAsiaTheme="minorEastAsia"/>
          <w:color w:val="000000"/>
          <w:sz w:val="30"/>
          <w:szCs w:val="30"/>
        </w:rPr>
      </w:pPr>
      <w:r>
        <w:rPr>
          <w:rFonts w:hint="eastAsia" w:cs="仿宋_GB2312" w:asciiTheme="minorEastAsia" w:hAnsiTheme="minorEastAsia" w:eastAsiaTheme="minorEastAsia"/>
          <w:bCs/>
          <w:color w:val="000000"/>
          <w:sz w:val="30"/>
          <w:szCs w:val="30"/>
        </w:rPr>
        <w:t>（2）只争朝夕，奋力作为，</w:t>
      </w:r>
      <w:r>
        <w:rPr>
          <w:rFonts w:hint="eastAsia" w:asciiTheme="minorEastAsia" w:hAnsiTheme="minorEastAsia" w:eastAsiaTheme="minorEastAsia"/>
          <w:bCs/>
          <w:color w:val="000000"/>
          <w:sz w:val="30"/>
          <w:szCs w:val="30"/>
        </w:rPr>
        <w:t>争项争资取得新突破。</w:t>
      </w:r>
      <w:r>
        <w:rPr>
          <w:rFonts w:hint="eastAsia" w:asciiTheme="minorEastAsia" w:hAnsiTheme="minorEastAsia" w:eastAsiaTheme="minorEastAsia"/>
          <w:color w:val="000000"/>
          <w:sz w:val="30"/>
          <w:szCs w:val="30"/>
        </w:rPr>
        <w:t>围绕公共医疗服务体系、保障安居工程配套、社会民生工程、重大水利设施等专项，积极向上汇报对接，先后争取到位国省预算资金3亿元，发放政府性债券12.99亿元，争取信贷资金3亿元。我县成功纳入全国革命老区政策扶持范畴。</w:t>
      </w:r>
    </w:p>
    <w:p>
      <w:pPr>
        <w:pStyle w:val="10"/>
        <w:spacing w:line="360" w:lineRule="auto"/>
        <w:ind w:firstLine="600" w:firstLineChars="200"/>
        <w:rPr>
          <w:rFonts w:asciiTheme="minorEastAsia" w:hAnsiTheme="minorEastAsia" w:eastAsiaTheme="minorEastAsia"/>
          <w:bCs/>
          <w:color w:val="000000"/>
          <w:sz w:val="30"/>
          <w:szCs w:val="30"/>
        </w:rPr>
      </w:pPr>
      <w:r>
        <w:rPr>
          <w:rFonts w:hint="eastAsia" w:asciiTheme="minorEastAsia" w:hAnsiTheme="minorEastAsia" w:eastAsiaTheme="minorEastAsia"/>
          <w:bCs/>
          <w:color w:val="000000"/>
          <w:sz w:val="30"/>
          <w:szCs w:val="30"/>
        </w:rPr>
        <w:t>（3）压实责任、保障安全，粮食储备管理呈现</w:t>
      </w:r>
      <w:r>
        <w:rPr>
          <w:rFonts w:hint="eastAsia" w:cs="仿宋_GB2312" w:asciiTheme="minorEastAsia" w:hAnsiTheme="minorEastAsia" w:eastAsiaTheme="minorEastAsia"/>
          <w:bCs/>
          <w:color w:val="000000"/>
          <w:sz w:val="30"/>
          <w:szCs w:val="30"/>
        </w:rPr>
        <w:t>新局面</w:t>
      </w:r>
      <w:r>
        <w:rPr>
          <w:rFonts w:hint="eastAsia" w:asciiTheme="minorEastAsia" w:hAnsiTheme="minorEastAsia" w:eastAsiaTheme="minorEastAsia"/>
          <w:bCs/>
          <w:color w:val="000000"/>
          <w:sz w:val="30"/>
          <w:szCs w:val="30"/>
        </w:rPr>
        <w:t>。</w:t>
      </w:r>
      <w:r>
        <w:rPr>
          <w:rFonts w:hint="eastAsia" w:asciiTheme="minorEastAsia" w:hAnsiTheme="minorEastAsia" w:eastAsiaTheme="minorEastAsia"/>
          <w:color w:val="000000"/>
          <w:sz w:val="30"/>
          <w:szCs w:val="30"/>
        </w:rPr>
        <w:t>全面完成省级储备粮收购10000吨，县级储备粮收购6000吨任务，完成省级储备粮销售1000吨、县级储备粮销售4000吨。按要求开展地方临储粮、镉超标粮收购。顺利通过“优质好粮油工程”验收，</w:t>
      </w:r>
      <w:r>
        <w:rPr>
          <w:rFonts w:hint="eastAsia" w:asciiTheme="minorEastAsia" w:hAnsiTheme="minorEastAsia" w:eastAsiaTheme="minorEastAsia"/>
          <w:bCs/>
          <w:color w:val="000000"/>
          <w:sz w:val="30"/>
          <w:szCs w:val="30"/>
        </w:rPr>
        <w:t>“德德尚第七营养米粉”</w:t>
      </w:r>
      <w:r>
        <w:rPr>
          <w:rFonts w:hint="eastAsia" w:asciiTheme="minorEastAsia" w:hAnsiTheme="minorEastAsia" w:eastAsiaTheme="minorEastAsia"/>
          <w:color w:val="000000"/>
          <w:sz w:val="30"/>
          <w:szCs w:val="30"/>
        </w:rPr>
        <w:t>成功申报湖南省2021年粮油千亿产业-专精特新企业品牌。</w:t>
      </w:r>
    </w:p>
    <w:p>
      <w:pPr>
        <w:pStyle w:val="10"/>
        <w:spacing w:line="360" w:lineRule="auto"/>
        <w:ind w:firstLine="600" w:firstLineChars="200"/>
        <w:rPr>
          <w:rFonts w:asciiTheme="minorEastAsia" w:hAnsiTheme="minorEastAsia" w:eastAsiaTheme="minorEastAsia"/>
          <w:color w:val="000000"/>
          <w:sz w:val="30"/>
          <w:szCs w:val="30"/>
        </w:rPr>
      </w:pPr>
      <w:r>
        <w:rPr>
          <w:rFonts w:hint="eastAsia" w:asciiTheme="minorEastAsia" w:hAnsiTheme="minorEastAsia" w:eastAsiaTheme="minorEastAsia"/>
          <w:bCs/>
          <w:color w:val="000000"/>
          <w:sz w:val="30"/>
          <w:szCs w:val="30"/>
        </w:rPr>
        <w:t>（4）民生优先、靶向发力，物价工作再上新台阶。</w:t>
      </w:r>
      <w:r>
        <w:rPr>
          <w:rFonts w:hint="eastAsia" w:asciiTheme="minorEastAsia" w:hAnsiTheme="minorEastAsia" w:eastAsiaTheme="minorEastAsia"/>
          <w:color w:val="000000"/>
          <w:sz w:val="30"/>
          <w:szCs w:val="30"/>
        </w:rPr>
        <w:t>面对严峻复杂的价格工作形势，围绕蔬菜、水果、食用油、肉类、大米等生活必需品和日用品开展价格监测，为上级实施保供稳价提供决策依据。开展校外培训成本监审、农村集中供水运行成本、平原灌区和</w:t>
      </w:r>
      <w:r>
        <w:rPr>
          <w:rFonts w:hint="eastAsia" w:cs="宋体" w:asciiTheme="minorEastAsia" w:hAnsiTheme="minorEastAsia" w:eastAsiaTheme="minorEastAsia"/>
          <w:color w:val="000000"/>
          <w:sz w:val="30"/>
          <w:szCs w:val="30"/>
        </w:rPr>
        <w:t>洈</w:t>
      </w:r>
      <w:r>
        <w:rPr>
          <w:rFonts w:hint="eastAsia" w:cs="仿宋_GB2312" w:asciiTheme="minorEastAsia" w:hAnsiTheme="minorEastAsia" w:eastAsiaTheme="minorEastAsia"/>
          <w:color w:val="000000"/>
          <w:sz w:val="30"/>
          <w:szCs w:val="30"/>
        </w:rPr>
        <w:t>水灌区农业供水价格成本监审，</w:t>
      </w:r>
      <w:r>
        <w:rPr>
          <w:rFonts w:hint="eastAsia" w:asciiTheme="minorEastAsia" w:hAnsiTheme="minorEastAsia" w:eastAsiaTheme="minorEastAsia"/>
          <w:color w:val="000000"/>
          <w:sz w:val="30"/>
          <w:szCs w:val="30"/>
        </w:rPr>
        <w:t>调整殡葬事务服务收费和公墓价格标准。年内完成价格认证案件86件，认定金额200多万元。</w:t>
      </w:r>
    </w:p>
    <w:p>
      <w:pPr>
        <w:spacing w:line="360" w:lineRule="auto"/>
        <w:ind w:firstLine="600" w:firstLineChars="200"/>
        <w:rPr>
          <w:rFonts w:asciiTheme="minorEastAsia" w:hAnsiTheme="minorEastAsia"/>
          <w:bCs/>
          <w:color w:val="000000"/>
          <w:sz w:val="30"/>
          <w:szCs w:val="30"/>
        </w:rPr>
      </w:pPr>
      <w:r>
        <w:rPr>
          <w:rFonts w:hint="eastAsia" w:asciiTheme="minorEastAsia" w:hAnsiTheme="minorEastAsia"/>
          <w:bCs/>
          <w:color w:val="000000"/>
          <w:sz w:val="30"/>
          <w:szCs w:val="30"/>
        </w:rPr>
        <w:t>（5）精准施策、高效推动，各牵头事项展现新作为。</w:t>
      </w:r>
    </w:p>
    <w:p>
      <w:pPr>
        <w:spacing w:line="360" w:lineRule="auto"/>
        <w:rPr>
          <w:rFonts w:asciiTheme="minorEastAsia" w:hAnsiTheme="minorEastAsia"/>
          <w:bCs/>
          <w:color w:val="000000"/>
          <w:sz w:val="30"/>
          <w:szCs w:val="30"/>
        </w:rPr>
      </w:pPr>
      <w:r>
        <w:rPr>
          <w:rFonts w:hint="eastAsia" w:asciiTheme="minorEastAsia" w:hAnsiTheme="minorEastAsia"/>
          <w:bCs/>
          <w:color w:val="000000"/>
          <w:sz w:val="30"/>
          <w:szCs w:val="30"/>
        </w:rPr>
        <w:t>信用体系建设</w:t>
      </w:r>
      <w:r>
        <w:rPr>
          <w:rFonts w:hint="eastAsia" w:asciiTheme="minorEastAsia" w:hAnsiTheme="minorEastAsia"/>
          <w:color w:val="000000"/>
          <w:sz w:val="30"/>
          <w:szCs w:val="30"/>
        </w:rPr>
        <w:t>累计上报行政许可信用信息5732条，行政处罚信用信息977条，已公示298家企业信用承诺书，引导企业信用修复89起。易地扶贫搬迁后续帮扶</w:t>
      </w:r>
      <w:r>
        <w:rPr>
          <w:rFonts w:hint="eastAsia" w:cs="仿宋_GB2312" w:asciiTheme="minorEastAsia" w:hAnsiTheme="minorEastAsia"/>
          <w:color w:val="000000"/>
          <w:sz w:val="30"/>
          <w:szCs w:val="30"/>
        </w:rPr>
        <w:t>先后落实后续帮扶结余资金1460.4万元。搬迁群众</w:t>
      </w:r>
      <w:r>
        <w:rPr>
          <w:rFonts w:hint="eastAsia" w:cs="仿宋_GB2312" w:asciiTheme="minorEastAsia" w:hAnsiTheme="minorEastAsia"/>
          <w:color w:val="000000"/>
          <w:w w:val="98"/>
          <w:sz w:val="30"/>
          <w:szCs w:val="30"/>
        </w:rPr>
        <w:t>后续帮扶措施覆盖率为100%</w:t>
      </w:r>
      <w:r>
        <w:rPr>
          <w:rFonts w:hint="eastAsia" w:cs="仿宋_GB2312" w:asciiTheme="minorEastAsia" w:hAnsiTheme="minorEastAsia"/>
          <w:color w:val="000000"/>
          <w:sz w:val="30"/>
          <w:szCs w:val="30"/>
        </w:rPr>
        <w:t>。</w:t>
      </w:r>
      <w:r>
        <w:rPr>
          <w:rFonts w:hint="eastAsia" w:cs="仿宋_GB2312" w:asciiTheme="minorEastAsia" w:hAnsiTheme="minorEastAsia"/>
          <w:bCs/>
          <w:color w:val="000000"/>
          <w:sz w:val="30"/>
          <w:szCs w:val="30"/>
        </w:rPr>
        <w:t>县域生态治理</w:t>
      </w:r>
      <w:r>
        <w:rPr>
          <w:rFonts w:hint="eastAsia" w:cs="仿宋_GB2312" w:asciiTheme="minorEastAsia" w:hAnsiTheme="minorEastAsia"/>
          <w:color w:val="000000"/>
          <w:sz w:val="30"/>
          <w:szCs w:val="30"/>
        </w:rPr>
        <w:t>完成洞庭湖保护范围的划定，</w:t>
      </w:r>
      <w:r>
        <w:rPr>
          <w:rFonts w:cs="仿宋_GB2312" w:asciiTheme="minorEastAsia" w:hAnsiTheme="minorEastAsia"/>
          <w:color w:val="000000"/>
          <w:sz w:val="30"/>
          <w:szCs w:val="30"/>
        </w:rPr>
        <w:t>长江经济带问题整改清单</w:t>
      </w:r>
      <w:r>
        <w:rPr>
          <w:rFonts w:hint="eastAsia" w:cs="仿宋_GB2312" w:asciiTheme="minorEastAsia" w:hAnsiTheme="minorEastAsia"/>
          <w:color w:val="000000"/>
          <w:sz w:val="30"/>
          <w:szCs w:val="30"/>
        </w:rPr>
        <w:t>正</w:t>
      </w:r>
      <w:r>
        <w:rPr>
          <w:rFonts w:cs="仿宋_GB2312" w:asciiTheme="minorEastAsia" w:hAnsiTheme="minorEastAsia"/>
          <w:color w:val="000000"/>
          <w:sz w:val="30"/>
          <w:szCs w:val="30"/>
        </w:rPr>
        <w:t>完成销号。</w:t>
      </w:r>
      <w:r>
        <w:rPr>
          <w:rFonts w:hint="eastAsia" w:asciiTheme="minorEastAsia" w:hAnsiTheme="minorEastAsia"/>
          <w:bCs/>
          <w:sz w:val="30"/>
          <w:szCs w:val="30"/>
        </w:rPr>
        <w:t>通用机场筹建</w:t>
      </w:r>
      <w:r>
        <w:rPr>
          <w:rFonts w:hint="eastAsia" w:cs="仿宋_GB2312" w:asciiTheme="minorEastAsia" w:hAnsiTheme="minorEastAsia"/>
          <w:color w:val="000000"/>
          <w:sz w:val="30"/>
          <w:szCs w:val="30"/>
        </w:rPr>
        <w:t>已完成项目选址，可研报批等前期工作推进有序。</w:t>
      </w:r>
      <w:r>
        <w:rPr>
          <w:rFonts w:hint="eastAsia" w:asciiTheme="minorEastAsia" w:hAnsiTheme="minorEastAsia"/>
          <w:bCs/>
          <w:sz w:val="30"/>
          <w:szCs w:val="30"/>
        </w:rPr>
        <w:t>事业单位及县属国有企业公车改革按照上级要求已完成实施方案编制。</w:t>
      </w:r>
    </w:p>
    <w:p>
      <w:pPr>
        <w:spacing w:line="360" w:lineRule="auto"/>
        <w:ind w:firstLine="150" w:firstLineChars="50"/>
        <w:rPr>
          <w:rFonts w:cs="Times New Roman" w:asciiTheme="minorEastAsia" w:hAnsiTheme="minorEastAsia"/>
          <w:sz w:val="30"/>
          <w:szCs w:val="30"/>
        </w:rPr>
      </w:pPr>
      <w:r>
        <w:rPr>
          <w:rFonts w:cs="Times New Roman" w:asciiTheme="minorEastAsia" w:hAnsiTheme="minorEastAsia"/>
          <w:sz w:val="30"/>
          <w:szCs w:val="30"/>
        </w:rPr>
        <w:t>七、存在的问题及原因分析</w:t>
      </w:r>
    </w:p>
    <w:p>
      <w:pPr>
        <w:snapToGrid w:val="0"/>
        <w:spacing w:line="360" w:lineRule="auto"/>
        <w:ind w:firstLine="600" w:firstLineChars="200"/>
        <w:rPr>
          <w:rFonts w:asciiTheme="minorEastAsia" w:hAnsiTheme="minorEastAsia"/>
          <w:sz w:val="30"/>
          <w:szCs w:val="30"/>
        </w:rPr>
      </w:pPr>
      <w:r>
        <w:rPr>
          <w:rFonts w:hint="eastAsia" w:asciiTheme="minorEastAsia" w:hAnsiTheme="minorEastAsia"/>
          <w:sz w:val="30"/>
          <w:szCs w:val="30"/>
        </w:rPr>
        <w:t>1、预算执行中存在的问题：</w:t>
      </w:r>
    </w:p>
    <w:p>
      <w:pPr>
        <w:snapToGrid w:val="0"/>
        <w:spacing w:line="360" w:lineRule="auto"/>
        <w:ind w:firstLine="600" w:firstLineChars="200"/>
        <w:rPr>
          <w:rFonts w:asciiTheme="minorEastAsia" w:hAnsiTheme="minorEastAsia"/>
          <w:sz w:val="30"/>
          <w:szCs w:val="30"/>
        </w:rPr>
      </w:pPr>
      <w:r>
        <w:rPr>
          <w:rFonts w:hint="eastAsia" w:asciiTheme="minorEastAsia" w:hAnsiTheme="minorEastAsia"/>
          <w:sz w:val="30"/>
          <w:szCs w:val="30"/>
        </w:rPr>
        <w:t>预算执行数与年初预算编制数存在较大差异。</w:t>
      </w:r>
    </w:p>
    <w:p>
      <w:pPr>
        <w:snapToGrid w:val="0"/>
        <w:spacing w:line="360" w:lineRule="auto"/>
        <w:ind w:firstLine="600" w:firstLineChars="200"/>
        <w:rPr>
          <w:rFonts w:asciiTheme="minorEastAsia" w:hAnsiTheme="minorEastAsia"/>
          <w:sz w:val="30"/>
          <w:szCs w:val="30"/>
        </w:rPr>
      </w:pPr>
      <w:r>
        <w:rPr>
          <w:rFonts w:hint="eastAsia" w:asciiTheme="minorEastAsia" w:hAnsiTheme="minorEastAsia"/>
          <w:sz w:val="30"/>
          <w:szCs w:val="30"/>
        </w:rPr>
        <w:t>2、存在的原因：</w:t>
      </w:r>
    </w:p>
    <w:p>
      <w:pPr>
        <w:snapToGrid w:val="0"/>
        <w:spacing w:line="360" w:lineRule="auto"/>
        <w:ind w:firstLine="600" w:firstLineChars="200"/>
        <w:rPr>
          <w:rFonts w:asciiTheme="minorEastAsia" w:hAnsiTheme="minorEastAsia"/>
          <w:sz w:val="30"/>
          <w:szCs w:val="30"/>
        </w:rPr>
      </w:pPr>
      <w:r>
        <w:rPr>
          <w:rFonts w:hint="eastAsia" w:asciiTheme="minorEastAsia" w:hAnsiTheme="minorEastAsia"/>
          <w:color w:val="3D3D3D"/>
          <w:sz w:val="30"/>
          <w:szCs w:val="30"/>
        </w:rPr>
        <w:t>预算编制不够严谨，欠科学，因年中新增加的项目支出较多，年初没有纳入年度预算，项目预算科目编制不够准确，部门项目支出调整预算较多，预算编制需要进一步规范。</w:t>
      </w:r>
    </w:p>
    <w:p>
      <w:pPr>
        <w:spacing w:line="360" w:lineRule="auto"/>
        <w:rPr>
          <w:rFonts w:cs="Times New Roman" w:asciiTheme="minorEastAsia" w:hAnsiTheme="minorEastAsia"/>
          <w:sz w:val="30"/>
          <w:szCs w:val="30"/>
        </w:rPr>
      </w:pPr>
      <w:r>
        <w:rPr>
          <w:rFonts w:cs="Times New Roman" w:asciiTheme="minorEastAsia" w:hAnsiTheme="minorEastAsia"/>
          <w:sz w:val="30"/>
          <w:szCs w:val="30"/>
        </w:rPr>
        <w:t>八、下一步改进措施</w:t>
      </w:r>
    </w:p>
    <w:p>
      <w:pPr>
        <w:pStyle w:val="4"/>
        <w:spacing w:before="0" w:beforeAutospacing="0" w:after="0" w:afterAutospacing="0" w:line="360" w:lineRule="auto"/>
        <w:ind w:firstLine="450" w:firstLineChars="150"/>
        <w:rPr>
          <w:rFonts w:asciiTheme="minorEastAsia" w:hAnsiTheme="minorEastAsia" w:eastAsiaTheme="minorEastAsia"/>
          <w:color w:val="3D3D3D"/>
          <w:sz w:val="30"/>
          <w:szCs w:val="30"/>
        </w:rPr>
      </w:pPr>
      <w:r>
        <w:rPr>
          <w:rFonts w:hint="eastAsia" w:asciiTheme="minorEastAsia" w:hAnsiTheme="minorEastAsia" w:eastAsiaTheme="minorEastAsia"/>
          <w:color w:val="3D3D3D"/>
          <w:sz w:val="30"/>
          <w:szCs w:val="30"/>
        </w:rPr>
        <w:t>（一）强化预算执行管理 </w:t>
      </w:r>
    </w:p>
    <w:p>
      <w:pPr>
        <w:pStyle w:val="4"/>
        <w:spacing w:before="0" w:beforeAutospacing="0" w:after="0" w:afterAutospacing="0" w:line="360" w:lineRule="auto"/>
        <w:rPr>
          <w:rFonts w:asciiTheme="minorEastAsia" w:hAnsiTheme="minorEastAsia" w:eastAsiaTheme="minorEastAsia"/>
          <w:color w:val="3D3D3D"/>
          <w:sz w:val="30"/>
          <w:szCs w:val="30"/>
        </w:rPr>
      </w:pPr>
      <w:r>
        <w:rPr>
          <w:rFonts w:hint="eastAsia" w:asciiTheme="minorEastAsia" w:hAnsiTheme="minorEastAsia" w:eastAsiaTheme="minorEastAsia"/>
          <w:color w:val="3D3D3D"/>
          <w:sz w:val="30"/>
          <w:szCs w:val="30"/>
        </w:rPr>
        <w:t>　　认真贯彻落实预算法，进一步做全、做细、做实项目支出预算，从严控制年中追加预算规模，对于年度无法预计、临时追加任务所需费用，严格按照预算调整程序，逐级申报报批，有效降低预算执行偏离度。同时，提高对预算资金使用效益的管理，把预算资金是否发挥使用效益与履职尽职相结合，将预算资金使用效率和效益作为考核评价的重要依据。</w:t>
      </w:r>
    </w:p>
    <w:p>
      <w:pPr>
        <w:pStyle w:val="4"/>
        <w:spacing w:before="0" w:beforeAutospacing="0" w:after="0" w:afterAutospacing="0" w:line="360" w:lineRule="auto"/>
        <w:rPr>
          <w:rFonts w:asciiTheme="minorEastAsia" w:hAnsiTheme="minorEastAsia" w:eastAsiaTheme="minorEastAsia"/>
          <w:color w:val="3D3D3D"/>
          <w:sz w:val="30"/>
          <w:szCs w:val="30"/>
        </w:rPr>
      </w:pPr>
      <w:r>
        <w:rPr>
          <w:rFonts w:hint="eastAsia" w:asciiTheme="minorEastAsia" w:hAnsiTheme="minorEastAsia" w:eastAsiaTheme="minorEastAsia"/>
          <w:color w:val="3D3D3D"/>
          <w:sz w:val="30"/>
          <w:szCs w:val="30"/>
        </w:rPr>
        <w:t>　 （二）加强资金监督管理</w:t>
      </w:r>
    </w:p>
    <w:p>
      <w:pPr>
        <w:pStyle w:val="4"/>
        <w:spacing w:before="0" w:beforeAutospacing="0" w:after="0" w:afterAutospacing="0" w:line="360" w:lineRule="auto"/>
        <w:ind w:firstLine="630" w:firstLineChars="210"/>
        <w:rPr>
          <w:rFonts w:asciiTheme="minorEastAsia" w:hAnsiTheme="minorEastAsia" w:eastAsiaTheme="minorEastAsia"/>
          <w:color w:val="3D3D3D"/>
          <w:sz w:val="30"/>
          <w:szCs w:val="30"/>
        </w:rPr>
      </w:pPr>
      <w:r>
        <w:rPr>
          <w:rFonts w:hint="eastAsia" w:asciiTheme="minorEastAsia" w:hAnsiTheme="minorEastAsia" w:eastAsiaTheme="minorEastAsia"/>
          <w:color w:val="3D3D3D"/>
          <w:sz w:val="30"/>
          <w:szCs w:val="30"/>
        </w:rPr>
        <w:t>加强对部门整体支出、专项资金的绩效监管，形成绩效考核机制，加强对预算编制的监督管理，督促其科学细致的制订年初预算及绩效目标。</w:t>
      </w:r>
    </w:p>
    <w:p>
      <w:pPr>
        <w:pStyle w:val="4"/>
        <w:spacing w:before="0" w:beforeAutospacing="0" w:after="0" w:afterAutospacing="0" w:line="360" w:lineRule="auto"/>
        <w:rPr>
          <w:rFonts w:asciiTheme="minorEastAsia" w:hAnsiTheme="minorEastAsia" w:eastAsiaTheme="minorEastAsia"/>
          <w:color w:val="3D3D3D"/>
          <w:sz w:val="30"/>
          <w:szCs w:val="30"/>
        </w:rPr>
      </w:pPr>
      <w:r>
        <w:rPr>
          <w:rFonts w:cs="Times New Roman" w:asciiTheme="minorEastAsia" w:hAnsiTheme="minorEastAsia" w:eastAsiaTheme="minorEastAsia"/>
          <w:sz w:val="30"/>
          <w:szCs w:val="30"/>
        </w:rPr>
        <w:t>九、单位整体支出绩效自评结果拟应用和公开情况</w:t>
      </w:r>
    </w:p>
    <w:p>
      <w:pPr>
        <w:pStyle w:val="4"/>
        <w:spacing w:before="0" w:beforeAutospacing="0" w:after="0" w:afterAutospacing="0" w:line="360" w:lineRule="auto"/>
        <w:rPr>
          <w:rFonts w:asciiTheme="minorEastAsia" w:hAnsiTheme="minorEastAsia" w:eastAsiaTheme="minorEastAsia"/>
          <w:color w:val="3D3D3D"/>
          <w:sz w:val="30"/>
          <w:szCs w:val="30"/>
        </w:rPr>
      </w:pPr>
      <w:r>
        <w:rPr>
          <w:rFonts w:hint="eastAsia" w:asciiTheme="minorEastAsia" w:hAnsiTheme="minorEastAsia" w:eastAsiaTheme="minorEastAsia"/>
          <w:color w:val="3D3D3D"/>
          <w:sz w:val="30"/>
          <w:szCs w:val="30"/>
        </w:rPr>
        <w:t>　 （一）绩效自评结果应用</w:t>
      </w:r>
    </w:p>
    <w:p>
      <w:pPr>
        <w:pStyle w:val="4"/>
        <w:spacing w:before="0" w:beforeAutospacing="0" w:after="0" w:afterAutospacing="0" w:line="360" w:lineRule="auto"/>
        <w:rPr>
          <w:rFonts w:asciiTheme="minorEastAsia" w:hAnsiTheme="minorEastAsia" w:eastAsiaTheme="minorEastAsia"/>
          <w:color w:val="3D3D3D"/>
          <w:sz w:val="30"/>
          <w:szCs w:val="30"/>
        </w:rPr>
      </w:pPr>
      <w:r>
        <w:rPr>
          <w:rFonts w:hint="eastAsia" w:asciiTheme="minorEastAsia" w:hAnsiTheme="minorEastAsia" w:eastAsiaTheme="minorEastAsia"/>
          <w:color w:val="3D3D3D"/>
          <w:sz w:val="30"/>
          <w:szCs w:val="30"/>
        </w:rPr>
        <w:t>　　通过绩效自评，进一步掌握了部门整体支出使用情况和取得的效果，总结了项目资金管理经验，发现了工作中存在的问题和不足，为下一年提高资金的使用效益、加强财政支出的规范化管理、健全和完善项目支出和资金使用管理办法、完善预算编制、加强绩效目标管理和绩效考核工作提供重要的参考依据。</w:t>
      </w:r>
    </w:p>
    <w:p>
      <w:pPr>
        <w:pStyle w:val="4"/>
        <w:spacing w:before="0" w:beforeAutospacing="0" w:after="0" w:afterAutospacing="0" w:line="360" w:lineRule="auto"/>
        <w:rPr>
          <w:rFonts w:asciiTheme="minorEastAsia" w:hAnsiTheme="minorEastAsia" w:eastAsiaTheme="minorEastAsia"/>
          <w:color w:val="3D3D3D"/>
          <w:sz w:val="30"/>
          <w:szCs w:val="30"/>
        </w:rPr>
      </w:pPr>
      <w:r>
        <w:rPr>
          <w:rFonts w:hint="eastAsia" w:asciiTheme="minorEastAsia" w:hAnsiTheme="minorEastAsia" w:eastAsiaTheme="minorEastAsia"/>
          <w:color w:val="3D3D3D"/>
          <w:sz w:val="30"/>
          <w:szCs w:val="30"/>
        </w:rPr>
        <w:t>　 （二）绩效自评结果公开</w:t>
      </w:r>
    </w:p>
    <w:p>
      <w:pPr>
        <w:pStyle w:val="4"/>
        <w:spacing w:before="0" w:beforeAutospacing="0" w:after="0" w:afterAutospacing="0" w:line="360" w:lineRule="auto"/>
        <w:rPr>
          <w:rFonts w:asciiTheme="minorEastAsia" w:hAnsiTheme="minorEastAsia" w:eastAsiaTheme="minorEastAsia"/>
          <w:color w:val="3D3D3D"/>
          <w:sz w:val="30"/>
          <w:szCs w:val="30"/>
        </w:rPr>
      </w:pPr>
      <w:r>
        <w:rPr>
          <w:rFonts w:hint="eastAsia" w:asciiTheme="minorEastAsia" w:hAnsiTheme="minorEastAsia" w:eastAsiaTheme="minorEastAsia"/>
          <w:color w:val="3D3D3D"/>
          <w:sz w:val="30"/>
          <w:szCs w:val="30"/>
        </w:rPr>
        <w:t>　　将绩效自评报告通过政府网站向社会公开，接受群众监督。</w:t>
      </w:r>
    </w:p>
    <w:p>
      <w:pPr>
        <w:pStyle w:val="4"/>
        <w:spacing w:before="0" w:beforeAutospacing="0" w:after="0" w:afterAutospacing="0" w:line="360" w:lineRule="auto"/>
        <w:rPr>
          <w:rFonts w:asciiTheme="minorEastAsia" w:hAnsiTheme="minorEastAsia" w:eastAsiaTheme="minorEastAsia"/>
          <w:color w:val="3D3D3D"/>
          <w:sz w:val="30"/>
          <w:szCs w:val="30"/>
        </w:rPr>
      </w:pPr>
      <w:r>
        <w:rPr>
          <w:rFonts w:cs="Times New Roman" w:asciiTheme="minorEastAsia" w:hAnsiTheme="minorEastAsia" w:eastAsiaTheme="minorEastAsia"/>
          <w:sz w:val="30"/>
          <w:szCs w:val="30"/>
        </w:rPr>
        <w:t>十、其他需要说明的情况</w:t>
      </w:r>
    </w:p>
    <w:p>
      <w:pPr>
        <w:spacing w:line="360" w:lineRule="auto"/>
        <w:ind w:firstLine="600" w:firstLineChars="200"/>
        <w:rPr>
          <w:rFonts w:cs="Times New Roman" w:asciiTheme="minorEastAsia" w:hAnsiTheme="minorEastAsia"/>
          <w:sz w:val="30"/>
          <w:szCs w:val="30"/>
        </w:rPr>
      </w:pPr>
      <w:r>
        <w:rPr>
          <w:rFonts w:hint="eastAsia" w:cs="Times New Roman" w:asciiTheme="minorEastAsia" w:hAnsiTheme="minorEastAsia"/>
          <w:sz w:val="30"/>
          <w:szCs w:val="30"/>
        </w:rPr>
        <w:t>无</w:t>
      </w:r>
    </w:p>
    <w:p>
      <w:pPr>
        <w:spacing w:line="360" w:lineRule="auto"/>
        <w:ind w:firstLine="600" w:firstLineChars="200"/>
        <w:rPr>
          <w:rFonts w:cs="Times New Roman" w:asciiTheme="minorEastAsia" w:hAnsiTheme="minorEastAsia"/>
          <w:sz w:val="30"/>
          <w:szCs w:val="30"/>
        </w:rPr>
      </w:pPr>
    </w:p>
    <w:p>
      <w:pPr>
        <w:spacing w:line="360" w:lineRule="auto"/>
        <w:ind w:firstLine="600" w:firstLineChars="200"/>
        <w:rPr>
          <w:rFonts w:cs="Times New Roman" w:asciiTheme="minorEastAsia" w:hAnsiTheme="minorEastAsia"/>
          <w:sz w:val="30"/>
          <w:szCs w:val="30"/>
        </w:rPr>
      </w:pPr>
      <w:r>
        <w:rPr>
          <w:rFonts w:cs="Times New Roman" w:asciiTheme="minorEastAsia" w:hAnsiTheme="minorEastAsia"/>
          <w:sz w:val="30"/>
          <w:szCs w:val="30"/>
        </w:rPr>
        <w:t>附件：</w:t>
      </w:r>
    </w:p>
    <w:p>
      <w:pPr>
        <w:spacing w:line="360" w:lineRule="auto"/>
        <w:ind w:firstLine="600" w:firstLineChars="200"/>
        <w:rPr>
          <w:rFonts w:cs="Times New Roman" w:asciiTheme="minorEastAsia" w:hAnsiTheme="minorEastAsia"/>
          <w:sz w:val="30"/>
          <w:szCs w:val="30"/>
        </w:rPr>
      </w:pPr>
      <w:r>
        <w:rPr>
          <w:rFonts w:cs="Times New Roman" w:asciiTheme="minorEastAsia" w:hAnsiTheme="minorEastAsia"/>
          <w:sz w:val="30"/>
          <w:szCs w:val="30"/>
        </w:rPr>
        <w:t>1．部门整体支出绩效评价基础数据表</w:t>
      </w:r>
    </w:p>
    <w:p>
      <w:pPr>
        <w:spacing w:line="360" w:lineRule="auto"/>
        <w:ind w:firstLine="600" w:firstLineChars="200"/>
        <w:rPr>
          <w:rFonts w:cs="Times New Roman" w:asciiTheme="minorEastAsia" w:hAnsiTheme="minorEastAsia"/>
          <w:sz w:val="30"/>
          <w:szCs w:val="30"/>
        </w:rPr>
      </w:pPr>
      <w:r>
        <w:rPr>
          <w:rFonts w:cs="Times New Roman" w:asciiTheme="minorEastAsia" w:hAnsiTheme="minorEastAsia"/>
          <w:sz w:val="30"/>
          <w:szCs w:val="30"/>
        </w:rPr>
        <w:t>2．部门整体支出绩效自评表</w:t>
      </w:r>
    </w:p>
    <w:p>
      <w:pPr>
        <w:spacing w:line="360" w:lineRule="auto"/>
        <w:ind w:firstLine="600" w:firstLineChars="200"/>
        <w:rPr>
          <w:rFonts w:cs="Times New Roman" w:asciiTheme="minorEastAsia" w:hAnsiTheme="minorEastAsia"/>
          <w:sz w:val="30"/>
          <w:szCs w:val="30"/>
        </w:rPr>
      </w:pPr>
      <w:r>
        <w:rPr>
          <w:rFonts w:cs="Times New Roman" w:asciiTheme="minorEastAsia" w:hAnsiTheme="minorEastAsia"/>
          <w:sz w:val="30"/>
          <w:szCs w:val="30"/>
        </w:rPr>
        <w:t>3．项目支出绩效自评表（一个项目支出一张表）</w:t>
      </w:r>
    </w:p>
    <w:p>
      <w:pPr>
        <w:spacing w:line="360" w:lineRule="auto"/>
        <w:rPr>
          <w:rFonts w:cs="Times New Roman" w:asciiTheme="minorEastAsia" w:hAnsiTheme="minorEastAsia"/>
          <w:sz w:val="30"/>
          <w:szCs w:val="30"/>
        </w:rPr>
      </w:pPr>
    </w:p>
    <w:p>
      <w:pPr>
        <w:spacing w:line="360" w:lineRule="auto"/>
        <w:rPr>
          <w:rFonts w:cs="Times New Roman" w:asciiTheme="minorEastAsia" w:hAnsiTheme="minorEastAsia"/>
          <w:sz w:val="30"/>
          <w:szCs w:val="30"/>
        </w:rPr>
      </w:pPr>
    </w:p>
    <w:p>
      <w:pPr>
        <w:spacing w:line="360" w:lineRule="auto"/>
        <w:rPr>
          <w:rFonts w:cs="Times New Roman" w:asciiTheme="minorEastAsia" w:hAnsiTheme="minorEastAsia"/>
          <w:sz w:val="30"/>
          <w:szCs w:val="30"/>
        </w:rPr>
      </w:pPr>
    </w:p>
    <w:sectPr>
      <w:headerReference r:id="rId5" w:type="first"/>
      <w:footerReference r:id="rId8" w:type="first"/>
      <w:headerReference r:id="rId3" w:type="default"/>
      <w:footerReference r:id="rId6" w:type="default"/>
      <w:headerReference r:id="rId4" w:type="even"/>
      <w:footerReference r:id="rId7" w:type="even"/>
      <w:pgSz w:w="11900" w:h="16840"/>
      <w:pgMar w:top="1440" w:right="1800" w:bottom="1440" w:left="1800" w:header="0" w:footer="60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A31AF"/>
    <w:multiLevelType w:val="multilevel"/>
    <w:tmpl w:val="662A31A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7D94564"/>
    <w:rsid w:val="00043CD9"/>
    <w:rsid w:val="001459CA"/>
    <w:rsid w:val="00187FF1"/>
    <w:rsid w:val="00205982"/>
    <w:rsid w:val="0021593C"/>
    <w:rsid w:val="00226E16"/>
    <w:rsid w:val="00230230"/>
    <w:rsid w:val="00280EF3"/>
    <w:rsid w:val="00282970"/>
    <w:rsid w:val="00286F45"/>
    <w:rsid w:val="002B1977"/>
    <w:rsid w:val="002B1E51"/>
    <w:rsid w:val="0034727A"/>
    <w:rsid w:val="00367665"/>
    <w:rsid w:val="003C49DC"/>
    <w:rsid w:val="00407CC7"/>
    <w:rsid w:val="00516BAF"/>
    <w:rsid w:val="00595B98"/>
    <w:rsid w:val="005A3C2A"/>
    <w:rsid w:val="005A3CE4"/>
    <w:rsid w:val="005D059D"/>
    <w:rsid w:val="00602FFF"/>
    <w:rsid w:val="006249A9"/>
    <w:rsid w:val="00625C69"/>
    <w:rsid w:val="00626EFA"/>
    <w:rsid w:val="00641BCD"/>
    <w:rsid w:val="006638A9"/>
    <w:rsid w:val="00717F15"/>
    <w:rsid w:val="00746F49"/>
    <w:rsid w:val="00755F07"/>
    <w:rsid w:val="007B158C"/>
    <w:rsid w:val="00801823"/>
    <w:rsid w:val="008542D9"/>
    <w:rsid w:val="008961FC"/>
    <w:rsid w:val="008A39A5"/>
    <w:rsid w:val="008D5AF1"/>
    <w:rsid w:val="00950E33"/>
    <w:rsid w:val="009571F7"/>
    <w:rsid w:val="009734A8"/>
    <w:rsid w:val="00981C3B"/>
    <w:rsid w:val="00AD6E2C"/>
    <w:rsid w:val="00AE51EB"/>
    <w:rsid w:val="00B03708"/>
    <w:rsid w:val="00B65862"/>
    <w:rsid w:val="00B9329D"/>
    <w:rsid w:val="00C10A81"/>
    <w:rsid w:val="00C140B6"/>
    <w:rsid w:val="00C63BA5"/>
    <w:rsid w:val="00CA2FBF"/>
    <w:rsid w:val="00DA2616"/>
    <w:rsid w:val="00DA3DB7"/>
    <w:rsid w:val="00E40EA6"/>
    <w:rsid w:val="00EC2A92"/>
    <w:rsid w:val="00F07D7E"/>
    <w:rsid w:val="00F41BA4"/>
    <w:rsid w:val="00F86E3C"/>
    <w:rsid w:val="00F92C09"/>
    <w:rsid w:val="02E602C3"/>
    <w:rsid w:val="0569626F"/>
    <w:rsid w:val="139D26E1"/>
    <w:rsid w:val="1F5E5F75"/>
    <w:rsid w:val="225C4890"/>
    <w:rsid w:val="27D94564"/>
    <w:rsid w:val="287C746C"/>
    <w:rsid w:val="2AF459E0"/>
    <w:rsid w:val="356E5F27"/>
    <w:rsid w:val="3AD76784"/>
    <w:rsid w:val="3E1A70B4"/>
    <w:rsid w:val="4AD44F71"/>
    <w:rsid w:val="4B2A2DEB"/>
    <w:rsid w:val="4B775B0D"/>
    <w:rsid w:val="505446A7"/>
    <w:rsid w:val="525C7843"/>
    <w:rsid w:val="5EA93E10"/>
    <w:rsid w:val="64BA24D5"/>
    <w:rsid w:val="65474C27"/>
    <w:rsid w:val="737C62D9"/>
    <w:rsid w:val="78D21D5D"/>
    <w:rsid w:val="7ADB139D"/>
    <w:rsid w:val="7EA45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sz w:val="24"/>
      <w:szCs w:val="24"/>
    </w:rPr>
  </w:style>
  <w:style w:type="character" w:customStyle="1" w:styleId="7">
    <w:name w:val="页眉 Char"/>
    <w:basedOn w:val="6"/>
    <w:link w:val="3"/>
    <w:qFormat/>
    <w:uiPriority w:val="0"/>
    <w:rPr>
      <w:sz w:val="18"/>
      <w:szCs w:val="18"/>
    </w:rPr>
  </w:style>
  <w:style w:type="paragraph" w:styleId="8">
    <w:name w:val="List Paragraph"/>
    <w:basedOn w:val="1"/>
    <w:unhideWhenUsed/>
    <w:uiPriority w:val="99"/>
    <w:pPr>
      <w:ind w:firstLine="420" w:firstLineChars="200"/>
    </w:pPr>
  </w:style>
  <w:style w:type="character" w:customStyle="1" w:styleId="9">
    <w:name w:val="Subtle Emphasis"/>
    <w:basedOn w:val="6"/>
    <w:qFormat/>
    <w:uiPriority w:val="19"/>
    <w:rPr>
      <w:i/>
      <w:iCs/>
      <w:color w:val="7F7F7F" w:themeColor="text1" w:themeTint="7F"/>
    </w:rPr>
  </w:style>
  <w:style w:type="paragraph" w:customStyle="1" w:styleId="10">
    <w:name w:val="无间隔1"/>
    <w:basedOn w:val="1"/>
    <w:qFormat/>
    <w:uiPriority w:val="0"/>
    <w:rPr>
      <w:rFonts w:ascii="Times New Roman" w:hAnsi="Times New Roman" w:eastAsia="宋体" w:cs="Times New Roman"/>
      <w:kern w:val="2"/>
      <w:szCs w:val="21"/>
    </w:rPr>
  </w:style>
  <w:style w:type="paragraph" w:customStyle="1" w:styleId="11">
    <w:name w:val="No Spacing1"/>
    <w:basedOn w:val="1"/>
    <w:uiPriority w:val="0"/>
    <w:rPr>
      <w:rFonts w:ascii="Times New Roman" w:hAnsi="Times New Roman" w:eastAsia="宋体" w:cs="Times New Roman"/>
      <w:kern w:val="2"/>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13</Pages>
  <Words>974</Words>
  <Characters>5554</Characters>
  <Lines>46</Lines>
  <Paragraphs>13</Paragraphs>
  <TotalTime>5</TotalTime>
  <ScaleCrop>false</ScaleCrop>
  <LinksUpToDate>false</LinksUpToDate>
  <CharactersWithSpaces>6515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2022-08-25T08:56:00Z</dcterms:created>
  <dc:creator>小明同学</dc:creator>
  <cp:lastModifiedBy>Administrator</cp:lastModifiedBy>
  <cp:lastPrinted>2022-05-13T01:26:00Z</cp:lastPrinted>
  <dcterms:modified xsi:type="dcterms:W3CDTF">2024-08-28T07:56:54Z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2C748869A0314D468FCA60B514AE4557</vt:lpwstr>
  </property>
</Properties>
</file>