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Theme="majorEastAsia"/>
          <w:b/>
          <w:kern w:val="0"/>
          <w:sz w:val="44"/>
          <w:szCs w:val="44"/>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2021年度</w:t>
      </w:r>
      <w:r>
        <w:rPr>
          <w:rFonts w:hint="eastAsia" w:ascii="Times New Roman" w:hAnsi="Times New Roman" w:eastAsiaTheme="majorEastAsia"/>
          <w:b/>
          <w:kern w:val="0"/>
          <w:sz w:val="44"/>
          <w:szCs w:val="44"/>
        </w:rPr>
        <w:t>澧县人民政府澧阳街道办事处</w:t>
      </w:r>
      <w:r>
        <w:rPr>
          <w:rFonts w:ascii="Times New Roman" w:hAnsi="Times New Roman" w:eastAsiaTheme="majorEastAsia"/>
          <w:b/>
          <w:kern w:val="0"/>
          <w:sz w:val="44"/>
          <w:szCs w:val="44"/>
        </w:rPr>
        <w:t>部门整体支出绩效</w:t>
      </w:r>
      <w:r>
        <w:rPr>
          <w:rFonts w:hint="eastAsia" w:ascii="Times New Roman" w:hAnsi="Times New Roman" w:eastAsiaTheme="majorEastAsia"/>
          <w:b/>
          <w:kern w:val="0"/>
          <w:sz w:val="44"/>
          <w:szCs w:val="44"/>
        </w:rPr>
        <w:t>和重点项目绩效</w:t>
      </w:r>
      <w:r>
        <w:rPr>
          <w:rFonts w:ascii="Times New Roman" w:hAnsi="Times New Roman" w:eastAsiaTheme="majorEastAsia"/>
          <w:b/>
          <w:kern w:val="0"/>
          <w:sz w:val="44"/>
          <w:szCs w:val="44"/>
        </w:rPr>
        <w:t>报告</w:t>
      </w:r>
    </w:p>
    <w:p>
      <w:pPr>
        <w:spacing w:line="560" w:lineRule="exact"/>
        <w:jc w:val="center"/>
        <w:rPr>
          <w:rFonts w:ascii="Times New Roman" w:hAnsi="Times New Roman" w:eastAsiaTheme="majorEastAsia"/>
          <w:b/>
          <w:kern w:val="0"/>
          <w:sz w:val="44"/>
          <w:szCs w:val="44"/>
        </w:rPr>
      </w:pPr>
    </w:p>
    <w:p>
      <w:pPr>
        <w:ind w:firstLine="640" w:firstLineChars="200"/>
        <w:rPr>
          <w:rFonts w:ascii="仿宋" w:hAnsi="仿宋" w:eastAsia="仿宋"/>
          <w:bCs/>
          <w:kern w:val="0"/>
          <w:sz w:val="32"/>
          <w:szCs w:val="32"/>
        </w:rPr>
      </w:pPr>
      <w:r>
        <w:rPr>
          <w:rFonts w:hint="eastAsia" w:ascii="仿宋" w:hAnsi="仿宋" w:eastAsia="仿宋" w:cs="宋体"/>
          <w:color w:val="333333"/>
          <w:kern w:val="0"/>
          <w:sz w:val="32"/>
          <w:szCs w:val="32"/>
        </w:rPr>
        <w:t>为了进一步规范和加强财政资金使用管理，提高资金使用效益，</w:t>
      </w:r>
      <w:r>
        <w:rPr>
          <w:rFonts w:ascii="仿宋" w:hAnsi="仿宋" w:eastAsia="仿宋"/>
          <w:sz w:val="32"/>
          <w:szCs w:val="32"/>
        </w:rPr>
        <w:t>根据《湖南省委办公厅、湖南省人民政府办公厅关于全面实施预算绩效管理的实施意见》（湘办发〔20</w:t>
      </w:r>
      <w:r>
        <w:rPr>
          <w:rFonts w:hint="eastAsia" w:ascii="仿宋" w:hAnsi="仿宋" w:eastAsia="仿宋"/>
          <w:sz w:val="32"/>
          <w:szCs w:val="32"/>
        </w:rPr>
        <w:t>19</w:t>
      </w:r>
      <w:r>
        <w:rPr>
          <w:rFonts w:ascii="仿宋" w:hAnsi="仿宋" w:eastAsia="仿宋"/>
          <w:sz w:val="32"/>
          <w:szCs w:val="32"/>
        </w:rPr>
        <w:t>〕10号）和《</w:t>
      </w:r>
      <w:r>
        <w:rPr>
          <w:rFonts w:hint="eastAsia" w:ascii="仿宋" w:hAnsi="仿宋" w:eastAsia="仿宋"/>
          <w:sz w:val="32"/>
          <w:szCs w:val="32"/>
        </w:rPr>
        <w:t>澧县人民政府澧阳街道办事处</w:t>
      </w:r>
      <w:r>
        <w:rPr>
          <w:rFonts w:ascii="仿宋" w:hAnsi="仿宋" w:eastAsia="仿宋"/>
          <w:sz w:val="32"/>
          <w:szCs w:val="32"/>
        </w:rPr>
        <w:t>关于全面推进预算绩效管理的意见》（澧财发〔202</w:t>
      </w:r>
      <w:r>
        <w:rPr>
          <w:rFonts w:hint="eastAsia" w:ascii="仿宋" w:hAnsi="仿宋" w:eastAsia="仿宋"/>
          <w:sz w:val="32"/>
          <w:szCs w:val="32"/>
        </w:rPr>
        <w:t>0</w:t>
      </w:r>
      <w:r>
        <w:rPr>
          <w:rFonts w:ascii="仿宋" w:hAnsi="仿宋" w:eastAsia="仿宋"/>
          <w:sz w:val="32"/>
          <w:szCs w:val="32"/>
        </w:rPr>
        <w:t>〕36号）等文件的精神，</w:t>
      </w:r>
      <w:r>
        <w:rPr>
          <w:rFonts w:hint="eastAsia" w:ascii="仿宋" w:hAnsi="仿宋" w:eastAsia="仿宋"/>
          <w:kern w:val="0"/>
          <w:sz w:val="32"/>
          <w:szCs w:val="32"/>
        </w:rPr>
        <w:t>澧县人民政府澧阳街道办事处开展了2021年度</w:t>
      </w:r>
      <w:r>
        <w:rPr>
          <w:rFonts w:ascii="仿宋" w:hAnsi="仿宋" w:eastAsia="仿宋"/>
          <w:kern w:val="0"/>
          <w:sz w:val="32"/>
          <w:szCs w:val="32"/>
        </w:rPr>
        <w:t>部门整体支出绩效</w:t>
      </w:r>
      <w:r>
        <w:rPr>
          <w:rFonts w:hint="eastAsia" w:ascii="仿宋" w:hAnsi="仿宋" w:eastAsia="仿宋"/>
          <w:kern w:val="0"/>
          <w:sz w:val="32"/>
          <w:szCs w:val="32"/>
        </w:rPr>
        <w:t>自评</w:t>
      </w:r>
      <w:r>
        <w:rPr>
          <w:rFonts w:ascii="仿宋" w:hAnsi="仿宋" w:eastAsia="仿宋"/>
          <w:kern w:val="0"/>
          <w:sz w:val="32"/>
          <w:szCs w:val="32"/>
        </w:rPr>
        <w:t>，现</w:t>
      </w:r>
      <w:r>
        <w:rPr>
          <w:rFonts w:hint="eastAsia" w:ascii="仿宋" w:hAnsi="仿宋" w:eastAsia="仿宋"/>
          <w:kern w:val="0"/>
          <w:sz w:val="32"/>
          <w:szCs w:val="32"/>
        </w:rPr>
        <w:t>将绩效自评情况</w:t>
      </w:r>
      <w:r>
        <w:rPr>
          <w:rFonts w:ascii="仿宋" w:hAnsi="仿宋" w:eastAsia="仿宋"/>
          <w:kern w:val="0"/>
          <w:sz w:val="32"/>
          <w:szCs w:val="32"/>
        </w:rPr>
        <w:t>报告如下：</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一、部门概况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（一）机构、人员构成</w:t>
      </w:r>
    </w:p>
    <w:p>
      <w:pPr>
        <w:widowControl/>
        <w:shd w:val="clear" w:color="auto" w:fill="FFFFFF"/>
        <w:spacing w:after="195"/>
        <w:ind w:firstLine="480"/>
        <w:jc w:val="left"/>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澧县人民政府澧阳街道办事处内设机构包括：对街道党政内设机构统一设置为</w:t>
      </w:r>
      <w:r>
        <w:rPr>
          <w:rFonts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rPr>
        <w:t>个。</w:t>
      </w:r>
      <w:r>
        <w:rPr>
          <w:rFonts w:ascii="仿宋" w:hAnsi="仿宋" w:eastAsia="仿宋" w:cs="仿宋"/>
          <w:color w:val="333333"/>
          <w:sz w:val="32"/>
          <w:szCs w:val="32"/>
          <w:shd w:val="clear" w:color="auto" w:fill="FFFFFF"/>
        </w:rPr>
        <w:t>即</w:t>
      </w:r>
      <w:r>
        <w:rPr>
          <w:rFonts w:hint="eastAsia" w:ascii="仿宋" w:hAnsi="仿宋" w:eastAsia="仿宋" w:cs="仿宋"/>
          <w:color w:val="333333"/>
          <w:sz w:val="32"/>
          <w:szCs w:val="32"/>
          <w:shd w:val="clear" w:color="auto" w:fill="FFFFFF"/>
        </w:rPr>
        <w:t>党政综合办公室、城市发展办公室、社会管理综治维稳办公室、民政和劳动保障办公室、计划生育办公室。</w:t>
      </w:r>
      <w:r>
        <w:rPr>
          <w:rFonts w:ascii="仿宋" w:hAnsi="仿宋" w:eastAsia="仿宋"/>
          <w:sz w:val="32"/>
          <w:szCs w:val="32"/>
        </w:rPr>
        <w:t>2021年</w:t>
      </w:r>
      <w:r>
        <w:rPr>
          <w:rFonts w:hint="eastAsia" w:ascii="仿宋" w:hAnsi="仿宋" w:eastAsia="仿宋"/>
          <w:sz w:val="32"/>
          <w:szCs w:val="32"/>
        </w:rPr>
        <w:t>我街道共有编制人数77人，其中行政编制37人，事业编制40人。</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（二）单位主要职责</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一是宣传贯彻执行法律法规，落实党和国家的方针、政策；制定街道办发展规划和年度计划并组织实施；坚持依法行政，推进街道办民主政治发展，加强基层党组织建设。</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二是承担发展区域经济、增加居（村）民收入的责任。组织指导区域经济结构调整；加强工农业综合生产能力建设；健全街道社会化服务体系，完善产业支持保护体系，推进农村现代化；着力提升经济发展的质量和水平，增加居（村）民收入，不断提高人民生活水平。</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三是加强社会管理和基础设施建设，创造良好环境。规范社区（农村）集体经济管理，推进政务、社区（村）事务公开；加强生态环境保护工作，提升生态文明建设水平，建设美丽社区（农村）；抓好人口和计划生育工作，保障妇女儿童合法权益；加强安全生产和公共安全，组织抢险救灾、优抚救助，及时上报和处置重大社情、疫情、险情，保护人民群众的生命财产安全。</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四是发展公益事业，提供公共服务。搞好居（村）公共设施建设，开展社会保障服务，着力解决群众生产生活中的问题；发展科教文卫事业，提供经济发展和社会进步的信息服务，促进精神文明建设。</w:t>
      </w:r>
    </w:p>
    <w:p>
      <w:pPr>
        <w:widowControl/>
        <w:ind w:firstLine="640" w:firstLineChars="20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五是加强综合治理，维护社会稳定。调解民事纠纷、化解社会矛盾，接待上访群众，处理群体性突发事件，保证社会公正，维护社会秩序和社会稳定。</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二、部门财务情况</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（一）部门整体支出情况：</w:t>
      </w:r>
      <w:r>
        <w:rPr>
          <w:rFonts w:hint="eastAsia" w:ascii="仿宋" w:hAnsi="仿宋" w:eastAsia="仿宋"/>
          <w:kern w:val="0"/>
          <w:sz w:val="32"/>
          <w:szCs w:val="32"/>
        </w:rPr>
        <w:t>本年支出合计2626.1万元，其中：基本支出824.77万元，占31.41</w:t>
      </w:r>
      <w:r>
        <w:rPr>
          <w:rFonts w:ascii="仿宋" w:hAnsi="仿宋" w:eastAsia="仿宋"/>
          <w:kern w:val="0"/>
          <w:sz w:val="32"/>
          <w:szCs w:val="32"/>
        </w:rPr>
        <w:t>%</w:t>
      </w:r>
      <w:r>
        <w:rPr>
          <w:rFonts w:hint="eastAsia" w:ascii="仿宋" w:hAnsi="仿宋" w:eastAsia="仿宋"/>
          <w:kern w:val="0"/>
          <w:sz w:val="32"/>
          <w:szCs w:val="32"/>
        </w:rPr>
        <w:t>；项目支出1801.33万元，占68.59</w:t>
      </w:r>
      <w:r>
        <w:rPr>
          <w:rFonts w:ascii="仿宋" w:hAnsi="仿宋" w:eastAsia="仿宋"/>
          <w:kern w:val="0"/>
          <w:sz w:val="32"/>
          <w:szCs w:val="32"/>
        </w:rPr>
        <w:t>%</w:t>
      </w:r>
      <w:r>
        <w:rPr>
          <w:rFonts w:hint="eastAsia" w:ascii="仿宋" w:hAnsi="仿宋" w:eastAsia="仿宋"/>
          <w:kern w:val="0"/>
          <w:sz w:val="32"/>
          <w:szCs w:val="32"/>
        </w:rPr>
        <w:t>；上缴上级支出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；经营支出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；对附属单位补助支出</w:t>
      </w:r>
      <w:r>
        <w:rPr>
          <w:rFonts w:ascii="仿宋" w:hAnsi="仿宋" w:eastAsia="仿宋"/>
          <w:kern w:val="0"/>
          <w:sz w:val="32"/>
          <w:szCs w:val="32"/>
        </w:rPr>
        <w:t>0</w:t>
      </w:r>
      <w:r>
        <w:rPr>
          <w:rFonts w:hint="eastAsia" w:ascii="仿宋" w:hAnsi="仿宋" w:eastAsia="仿宋"/>
          <w:kern w:val="0"/>
          <w:sz w:val="32"/>
          <w:szCs w:val="32"/>
        </w:rPr>
        <w:t>万元，占</w:t>
      </w:r>
      <w:r>
        <w:rPr>
          <w:rFonts w:ascii="仿宋" w:hAnsi="仿宋" w:eastAsia="仿宋"/>
          <w:kern w:val="0"/>
          <w:sz w:val="32"/>
          <w:szCs w:val="32"/>
        </w:rPr>
        <w:t>0%</w:t>
      </w:r>
      <w:r>
        <w:rPr>
          <w:rFonts w:hint="eastAsia" w:ascii="仿宋" w:hAnsi="仿宋" w:eastAsia="仿宋"/>
          <w:kern w:val="0"/>
          <w:sz w:val="32"/>
          <w:szCs w:val="32"/>
        </w:rPr>
        <w:t>。</w:t>
      </w:r>
    </w:p>
    <w:p>
      <w:pPr>
        <w:widowControl/>
        <w:ind w:firstLine="643" w:firstLineChars="200"/>
        <w:rPr>
          <w:rFonts w:ascii="仿宋" w:hAnsi="仿宋" w:eastAsia="仿宋"/>
          <w:kern w:val="0"/>
          <w:sz w:val="32"/>
          <w:szCs w:val="32"/>
        </w:rPr>
      </w:pPr>
      <w:r>
        <w:rPr>
          <w:rFonts w:ascii="Times New Roman" w:hAnsi="Times New Roman" w:eastAsia="楷体_GB2312"/>
          <w:b/>
          <w:kern w:val="0"/>
          <w:sz w:val="32"/>
          <w:szCs w:val="32"/>
        </w:rPr>
        <w:t>（二）部门预算收支决算情况：</w:t>
      </w:r>
      <w:r>
        <w:rPr>
          <w:rFonts w:ascii="仿宋" w:hAnsi="仿宋" w:eastAsia="仿宋"/>
          <w:kern w:val="0"/>
          <w:sz w:val="32"/>
          <w:szCs w:val="32"/>
        </w:rPr>
        <w:t>2021</w:t>
      </w:r>
      <w:r>
        <w:rPr>
          <w:rFonts w:hint="eastAsia" w:ascii="仿宋" w:hAnsi="仿宋" w:eastAsia="仿宋"/>
          <w:kern w:val="0"/>
          <w:sz w:val="32"/>
          <w:szCs w:val="32"/>
        </w:rPr>
        <w:t>年度收、支总计2626.01万元（含结转结余）。与上年相比，增加352.92万元，增加15.53</w:t>
      </w:r>
      <w:r>
        <w:rPr>
          <w:rFonts w:ascii="仿宋" w:hAnsi="仿宋" w:eastAsia="仿宋"/>
          <w:kern w:val="0"/>
          <w:sz w:val="32"/>
          <w:szCs w:val="32"/>
        </w:rPr>
        <w:t>%</w:t>
      </w:r>
      <w:r>
        <w:rPr>
          <w:rFonts w:hint="eastAsia" w:ascii="仿宋" w:hAnsi="仿宋" w:eastAsia="仿宋"/>
          <w:kern w:val="0"/>
          <w:sz w:val="32"/>
          <w:szCs w:val="32"/>
        </w:rPr>
        <w:t>，主要是因为农林水支出、文化旅游体育与传媒支出、城乡社区支出增加。</w:t>
      </w:r>
    </w:p>
    <w:p>
      <w:pPr>
        <w:widowControl/>
        <w:ind w:firstLine="643" w:firstLineChars="200"/>
        <w:rPr>
          <w:rFonts w:ascii="仿宋" w:hAnsi="仿宋" w:eastAsia="仿宋" w:cs="宋体"/>
          <w:color w:val="333333"/>
          <w:kern w:val="0"/>
          <w:sz w:val="32"/>
          <w:szCs w:val="32"/>
        </w:rPr>
      </w:pPr>
      <w:r>
        <w:rPr>
          <w:rFonts w:ascii="Times New Roman" w:hAnsi="Times New Roman" w:eastAsia="楷体_GB2312"/>
          <w:b/>
          <w:kern w:val="0"/>
          <w:sz w:val="32"/>
          <w:szCs w:val="32"/>
        </w:rPr>
        <w:t>（三）“三公经费”支出使用和管理情况：</w:t>
      </w:r>
      <w:r>
        <w:rPr>
          <w:rFonts w:ascii="仿宋" w:hAnsi="仿宋" w:eastAsia="仿宋"/>
          <w:kern w:val="0"/>
          <w:sz w:val="32"/>
          <w:szCs w:val="32"/>
        </w:rPr>
        <w:t>2021年三公经费支出</w:t>
      </w:r>
      <w:r>
        <w:rPr>
          <w:rFonts w:hint="eastAsia" w:ascii="仿宋" w:hAnsi="仿宋" w:eastAsia="仿宋"/>
          <w:sz w:val="32"/>
          <w:szCs w:val="32"/>
        </w:rPr>
        <w:t>10</w:t>
      </w:r>
      <w:r>
        <w:rPr>
          <w:rFonts w:ascii="仿宋" w:hAnsi="仿宋" w:eastAsia="仿宋"/>
          <w:kern w:val="0"/>
          <w:sz w:val="32"/>
          <w:szCs w:val="32"/>
        </w:rPr>
        <w:t>万元，</w:t>
      </w:r>
      <w:r>
        <w:rPr>
          <w:rFonts w:hint="eastAsia" w:ascii="仿宋" w:hAnsi="仿宋" w:eastAsia="仿宋"/>
          <w:kern w:val="0"/>
          <w:sz w:val="32"/>
          <w:szCs w:val="32"/>
        </w:rPr>
        <w:t>与</w:t>
      </w:r>
      <w:r>
        <w:rPr>
          <w:rFonts w:ascii="仿宋" w:hAnsi="仿宋" w:eastAsia="仿宋"/>
          <w:sz w:val="32"/>
          <w:szCs w:val="32"/>
        </w:rPr>
        <w:t>上年</w:t>
      </w:r>
      <w:r>
        <w:rPr>
          <w:rFonts w:hint="eastAsia" w:ascii="仿宋" w:hAnsi="仿宋" w:eastAsia="仿宋"/>
          <w:sz w:val="32"/>
          <w:szCs w:val="32"/>
        </w:rPr>
        <w:t>基本持平</w:t>
      </w:r>
      <w:r>
        <w:rPr>
          <w:rFonts w:ascii="仿宋" w:hAnsi="仿宋" w:eastAsia="仿宋"/>
          <w:sz w:val="32"/>
          <w:szCs w:val="32"/>
        </w:rPr>
        <w:t>。</w:t>
      </w:r>
      <w:r>
        <w:rPr>
          <w:rFonts w:ascii="仿宋" w:hAnsi="仿宋" w:eastAsia="仿宋"/>
          <w:kern w:val="0"/>
          <w:sz w:val="32"/>
          <w:szCs w:val="32"/>
        </w:rPr>
        <w:t>其中：</w:t>
      </w:r>
      <w:r>
        <w:rPr>
          <w:rFonts w:ascii="仿宋" w:hAnsi="仿宋" w:eastAsia="仿宋"/>
          <w:sz w:val="32"/>
          <w:szCs w:val="32"/>
        </w:rPr>
        <w:t>公务接待费支出</w:t>
      </w:r>
      <w:r>
        <w:rPr>
          <w:rFonts w:hint="eastAsia" w:ascii="仿宋" w:hAnsi="仿宋" w:eastAsia="仿宋"/>
          <w:sz w:val="32"/>
          <w:szCs w:val="32"/>
        </w:rPr>
        <w:t>8</w:t>
      </w:r>
      <w:r>
        <w:rPr>
          <w:rFonts w:ascii="仿宋" w:hAnsi="仿宋" w:eastAsia="仿宋"/>
          <w:sz w:val="32"/>
          <w:szCs w:val="32"/>
        </w:rPr>
        <w:t>万元，</w:t>
      </w:r>
      <w:r>
        <w:rPr>
          <w:rFonts w:hint="eastAsia" w:ascii="仿宋" w:hAnsi="仿宋" w:eastAsia="仿宋"/>
          <w:sz w:val="32"/>
          <w:szCs w:val="32"/>
        </w:rPr>
        <w:t>与上年基本持平</w:t>
      </w:r>
      <w:r>
        <w:rPr>
          <w:rFonts w:ascii="仿宋" w:hAnsi="仿宋" w:eastAsia="仿宋"/>
          <w:sz w:val="32"/>
          <w:szCs w:val="32"/>
        </w:rPr>
        <w:t>。公务用车购置及运行维护费支出</w:t>
      </w:r>
      <w:r>
        <w:rPr>
          <w:rFonts w:hint="eastAsia" w:ascii="仿宋" w:hAnsi="仿宋" w:eastAsia="仿宋"/>
          <w:sz w:val="32"/>
          <w:szCs w:val="32"/>
        </w:rPr>
        <w:t>2</w:t>
      </w:r>
      <w:r>
        <w:rPr>
          <w:rFonts w:ascii="仿宋" w:hAnsi="仿宋" w:eastAsia="仿宋"/>
          <w:sz w:val="32"/>
          <w:szCs w:val="32"/>
        </w:rPr>
        <w:t>万元，其中</w:t>
      </w:r>
      <w:r>
        <w:rPr>
          <w:rFonts w:hint="eastAsia" w:ascii="仿宋" w:hAnsi="仿宋" w:eastAsia="仿宋"/>
          <w:sz w:val="32"/>
          <w:szCs w:val="32"/>
        </w:rPr>
        <w:t>公务用车运行维护费</w:t>
      </w:r>
      <w:r>
        <w:rPr>
          <w:rFonts w:ascii="仿宋" w:hAnsi="仿宋" w:eastAsia="仿宋"/>
          <w:sz w:val="32"/>
          <w:szCs w:val="32"/>
        </w:rPr>
        <w:t>2</w:t>
      </w:r>
      <w:r>
        <w:rPr>
          <w:rFonts w:hint="eastAsia" w:ascii="仿宋" w:hAnsi="仿宋" w:eastAsia="仿宋"/>
          <w:sz w:val="32"/>
          <w:szCs w:val="32"/>
        </w:rPr>
        <w:t>万元，主要是公车维修保养费、过路过桥费、燃油费等支出，截止</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日，我单位开支财政拨款的公务用车保有量为</w:t>
      </w:r>
      <w:r>
        <w:rPr>
          <w:rFonts w:ascii="仿宋" w:hAnsi="仿宋" w:eastAsia="仿宋"/>
          <w:sz w:val="32"/>
          <w:szCs w:val="32"/>
        </w:rPr>
        <w:t>1</w:t>
      </w:r>
      <w:r>
        <w:rPr>
          <w:rFonts w:hint="eastAsia" w:ascii="仿宋" w:hAnsi="仿宋" w:eastAsia="仿宋"/>
          <w:sz w:val="32"/>
          <w:szCs w:val="32"/>
        </w:rPr>
        <w:t>辆。</w:t>
      </w:r>
      <w:r>
        <w:rPr>
          <w:rFonts w:hint="eastAsia" w:ascii="仿宋" w:hAnsi="仿宋" w:eastAsia="仿宋" w:cs="宋体"/>
          <w:color w:val="333333"/>
          <w:kern w:val="0"/>
          <w:sz w:val="32"/>
          <w:szCs w:val="32"/>
        </w:rPr>
        <w:t>对于“三公经费”的支出，采用严格审核、报批程序，严格执行八项规定和县委县政府关于厉行节约反对浪费的规定。</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三、部门绩效目标</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（一）部门绩效总目标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加强我街道财政科学化精细化管理，强化财政监督，加快资金高效运行。保障和改善民生，统筹好就业创业、医疗卫生、教育惠民、扶贫攻坚、保障安居、基础设施等民生方面的扩面提标资金兜底需求，确保政府承诺为民办实事工作指标圆满完成，不断提高公共服务质量，增加人民获得感、幸福感、安全感。</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（二）2021年度部门绩效目标</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根据县政府决策部署及发展战略，坚持改革创新，统筹兼顾，发挥财政职能，提高资金使用绩效、防范财政运行风险、强化财政支出监管，服务全镇经济社会发展。</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1、继续稳步提高财政收入质量，夯实财力增长基础，确保调速不减势、量增质更优。</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2、优化财政支出结构，用好增量资金，坚持勤俭节约，大力优化支出结构，适当提高运转经费保障水平，压减部门专项，调整公共专项结构。</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3、完善财政体制，全面提升财政管理水平，深化预算管理体制改革，推进预算绩效管理，推动政府采购转型，稳步做好国库集中支付系统平稳运行、组织乡镇财政业务培训，完善镇街公务支付环境。</w:t>
      </w:r>
    </w:p>
    <w:p>
      <w:pPr>
        <w:widowControl/>
        <w:ind w:firstLine="640" w:firstLineChars="200"/>
        <w:rPr>
          <w:rFonts w:ascii="Times New Roman" w:hAnsi="Times New Roman" w:eastAsia="黑体"/>
          <w:kern w:val="0"/>
          <w:sz w:val="32"/>
          <w:szCs w:val="32"/>
        </w:rPr>
      </w:pPr>
      <w:r>
        <w:rPr>
          <w:rFonts w:ascii="Times New Roman" w:hAnsi="黑体" w:eastAsia="黑体"/>
          <w:kern w:val="0"/>
          <w:sz w:val="32"/>
          <w:szCs w:val="32"/>
        </w:rPr>
        <w:t>四、绩效评价工作情况</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根据《湖南省人民政府关于全面推进预算绩效管理的意见》和《澧县人民政府澧阳街道办事处关于全面推进预算绩效管理的意见》文件精神，我所成立了财政预算绩效评价领导小组，</w:t>
      </w:r>
      <w:r>
        <w:rPr>
          <w:rFonts w:ascii="仿宋" w:hAnsi="仿宋" w:eastAsia="仿宋"/>
          <w:bCs/>
          <w:kern w:val="0"/>
          <w:sz w:val="32"/>
          <w:szCs w:val="32"/>
        </w:rPr>
        <w:t>坚持“谁花钱、评价谁”</w:t>
      </w:r>
      <w:r>
        <w:rPr>
          <w:rFonts w:hint="eastAsia" w:ascii="仿宋" w:hAnsi="仿宋" w:eastAsia="仿宋"/>
          <w:bCs/>
          <w:kern w:val="0"/>
          <w:sz w:val="32"/>
          <w:szCs w:val="32"/>
        </w:rPr>
        <w:t>、</w:t>
      </w:r>
      <w:r>
        <w:rPr>
          <w:rFonts w:ascii="仿宋" w:hAnsi="仿宋" w:eastAsia="仿宋"/>
          <w:bCs/>
          <w:kern w:val="0"/>
          <w:sz w:val="32"/>
          <w:szCs w:val="32"/>
        </w:rPr>
        <w:t>“花钱无效要问责”的评价原则，</w:t>
      </w:r>
      <w:r>
        <w:rPr>
          <w:rFonts w:hint="eastAsia" w:ascii="仿宋" w:hAnsi="仿宋" w:eastAsia="仿宋" w:cs="宋体"/>
          <w:color w:val="333333"/>
          <w:kern w:val="0"/>
          <w:sz w:val="32"/>
          <w:szCs w:val="32"/>
        </w:rPr>
        <w:t>按照镇财政预算绩效考评指标对我街道2021度财政预算情况开展了考评。通过核实数据、查阅资料、实地查看、归纳汇总等环节对绩效执行情况、资金的来源和使用情况以及绩效目标的实现程度进行了分析评价，并形成了自评报告。</w:t>
      </w:r>
    </w:p>
    <w:p>
      <w:pPr>
        <w:widowControl/>
        <w:ind w:firstLine="640" w:firstLineChars="200"/>
        <w:rPr>
          <w:rFonts w:ascii="仿宋" w:hAnsi="仿宋" w:eastAsia="仿宋"/>
          <w:sz w:val="32"/>
          <w:szCs w:val="32"/>
        </w:rPr>
      </w:pPr>
      <w:r>
        <w:rPr>
          <w:rFonts w:ascii="Times New Roman" w:hAnsi="黑体" w:eastAsia="黑体"/>
          <w:sz w:val="32"/>
          <w:szCs w:val="32"/>
        </w:rPr>
        <w:t>五、综合评价结果</w:t>
      </w:r>
    </w:p>
    <w:p>
      <w:pPr>
        <w:widowControl/>
        <w:shd w:val="clear" w:color="auto" w:fill="FFFFFF"/>
        <w:spacing w:after="195"/>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按照绩效考核指标，我街道从预算配置、预算管理、履职效益等方面进行综合评价，2021年澧县人民政府澧阳街道办事处部门整体支出绩效评价自评分为95分。</w:t>
      </w:r>
    </w:p>
    <w:p>
      <w:pPr>
        <w:spacing w:line="576" w:lineRule="exact"/>
        <w:ind w:firstLine="640" w:firstLineChars="200"/>
        <w:rPr>
          <w:rFonts w:ascii="Times New Roman" w:hAnsi="Times New Roman" w:eastAsia="黑体"/>
          <w:kern w:val="0"/>
          <w:sz w:val="32"/>
          <w:szCs w:val="32"/>
        </w:rPr>
      </w:pPr>
      <w:r>
        <w:rPr>
          <w:rFonts w:ascii="Times New Roman" w:hAnsi="黑体" w:eastAsia="黑体"/>
          <w:kern w:val="0"/>
          <w:sz w:val="32"/>
          <w:szCs w:val="32"/>
        </w:rPr>
        <w:t>六、部门整体支出绩效情况</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（一）预算配置方面 </w:t>
      </w:r>
    </w:p>
    <w:p>
      <w:pPr>
        <w:widowControl/>
        <w:ind w:firstLine="640" w:firstLineChars="200"/>
        <w:rPr>
          <w:rFonts w:ascii="仿宋" w:hAnsi="仿宋" w:eastAsia="仿宋"/>
          <w:kern w:val="0"/>
          <w:sz w:val="32"/>
          <w:szCs w:val="32"/>
        </w:rPr>
      </w:pPr>
      <w:r>
        <w:rPr>
          <w:rFonts w:ascii="仿宋" w:hAnsi="仿宋" w:eastAsia="仿宋"/>
          <w:kern w:val="0"/>
          <w:sz w:val="32"/>
          <w:szCs w:val="32"/>
        </w:rPr>
        <w:t>在职人员控制率：编制数</w:t>
      </w:r>
      <w:r>
        <w:rPr>
          <w:rFonts w:hint="eastAsia" w:ascii="仿宋" w:hAnsi="仿宋" w:eastAsia="仿宋"/>
          <w:kern w:val="0"/>
          <w:sz w:val="32"/>
          <w:szCs w:val="32"/>
        </w:rPr>
        <w:t>77</w:t>
      </w:r>
      <w:r>
        <w:rPr>
          <w:rFonts w:ascii="仿宋" w:hAnsi="仿宋" w:eastAsia="仿宋"/>
          <w:kern w:val="0"/>
          <w:sz w:val="32"/>
          <w:szCs w:val="32"/>
        </w:rPr>
        <w:t>人，在职人员</w:t>
      </w:r>
      <w:r>
        <w:rPr>
          <w:rFonts w:hint="eastAsia" w:ascii="仿宋" w:hAnsi="仿宋" w:eastAsia="仿宋"/>
          <w:kern w:val="0"/>
          <w:sz w:val="32"/>
          <w:szCs w:val="32"/>
        </w:rPr>
        <w:t>77</w:t>
      </w:r>
      <w:r>
        <w:rPr>
          <w:rFonts w:ascii="仿宋" w:hAnsi="仿宋" w:eastAsia="仿宋"/>
          <w:kern w:val="0"/>
          <w:sz w:val="32"/>
          <w:szCs w:val="32"/>
        </w:rPr>
        <w:t>人，在编制控制范围内，在职人员控制率为</w:t>
      </w:r>
      <w:r>
        <w:rPr>
          <w:rFonts w:hint="eastAsia" w:ascii="仿宋" w:hAnsi="仿宋" w:eastAsia="仿宋"/>
          <w:kern w:val="0"/>
          <w:sz w:val="32"/>
          <w:szCs w:val="32"/>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“三公经费”变动率：三公经费本年预算数</w:t>
      </w:r>
      <w:r>
        <w:rPr>
          <w:rFonts w:hint="eastAsia" w:ascii="仿宋" w:hAnsi="仿宋" w:eastAsia="仿宋"/>
          <w:kern w:val="0"/>
          <w:sz w:val="32"/>
          <w:szCs w:val="32"/>
        </w:rPr>
        <w:t>10</w:t>
      </w:r>
      <w:r>
        <w:rPr>
          <w:rFonts w:ascii="仿宋" w:hAnsi="仿宋" w:eastAsia="仿宋"/>
          <w:kern w:val="0"/>
          <w:sz w:val="32"/>
          <w:szCs w:val="32"/>
        </w:rPr>
        <w:t>万元，上年预算数</w:t>
      </w:r>
      <w:r>
        <w:rPr>
          <w:rFonts w:hint="eastAsia" w:ascii="仿宋" w:hAnsi="仿宋" w:eastAsia="仿宋"/>
          <w:kern w:val="0"/>
          <w:sz w:val="32"/>
          <w:szCs w:val="32"/>
        </w:rPr>
        <w:t>10</w:t>
      </w:r>
      <w:r>
        <w:rPr>
          <w:rFonts w:ascii="仿宋" w:hAnsi="仿宋" w:eastAsia="仿宋"/>
          <w:kern w:val="0"/>
          <w:sz w:val="32"/>
          <w:szCs w:val="32"/>
        </w:rPr>
        <w:t>万元,“三公经费”较上年</w:t>
      </w:r>
      <w:r>
        <w:rPr>
          <w:rFonts w:hint="eastAsia" w:ascii="仿宋" w:hAnsi="仿宋" w:eastAsia="仿宋"/>
          <w:kern w:val="0"/>
          <w:sz w:val="32"/>
          <w:szCs w:val="32"/>
        </w:rPr>
        <w:t>基本持平</w:t>
      </w:r>
      <w:r>
        <w:rPr>
          <w:rFonts w:ascii="仿宋" w:hAnsi="仿宋" w:eastAsia="仿宋"/>
          <w:kern w:val="0"/>
          <w:sz w:val="32"/>
          <w:szCs w:val="32"/>
        </w:rPr>
        <w:t>。</w:t>
      </w:r>
    </w:p>
    <w:p>
      <w:pPr>
        <w:widowControl/>
        <w:ind w:firstLine="643" w:firstLineChars="200"/>
        <w:rPr>
          <w:rFonts w:ascii="Times New Roman" w:hAnsi="Times New Roman" w:eastAsia="楷体_GB2312"/>
          <w:b/>
          <w:kern w:val="0"/>
          <w:sz w:val="32"/>
          <w:szCs w:val="32"/>
        </w:rPr>
      </w:pPr>
      <w:r>
        <w:rPr>
          <w:rFonts w:ascii="Times New Roman" w:hAnsi="Times New Roman" w:eastAsia="楷体_GB2312"/>
          <w:b/>
          <w:kern w:val="0"/>
          <w:sz w:val="32"/>
          <w:szCs w:val="32"/>
        </w:rPr>
        <w:t>（</w:t>
      </w:r>
      <w:r>
        <w:rPr>
          <w:rFonts w:hint="eastAsia" w:ascii="Times New Roman" w:hAnsi="Times New Roman" w:eastAsia="楷体_GB2312"/>
          <w:b/>
          <w:kern w:val="0"/>
          <w:sz w:val="32"/>
          <w:szCs w:val="32"/>
        </w:rPr>
        <w:t>二</w:t>
      </w:r>
      <w:r>
        <w:rPr>
          <w:rFonts w:ascii="Times New Roman" w:hAnsi="Times New Roman" w:eastAsia="楷体_GB2312"/>
          <w:b/>
          <w:kern w:val="0"/>
          <w:sz w:val="32"/>
          <w:szCs w:val="32"/>
        </w:rPr>
        <w:t>）预算管理方面 </w:t>
      </w:r>
    </w:p>
    <w:p>
      <w:pPr>
        <w:widowControl/>
        <w:ind w:firstLine="640" w:firstLineChars="200"/>
        <w:rPr>
          <w:rFonts w:ascii="仿宋" w:hAnsi="仿宋" w:eastAsia="仿宋"/>
          <w:kern w:val="0"/>
          <w:sz w:val="32"/>
          <w:szCs w:val="32"/>
        </w:rPr>
      </w:pPr>
      <w:r>
        <w:rPr>
          <w:rFonts w:ascii="仿宋" w:hAnsi="仿宋" w:eastAsia="仿宋"/>
          <w:kern w:val="0"/>
          <w:sz w:val="32"/>
          <w:szCs w:val="32"/>
        </w:rPr>
        <w:t>“三公经费”控制率：“三公”经费实际支出数为</w:t>
      </w:r>
      <w:r>
        <w:rPr>
          <w:rFonts w:hint="eastAsia" w:ascii="仿宋" w:hAnsi="仿宋" w:eastAsia="仿宋"/>
          <w:kern w:val="0"/>
          <w:sz w:val="32"/>
          <w:szCs w:val="32"/>
        </w:rPr>
        <w:t>10</w:t>
      </w:r>
      <w:r>
        <w:rPr>
          <w:rFonts w:ascii="仿宋" w:hAnsi="仿宋" w:eastAsia="仿宋"/>
          <w:kern w:val="0"/>
          <w:sz w:val="32"/>
          <w:szCs w:val="32"/>
        </w:rPr>
        <w:t>万元，预算安排数</w:t>
      </w:r>
      <w:r>
        <w:rPr>
          <w:rFonts w:hint="eastAsia" w:ascii="仿宋" w:hAnsi="仿宋" w:eastAsia="仿宋"/>
          <w:kern w:val="0"/>
          <w:sz w:val="32"/>
          <w:szCs w:val="32"/>
        </w:rPr>
        <w:t>10</w:t>
      </w:r>
      <w:r>
        <w:rPr>
          <w:rFonts w:ascii="仿宋" w:hAnsi="仿宋" w:eastAsia="仿宋"/>
          <w:kern w:val="0"/>
          <w:sz w:val="32"/>
          <w:szCs w:val="32"/>
        </w:rPr>
        <w:t>万元，“三公”经费控制率为</w:t>
      </w:r>
      <w:r>
        <w:rPr>
          <w:rFonts w:hint="eastAsia" w:ascii="仿宋" w:hAnsi="仿宋" w:eastAsia="仿宋"/>
          <w:kern w:val="0"/>
          <w:sz w:val="32"/>
          <w:szCs w:val="32"/>
        </w:rPr>
        <w:t>100</w:t>
      </w:r>
      <w:r>
        <w:rPr>
          <w:rFonts w:ascii="仿宋" w:hAnsi="仿宋" w:eastAsia="仿宋"/>
          <w:kern w:val="0"/>
          <w:sz w:val="32"/>
          <w:szCs w:val="32"/>
        </w:rPr>
        <w:t>%。</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管理制度健全性：严格落实《</w:t>
      </w:r>
      <w:r>
        <w:rPr>
          <w:rFonts w:hint="eastAsia" w:ascii="仿宋" w:hAnsi="仿宋" w:eastAsia="仿宋"/>
          <w:kern w:val="0"/>
          <w:sz w:val="32"/>
          <w:szCs w:val="32"/>
        </w:rPr>
        <w:t>澧县人民政府澧阳街道办事处</w:t>
      </w:r>
      <w:r>
        <w:rPr>
          <w:rFonts w:ascii="仿宋" w:hAnsi="仿宋" w:eastAsia="仿宋"/>
          <w:kern w:val="0"/>
          <w:sz w:val="32"/>
          <w:szCs w:val="32"/>
        </w:rPr>
        <w:t>机关财务管理办法》等有关管理制度，规范财务审批程序，推行公务卡结算，严格差旅费和接待费支出标准、范围和程序的审核</w:t>
      </w:r>
      <w:r>
        <w:rPr>
          <w:rFonts w:hint="eastAsia" w:ascii="仿宋" w:hAnsi="仿宋" w:eastAsia="仿宋"/>
          <w:kern w:val="0"/>
          <w:sz w:val="32"/>
          <w:szCs w:val="32"/>
        </w:rPr>
        <w:t>。</w:t>
      </w:r>
    </w:p>
    <w:p>
      <w:pPr>
        <w:widowControl/>
        <w:ind w:firstLine="640" w:firstLineChars="200"/>
        <w:rPr>
          <w:rFonts w:ascii="仿宋" w:hAnsi="仿宋" w:eastAsia="仿宋"/>
          <w:kern w:val="0"/>
          <w:sz w:val="32"/>
          <w:szCs w:val="32"/>
        </w:rPr>
      </w:pPr>
      <w:r>
        <w:rPr>
          <w:rFonts w:ascii="仿宋" w:hAnsi="仿宋" w:eastAsia="仿宋"/>
          <w:kern w:val="0"/>
          <w:sz w:val="32"/>
          <w:szCs w:val="32"/>
        </w:rPr>
        <w:t>资金使用合规性：按照中央</w:t>
      </w:r>
      <w:bookmarkStart w:id="0" w:name="_GoBack"/>
      <w:bookmarkEnd w:id="0"/>
      <w:r>
        <w:rPr>
          <w:rFonts w:ascii="仿宋" w:hAnsi="仿宋" w:eastAsia="仿宋"/>
          <w:kern w:val="0"/>
          <w:sz w:val="32"/>
          <w:szCs w:val="32"/>
        </w:rPr>
        <w:t>八项规定突出问题专项整治，严格落实中央八项规定和有关公务支出标准。加强经费合法合规性审核和预算控制，严格按制度政策办事，资金使用合法合规，支出手续齐全，程序到位。</w:t>
      </w:r>
      <w:r>
        <w:rPr>
          <w:rFonts w:ascii="Times New Roman" w:hAnsi="Times New Roman" w:eastAsia="仿宋"/>
          <w:kern w:val="0"/>
          <w:sz w:val="32"/>
          <w:szCs w:val="32"/>
        </w:rPr>
        <w:t> </w:t>
      </w:r>
    </w:p>
    <w:p>
      <w:pPr>
        <w:widowControl/>
        <w:ind w:firstLine="640" w:firstLineChars="200"/>
        <w:rPr>
          <w:rFonts w:ascii="仿宋" w:hAnsi="仿宋" w:eastAsia="仿宋"/>
          <w:kern w:val="0"/>
          <w:sz w:val="32"/>
          <w:szCs w:val="32"/>
        </w:rPr>
      </w:pPr>
      <w:r>
        <w:rPr>
          <w:rFonts w:ascii="仿宋" w:hAnsi="仿宋" w:eastAsia="仿宋"/>
          <w:kern w:val="0"/>
          <w:sz w:val="32"/>
          <w:szCs w:val="32"/>
        </w:rPr>
        <w:t>预决算信息公开性：加快预算执行，盘活存量资金，减少追加资金。真实准确编制</w:t>
      </w:r>
      <w:r>
        <w:rPr>
          <w:rFonts w:hint="eastAsia" w:ascii="仿宋" w:hAnsi="仿宋" w:eastAsia="仿宋"/>
          <w:kern w:val="0"/>
          <w:sz w:val="32"/>
          <w:szCs w:val="32"/>
        </w:rPr>
        <w:t>镇</w:t>
      </w:r>
      <w:r>
        <w:rPr>
          <w:rFonts w:ascii="仿宋" w:hAnsi="仿宋" w:eastAsia="仿宋"/>
          <w:kern w:val="0"/>
          <w:sz w:val="32"/>
          <w:szCs w:val="32"/>
        </w:rPr>
        <w:t>机关部门预算和决算，按时上报基础数据资料。按规定时间和内容公开部门预算、决算及绩效自评报告。各项应向社会公开的信息及时、完整、真实，更加细化，部门预决算信息透明度进一步提高。</w:t>
      </w:r>
      <w:r>
        <w:rPr>
          <w:rFonts w:ascii="Times New Roman" w:hAnsi="Times New Roman" w:eastAsia="仿宋"/>
          <w:kern w:val="0"/>
          <w:sz w:val="32"/>
          <w:szCs w:val="32"/>
        </w:rPr>
        <w:t> </w:t>
      </w:r>
    </w:p>
    <w:p>
      <w:pPr>
        <w:widowControl/>
        <w:shd w:val="clear" w:color="auto" w:fill="FFFFFF"/>
        <w:spacing w:after="195"/>
        <w:ind w:firstLine="480"/>
        <w:jc w:val="left"/>
        <w:rPr>
          <w:rFonts w:ascii="微软雅黑" w:hAnsi="微软雅黑" w:eastAsia="微软雅黑" w:cs="宋体"/>
          <w:color w:val="333333"/>
          <w:kern w:val="0"/>
          <w:sz w:val="16"/>
          <w:szCs w:val="16"/>
        </w:rPr>
      </w:pPr>
      <w:r>
        <w:rPr>
          <w:rFonts w:ascii="Times New Roman" w:hAnsi="黑体" w:eastAsia="黑体"/>
          <w:kern w:val="0"/>
          <w:sz w:val="32"/>
          <w:szCs w:val="32"/>
        </w:rPr>
        <w:t>七、存在的主要问题</w:t>
      </w:r>
      <w:r>
        <w:rPr>
          <w:rFonts w:hint="eastAsia" w:ascii="Times New Roman" w:hAnsi="黑体" w:eastAsia="黑体"/>
          <w:kern w:val="0"/>
          <w:sz w:val="32"/>
          <w:szCs w:val="32"/>
        </w:rPr>
        <w:t>及改进措施和建议</w:t>
      </w:r>
    </w:p>
    <w:p>
      <w:pPr>
        <w:widowControl/>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通过对我街道整体支出情况的分析，主要是部门预算编制欠精准，年初预算与实际执行有较大差额。今后要加强本单位部门预算编制工作，根据上年度实际支出编制年度预算，调增部门职责专项费用，减少年度追加，对结余结转进行分析，在编制下年预算时合理调配，</w:t>
      </w:r>
      <w:r>
        <w:rPr>
          <w:rFonts w:ascii="仿宋" w:hAnsi="仿宋" w:eastAsia="仿宋"/>
          <w:kern w:val="0"/>
          <w:sz w:val="32"/>
          <w:szCs w:val="32"/>
        </w:rPr>
        <w:t>加强预算支出的审核、跟踪及预算执行情况分析，提高预算编制严谨性和可控性</w:t>
      </w:r>
      <w:r>
        <w:rPr>
          <w:rFonts w:hint="eastAsia" w:ascii="仿宋" w:hAnsi="仿宋" w:eastAsia="仿宋"/>
          <w:kern w:val="0"/>
          <w:sz w:val="32"/>
          <w:szCs w:val="32"/>
        </w:rPr>
        <w:t>，</w:t>
      </w:r>
      <w:r>
        <w:rPr>
          <w:rFonts w:hint="eastAsia" w:ascii="仿宋" w:hAnsi="仿宋" w:eastAsia="仿宋" w:cs="宋体"/>
          <w:color w:val="333333"/>
          <w:kern w:val="0"/>
          <w:sz w:val="32"/>
          <w:szCs w:val="32"/>
        </w:rPr>
        <w:t>坚持科学化、精细化管理理念，强化本单位部门预算管理。</w:t>
      </w: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jc w:val="center"/>
        <w:rPr>
          <w:rFonts w:ascii="Times New Roman" w:hAnsi="Times New Roman" w:eastAsiaTheme="majorEastAsia"/>
          <w:b/>
          <w:bCs/>
          <w:kern w:val="0"/>
          <w:sz w:val="36"/>
          <w:szCs w:val="36"/>
        </w:rPr>
      </w:pPr>
    </w:p>
    <w:p>
      <w:pPr>
        <w:spacing w:line="560" w:lineRule="exact"/>
        <w:ind w:firstLine="1807" w:firstLineChars="500"/>
        <w:rPr>
          <w:rFonts w:ascii="Times New Roman" w:hAnsiTheme="majorEastAsia" w:eastAsiaTheme="majorEastAsia"/>
          <w:b/>
          <w:bCs/>
          <w:kern w:val="0"/>
          <w:sz w:val="36"/>
          <w:szCs w:val="36"/>
        </w:rPr>
      </w:pPr>
    </w:p>
    <w:p>
      <w:pPr>
        <w:spacing w:line="560" w:lineRule="exact"/>
        <w:ind w:firstLine="2530" w:firstLineChars="700"/>
        <w:rPr>
          <w:rFonts w:ascii="Times New Roman" w:hAnsi="Times New Roman"/>
          <w:kern w:val="0"/>
          <w:sz w:val="24"/>
        </w:rPr>
      </w:pPr>
      <w:r>
        <w:rPr>
          <w:rFonts w:ascii="Times New Roman" w:hAnsiTheme="majorEastAsia" w:eastAsiaTheme="majorEastAsia"/>
          <w:b/>
          <w:bCs/>
          <w:kern w:val="0"/>
          <w:sz w:val="36"/>
          <w:szCs w:val="36"/>
        </w:rPr>
        <w:t>部门整体支出绩效评价指标表</w:t>
      </w:r>
    </w:p>
    <w:tbl>
      <w:tblPr>
        <w:tblStyle w:val="12"/>
        <w:tblW w:w="9173" w:type="dxa"/>
        <w:jc w:val="center"/>
        <w:tblLayout w:type="fixed"/>
        <w:tblCellMar>
          <w:top w:w="0" w:type="dxa"/>
          <w:left w:w="108" w:type="dxa"/>
          <w:bottom w:w="0" w:type="dxa"/>
          <w:right w:w="108" w:type="dxa"/>
        </w:tblCellMar>
      </w:tblPr>
      <w:tblGrid>
        <w:gridCol w:w="507"/>
        <w:gridCol w:w="541"/>
        <w:gridCol w:w="485"/>
        <w:gridCol w:w="541"/>
        <w:gridCol w:w="733"/>
        <w:gridCol w:w="541"/>
        <w:gridCol w:w="3175"/>
        <w:gridCol w:w="2204"/>
        <w:gridCol w:w="446"/>
      </w:tblGrid>
      <w:tr>
        <w:tblPrEx>
          <w:tblCellMar>
            <w:top w:w="0" w:type="dxa"/>
            <w:left w:w="108" w:type="dxa"/>
            <w:bottom w:w="0" w:type="dxa"/>
            <w:right w:w="108" w:type="dxa"/>
          </w:tblCellMar>
        </w:tblPrEx>
        <w:trPr>
          <w:tblHeader/>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一级指标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4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二级指标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73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三级指标</w:t>
            </w:r>
          </w:p>
        </w:tc>
        <w:tc>
          <w:tcPr>
            <w:tcW w:w="54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分值</w:t>
            </w:r>
          </w:p>
        </w:tc>
        <w:tc>
          <w:tcPr>
            <w:tcW w:w="31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评价标准</w:t>
            </w:r>
          </w:p>
        </w:tc>
        <w:tc>
          <w:tcPr>
            <w:tcW w:w="22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指标说明</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得分</w:t>
            </w:r>
          </w:p>
        </w:tc>
      </w:tr>
      <w:tr>
        <w:tblPrEx>
          <w:tblCellMar>
            <w:top w:w="0" w:type="dxa"/>
            <w:left w:w="108" w:type="dxa"/>
            <w:bottom w:w="0" w:type="dxa"/>
            <w:right w:w="108" w:type="dxa"/>
          </w:tblCellMar>
        </w:tblPrEx>
        <w:trPr>
          <w:trHeight w:val="2890" w:hRule="atLeast"/>
          <w:jc w:val="center"/>
        </w:trPr>
        <w:tc>
          <w:tcPr>
            <w:tcW w:w="507" w:type="dxa"/>
            <w:vMerge w:val="restart"/>
            <w:tcBorders>
              <w:top w:val="nil"/>
              <w:left w:val="single" w:color="auto" w:sz="4" w:space="0"/>
              <w:bottom w:val="single" w:color="auto" w:sz="4" w:space="0"/>
              <w:right w:val="single" w:color="auto" w:sz="4" w:space="0"/>
            </w:tcBorders>
            <w:vAlign w:val="center"/>
          </w:tcPr>
          <w:p/>
          <w:p/>
          <w:p/>
          <w:p/>
          <w:p>
            <w:r>
              <w:rPr>
                <w:rFonts w:hint="eastAsia"/>
              </w:rPr>
              <w:t>投入</w:t>
            </w:r>
          </w:p>
        </w:tc>
        <w:tc>
          <w:tcPr>
            <w:tcW w:w="541" w:type="dxa"/>
            <w:vMerge w:val="restart"/>
            <w:tcBorders>
              <w:top w:val="nil"/>
              <w:left w:val="single" w:color="auto" w:sz="4" w:space="0"/>
              <w:bottom w:val="single" w:color="000000" w:sz="4" w:space="0"/>
              <w:right w:val="single" w:color="auto" w:sz="4" w:space="0"/>
            </w:tcBorders>
            <w:vAlign w:val="center"/>
          </w:tcPr>
          <w:p/>
          <w:p/>
          <w:p/>
          <w:p/>
          <w:p/>
          <w:p>
            <w:r>
              <w:rPr>
                <w:rFonts w:hint="eastAsia"/>
              </w:rPr>
              <w:t>18</w:t>
            </w:r>
          </w:p>
        </w:tc>
        <w:tc>
          <w:tcPr>
            <w:tcW w:w="485"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rPr>
                <w:rFonts w:ascii="Times New Roman" w:hAnsi="Times New Roman" w:eastAsiaTheme="minorEastAsia"/>
                <w:kern w:val="0"/>
                <w:szCs w:val="21"/>
              </w:rPr>
            </w:pPr>
            <w:r>
              <w:rPr>
                <w:rFonts w:ascii="Times New Roman" w:hAnsi="Times New Roman" w:eastAsiaTheme="minorEastAsia"/>
                <w:kern w:val="0"/>
                <w:szCs w:val="21"/>
              </w:rPr>
              <w:t>预算配置</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18</w:t>
            </w: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在职人员控制率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nil"/>
              <w:right w:val="nil"/>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以100%为标准。在职人员控制率</w:t>
            </w:r>
            <w:r>
              <w:rPr>
                <w:rFonts w:asciiTheme="minorEastAsia" w:hAnsiTheme="minorEastAsia" w:eastAsiaTheme="minorEastAsia"/>
                <w:kern w:val="0"/>
                <w:szCs w:val="21"/>
              </w:rPr>
              <w:t>≦</w:t>
            </w:r>
            <w:r>
              <w:rPr>
                <w:rFonts w:ascii="Times New Roman" w:hAnsi="Times New Roman" w:eastAsiaTheme="minorEastAsia"/>
                <w:kern w:val="0"/>
                <w:szCs w:val="21"/>
              </w:rPr>
              <w:t>100%，计</w:t>
            </w:r>
            <w:r>
              <w:rPr>
                <w:rFonts w:hint="eastAsia" w:ascii="Times New Roman" w:hAnsi="Times New Roman" w:eastAsiaTheme="minorEastAsia"/>
                <w:kern w:val="0"/>
                <w:szCs w:val="21"/>
              </w:rPr>
              <w:t>8</w:t>
            </w:r>
            <w:r>
              <w:rPr>
                <w:rFonts w:ascii="Times New Roman" w:hAnsi="Times New Roman" w:eastAsiaTheme="minorEastAsia"/>
                <w:kern w:val="0"/>
                <w:szCs w:val="21"/>
              </w:rPr>
              <w:t>分；每超过一个百分点扣0.5分，扣完为止。</w:t>
            </w:r>
          </w:p>
        </w:tc>
        <w:tc>
          <w:tcPr>
            <w:tcW w:w="2204"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在职人员控制率=（在职人员数/编制数）×100%，在职人员数：部门（单位）实际在职人数，以财政局确定的部门决算编制口径为准。</w:t>
            </w:r>
            <w:r>
              <w:rPr>
                <w:rFonts w:ascii="Times New Roman" w:hAnsi="Times New Roman" w:eastAsiaTheme="minorEastAsia"/>
                <w:kern w:val="0"/>
                <w:szCs w:val="21"/>
              </w:rPr>
              <w:br w:type="textWrapping"/>
            </w:r>
            <w:r>
              <w:rPr>
                <w:rFonts w:ascii="Times New Roman" w:hAnsi="Times New Roman" w:eastAsiaTheme="minorEastAsia"/>
                <w:kern w:val="0"/>
                <w:szCs w:val="21"/>
              </w:rPr>
              <w:t>编制数：机构编制部门核定批复的部门（单位）的人员编制数。</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312"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nil"/>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“三公经费”变动率</w:t>
            </w:r>
          </w:p>
        </w:tc>
        <w:tc>
          <w:tcPr>
            <w:tcW w:w="541"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c>
          <w:tcPr>
            <w:tcW w:w="3175" w:type="dxa"/>
            <w:vMerge w:val="restart"/>
            <w:tcBorders>
              <w:top w:val="single" w:color="auto" w:sz="4" w:space="0"/>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w:t>
            </w:r>
            <w:r>
              <w:rPr>
                <w:rFonts w:asciiTheme="minorEastAsia" w:hAnsiTheme="minorEastAsia" w:eastAsiaTheme="minorEastAsia"/>
                <w:kern w:val="0"/>
                <w:szCs w:val="21"/>
              </w:rPr>
              <w:t>≦</w:t>
            </w:r>
            <w:r>
              <w:rPr>
                <w:rFonts w:ascii="Times New Roman" w:hAnsi="Times New Roman" w:eastAsiaTheme="minorEastAsia"/>
                <w:kern w:val="0"/>
                <w:szCs w:val="21"/>
              </w:rPr>
              <w:t>0,计</w:t>
            </w:r>
            <w:r>
              <w:rPr>
                <w:rFonts w:hint="eastAsia" w:ascii="Times New Roman" w:hAnsi="Times New Roman" w:eastAsiaTheme="minorEastAsia"/>
                <w:kern w:val="0"/>
                <w:szCs w:val="21"/>
              </w:rPr>
              <w:t>10</w:t>
            </w:r>
            <w:r>
              <w:rPr>
                <w:rFonts w:ascii="Times New Roman" w:hAnsi="Times New Roman" w:eastAsiaTheme="minorEastAsia"/>
                <w:kern w:val="0"/>
                <w:szCs w:val="21"/>
              </w:rPr>
              <w:t>分；“三公经费”＞0，每超过一个百分点扣0.8分，扣完为止。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“三公经费”变动率=[（本年度“三公经费”预算数-上年度“三公经费”预算数）/上年度“三公经费”预算数]×100%</w:t>
            </w:r>
          </w:p>
        </w:tc>
        <w:tc>
          <w:tcPr>
            <w:tcW w:w="446"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tblPrEx>
          <w:tblCellMar>
            <w:top w:w="0" w:type="dxa"/>
            <w:left w:w="108" w:type="dxa"/>
            <w:bottom w:w="0" w:type="dxa"/>
            <w:right w:w="108" w:type="dxa"/>
          </w:tblCellMar>
        </w:tblPrEx>
        <w:trPr>
          <w:trHeight w:val="115" w:hRule="atLeast"/>
          <w:jc w:val="center"/>
        </w:trPr>
        <w:tc>
          <w:tcPr>
            <w:tcW w:w="507"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757" w:hRule="atLeast"/>
          <w:jc w:val="center"/>
        </w:trPr>
        <w:tc>
          <w:tcPr>
            <w:tcW w:w="507"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hint="eastAsia" w:ascii="Times New Roman" w:hAnsi="Times New Roman" w:eastAsiaTheme="minorEastAsia"/>
                <w:kern w:val="0"/>
                <w:szCs w:val="21"/>
              </w:rPr>
              <w:t>过程</w:t>
            </w:r>
          </w:p>
        </w:tc>
        <w:tc>
          <w:tcPr>
            <w:tcW w:w="541"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hint="eastAsia" w:ascii="Times New Roman" w:hAnsi="Times New Roman" w:eastAsiaTheme="minorEastAsia"/>
                <w:kern w:val="0"/>
                <w:szCs w:val="21"/>
              </w:rPr>
              <w:t>44</w:t>
            </w: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预算管理</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44</w:t>
            </w: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jc w:val="center"/>
              <w:rPr>
                <w:rFonts w:ascii="Times New Roman" w:hAnsi="Times New Roman" w:eastAsiaTheme="minorEastAsia"/>
                <w:kern w:val="0"/>
                <w:szCs w:val="21"/>
              </w:rPr>
            </w:pPr>
          </w:p>
          <w:p>
            <w:pPr>
              <w:widowControl/>
              <w:spacing w:line="300" w:lineRule="exact"/>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jc w:val="center"/>
              <w:rPr>
                <w:rFonts w:ascii="Times New Roman" w:hAnsi="Times New Roman" w:eastAsiaTheme="minorEastAsia"/>
                <w:kern w:val="0"/>
                <w:szCs w:val="21"/>
              </w:rPr>
            </w:pPr>
            <w:r>
              <w:rPr>
                <w:rFonts w:ascii="Times New Roman" w:hAnsi="Times New Roman" w:eastAsiaTheme="minorEastAsia"/>
                <w:kern w:val="0"/>
                <w:szCs w:val="21"/>
              </w:rPr>
              <w:t>公用经费控制率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公用经费控制率=（实际支出公用经费总额/预算安排公用经费总额）×100%。</w:t>
            </w:r>
            <w:r>
              <w:rPr>
                <w:rFonts w:ascii="Times New Roman" w:hAnsi="Times New Roman" w:eastAsiaTheme="minorEastAsia"/>
                <w:kern w:val="0"/>
                <w:szCs w:val="21"/>
              </w:rPr>
              <w:br w:type="textWrapping"/>
            </w:r>
            <w:r>
              <w:rPr>
                <w:rFonts w:ascii="Times New Roman" w:hAnsi="Times New Roman" w:eastAsiaTheme="minorEastAsia"/>
                <w:kern w:val="0"/>
                <w:szCs w:val="21"/>
              </w:rPr>
              <w:t>公用经费支出是指部门基本支出中的一般商品和服务支出。</w:t>
            </w:r>
          </w:p>
        </w:tc>
        <w:tc>
          <w:tcPr>
            <w:tcW w:w="446" w:type="dxa"/>
            <w:tcBorders>
              <w:top w:val="nil"/>
              <w:left w:val="nil"/>
              <w:bottom w:val="single" w:color="auto" w:sz="4" w:space="0"/>
              <w:right w:val="single" w:color="auto" w:sz="4" w:space="0"/>
            </w:tcBorders>
            <w:vAlign w:val="center"/>
          </w:tcPr>
          <w:p>
            <w:pPr>
              <w:widowControl/>
              <w:spacing w:line="300" w:lineRule="exact"/>
              <w:ind w:firstLine="105" w:firstLineChars="50"/>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1073"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“三公经费”控制率</w:t>
            </w:r>
          </w:p>
        </w:tc>
        <w:tc>
          <w:tcPr>
            <w:tcW w:w="541"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100%以下（含）计满分，每超出1%扣1分，扣完为止。</w:t>
            </w:r>
          </w:p>
        </w:tc>
        <w:tc>
          <w:tcPr>
            <w:tcW w:w="220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imes New Roman" w:hAnsi="Times New Roman" w:eastAsiaTheme="minorEastAsia"/>
                <w:kern w:val="0"/>
                <w:szCs w:val="21"/>
              </w:rPr>
              <w:t>“三公经费”控制率-（“三公经费”实际支出数/“三公经费”预算安排数）×100%。</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2666" w:hRule="atLeast"/>
          <w:jc w:val="center"/>
        </w:trPr>
        <w:tc>
          <w:tcPr>
            <w:tcW w:w="507"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nil"/>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733" w:type="dxa"/>
            <w:vMerge w:val="restart"/>
            <w:tcBorders>
              <w:top w:val="nil"/>
              <w:left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管理制度健全性</w:t>
            </w:r>
          </w:p>
        </w:tc>
        <w:tc>
          <w:tcPr>
            <w:tcW w:w="541"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175"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有内部财务管理制度、会计核算制度等管理制度，2分；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②</w:t>
            </w:r>
            <w:r>
              <w:rPr>
                <w:rFonts w:ascii="Times New Roman" w:hAnsi="Times New Roman" w:eastAsiaTheme="minorEastAsia"/>
                <w:kern w:val="0"/>
                <w:szCs w:val="21"/>
              </w:rPr>
              <w:t>有本部门厉行节约制度,2分；</w:t>
            </w:r>
            <w:r>
              <w:rPr>
                <w:rFonts w:ascii="Times New Roman" w:hAnsi="Times New Roman" w:eastAsiaTheme="minorEastAsia"/>
                <w:kern w:val="0"/>
                <w:szCs w:val="21"/>
              </w:rPr>
              <w:br w:type="textWrapping"/>
            </w:r>
            <w:r>
              <w:rPr>
                <w:rFonts w:asciiTheme="minorEastAsia" w:hAnsiTheme="minorEastAsia" w:eastAsiaTheme="minorEastAsia"/>
                <w:kern w:val="0"/>
                <w:szCs w:val="21"/>
              </w:rPr>
              <w:t>③</w:t>
            </w:r>
            <w:r>
              <w:rPr>
                <w:rFonts w:ascii="Times New Roman" w:hAnsi="Times New Roman" w:eastAsiaTheme="minorEastAsia"/>
                <w:kern w:val="0"/>
                <w:szCs w:val="21"/>
              </w:rPr>
              <w:t>相关管理制度合法、合规、完整，2分；</w:t>
            </w:r>
            <w:r>
              <w:rPr>
                <w:rFonts w:asciiTheme="minorEastAsia" w:hAnsiTheme="minorEastAsia" w:eastAsiaTheme="minorEastAsia"/>
                <w:kern w:val="0"/>
                <w:szCs w:val="21"/>
              </w:rPr>
              <w:t>④</w:t>
            </w:r>
            <w:r>
              <w:rPr>
                <w:rFonts w:ascii="Times New Roman" w:hAnsi="Times New Roman" w:eastAsiaTheme="minorEastAsia"/>
                <w:kern w:val="0"/>
                <w:szCs w:val="21"/>
              </w:rPr>
              <w:t>相关管理制度得到有效执行，2分。100%计满分，每超过（降低）5%扣2分。扣完为止。</w:t>
            </w:r>
          </w:p>
        </w:tc>
        <w:tc>
          <w:tcPr>
            <w:tcW w:w="2204" w:type="dxa"/>
            <w:vMerge w:val="restart"/>
            <w:tcBorders>
              <w:top w:val="nil"/>
              <w:left w:val="nil"/>
              <w:right w:val="single" w:color="auto" w:sz="4" w:space="0"/>
            </w:tcBorders>
            <w:vAlign w:val="center"/>
          </w:tcPr>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p>
            <w:pPr>
              <w:widowControl/>
              <w:spacing w:line="300" w:lineRule="exact"/>
              <w:jc w:val="left"/>
              <w:rPr>
                <w:rFonts w:ascii="Times New Roman" w:hAnsi="Times New Roman" w:eastAsiaTheme="minorEastAsia"/>
                <w:kern w:val="0"/>
                <w:szCs w:val="21"/>
              </w:rPr>
            </w:pPr>
          </w:p>
        </w:tc>
        <w:tc>
          <w:tcPr>
            <w:tcW w:w="446" w:type="dxa"/>
            <w:vMerge w:val="restart"/>
            <w:tcBorders>
              <w:top w:val="nil"/>
              <w:left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r>
      <w:tr>
        <w:tblPrEx>
          <w:tblCellMar>
            <w:top w:w="0" w:type="dxa"/>
            <w:left w:w="108" w:type="dxa"/>
            <w:bottom w:w="0" w:type="dxa"/>
            <w:right w:w="108" w:type="dxa"/>
          </w:tblCellMar>
        </w:tblPrEx>
        <w:trPr>
          <w:trHeight w:val="312" w:hRule="atLeast"/>
          <w:jc w:val="center"/>
        </w:trPr>
        <w:tc>
          <w:tcPr>
            <w:tcW w:w="50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8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733" w:type="dxa"/>
            <w:vMerge w:val="continue"/>
            <w:tcBorders>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c>
          <w:tcPr>
            <w:tcW w:w="3175" w:type="dxa"/>
            <w:vMerge w:val="continue"/>
            <w:tcBorders>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Cs w:val="21"/>
              </w:rPr>
            </w:pPr>
          </w:p>
        </w:tc>
        <w:tc>
          <w:tcPr>
            <w:tcW w:w="2204" w:type="dxa"/>
            <w:vMerge w:val="continue"/>
            <w:tcBorders>
              <w:left w:val="nil"/>
              <w:bottom w:val="single" w:color="auto" w:sz="4" w:space="0"/>
              <w:right w:val="single" w:color="auto" w:sz="4" w:space="0"/>
            </w:tcBorders>
            <w:vAlign w:val="center"/>
          </w:tcPr>
          <w:p>
            <w:pPr>
              <w:widowControl/>
              <w:spacing w:line="300" w:lineRule="exact"/>
              <w:jc w:val="left"/>
              <w:rPr>
                <w:rFonts w:ascii="Times New Roman" w:hAnsi="Times New Roman" w:eastAsiaTheme="minorEastAsia"/>
                <w:kern w:val="0"/>
                <w:szCs w:val="21"/>
              </w:rPr>
            </w:pPr>
          </w:p>
        </w:tc>
        <w:tc>
          <w:tcPr>
            <w:tcW w:w="446" w:type="dxa"/>
            <w:vMerge w:val="continue"/>
            <w:tcBorders>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175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资金使用合规性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支出符合国家财经法规和财务管理制度规定以及有关专项资金管理办法的规定；</w:t>
            </w:r>
            <w:r>
              <w:rPr>
                <w:rFonts w:asciiTheme="minorEastAsia" w:hAnsiTheme="minorEastAsia" w:eastAsiaTheme="minorEastAsia"/>
                <w:kern w:val="0"/>
                <w:szCs w:val="21"/>
              </w:rPr>
              <w:t>②</w:t>
            </w:r>
            <w:r>
              <w:rPr>
                <w:rFonts w:ascii="Times New Roman" w:hAnsi="Times New Roman" w:eastAsiaTheme="minorEastAsia"/>
                <w:kern w:val="0"/>
                <w:szCs w:val="21"/>
              </w:rPr>
              <w:t>资金拨付有完整的审批程序和手续；</w:t>
            </w:r>
            <w:r>
              <w:rPr>
                <w:rFonts w:asciiTheme="minorEastAsia" w:hAnsiTheme="minorEastAsia" w:eastAsiaTheme="minorEastAsia"/>
                <w:kern w:val="0"/>
                <w:szCs w:val="21"/>
              </w:rPr>
              <w:t>③</w:t>
            </w:r>
            <w:r>
              <w:rPr>
                <w:rFonts w:ascii="Times New Roman" w:hAnsi="Times New Roman" w:eastAsiaTheme="minorEastAsia"/>
                <w:kern w:val="0"/>
                <w:szCs w:val="21"/>
              </w:rPr>
              <w:t>项目支出按规定经过评估论证；</w:t>
            </w:r>
            <w:r>
              <w:rPr>
                <w:rFonts w:asciiTheme="minorEastAsia" w:hAnsiTheme="minorEastAsia" w:eastAsiaTheme="minorEastAsia"/>
                <w:kern w:val="0"/>
                <w:szCs w:val="21"/>
              </w:rPr>
              <w:t>④</w:t>
            </w:r>
            <w:r>
              <w:rPr>
                <w:rFonts w:ascii="Times New Roman" w:hAnsi="Times New Roman" w:eastAsiaTheme="minorEastAsia"/>
                <w:kern w:val="0"/>
                <w:szCs w:val="21"/>
              </w:rPr>
              <w:t>支出符合部门预算批复的用途；</w:t>
            </w:r>
            <w:r>
              <w:rPr>
                <w:rFonts w:asciiTheme="minorEastAsia" w:hAnsiTheme="minorEastAsia" w:eastAsiaTheme="minorEastAsia"/>
                <w:kern w:val="0"/>
                <w:szCs w:val="21"/>
              </w:rPr>
              <w:t>⑤</w:t>
            </w:r>
            <w:r>
              <w:rPr>
                <w:rFonts w:ascii="Times New Roman" w:hAnsi="Times New Roman" w:eastAsiaTheme="minorEastAsia"/>
                <w:kern w:val="0"/>
                <w:szCs w:val="21"/>
              </w:rPr>
              <w:t>资金使用无截留、挤占、挪用、虚列支出等情况。</w:t>
            </w:r>
            <w:r>
              <w:rPr>
                <w:rFonts w:ascii="Times New Roman" w:hAnsi="Times New Roman" w:eastAsiaTheme="minorEastAsia"/>
                <w:kern w:val="0"/>
                <w:szCs w:val="21"/>
              </w:rPr>
              <w:br w:type="textWrapping"/>
            </w:r>
            <w:r>
              <w:rPr>
                <w:rFonts w:ascii="Times New Roman" w:hAnsi="Times New Roman" w:eastAsiaTheme="minorEastAsia"/>
                <w:kern w:val="0"/>
                <w:szCs w:val="21"/>
              </w:rPr>
              <w:t>以上情况每出现一例不符合要求的扣1分，扣完为止。</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b/>
                <w:bCs/>
                <w:kern w:val="0"/>
                <w:szCs w:val="21"/>
              </w:rPr>
            </w:pPr>
            <w:r>
              <w:rPr>
                <w:rFonts w:hint="eastAsia" w:ascii="Times New Roman" w:hAnsi="Times New Roman" w:eastAsiaTheme="minorEastAsia"/>
                <w:b/>
                <w:bCs/>
                <w:kern w:val="0"/>
                <w:szCs w:val="21"/>
              </w:rPr>
              <w:t>15</w:t>
            </w:r>
          </w:p>
        </w:tc>
      </w:tr>
      <w:tr>
        <w:tblPrEx>
          <w:tblCellMar>
            <w:top w:w="0" w:type="dxa"/>
            <w:left w:w="108" w:type="dxa"/>
            <w:bottom w:w="0" w:type="dxa"/>
            <w:right w:w="108" w:type="dxa"/>
          </w:tblCellMar>
        </w:tblPrEx>
        <w:trPr>
          <w:trHeight w:val="1600"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预决算信息公开性</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heme="minorEastAsia" w:hAnsiTheme="minorEastAsia" w:eastAsiaTheme="minorEastAsia"/>
                <w:kern w:val="0"/>
                <w:szCs w:val="21"/>
              </w:rPr>
              <w:t>①</w:t>
            </w:r>
            <w:r>
              <w:rPr>
                <w:rFonts w:ascii="Times New Roman" w:hAnsi="Times New Roman" w:eastAsiaTheme="minorEastAsia"/>
                <w:kern w:val="0"/>
                <w:szCs w:val="21"/>
              </w:rPr>
              <w:t>按规定内容公开预决算信息，1分；</w:t>
            </w:r>
            <w:r>
              <w:rPr>
                <w:rFonts w:asciiTheme="minorEastAsia" w:hAnsiTheme="minorEastAsia" w:eastAsiaTheme="minorEastAsia"/>
                <w:kern w:val="0"/>
                <w:szCs w:val="21"/>
              </w:rPr>
              <w:t>②</w:t>
            </w:r>
            <w:r>
              <w:rPr>
                <w:rFonts w:ascii="Times New Roman" w:hAnsi="Times New Roman" w:eastAsiaTheme="minorEastAsia"/>
                <w:kern w:val="0"/>
                <w:szCs w:val="21"/>
              </w:rPr>
              <w:t>按规定时限公开预决算信息，1分；</w:t>
            </w:r>
            <w:r>
              <w:rPr>
                <w:rFonts w:asciiTheme="minorEastAsia" w:hAnsiTheme="minorEastAsia" w:eastAsiaTheme="minorEastAsia"/>
                <w:kern w:val="0"/>
                <w:szCs w:val="21"/>
              </w:rPr>
              <w:t>③</w:t>
            </w:r>
            <w:r>
              <w:rPr>
                <w:rFonts w:ascii="Times New Roman" w:hAnsi="Times New Roman" w:eastAsiaTheme="minorEastAsia"/>
                <w:kern w:val="0"/>
                <w:szCs w:val="21"/>
              </w:rPr>
              <w:t>基础数据信息和会计信息资料真实，1分；</w:t>
            </w:r>
            <w:r>
              <w:rPr>
                <w:rFonts w:asciiTheme="minorEastAsia" w:hAnsiTheme="minorEastAsia" w:eastAsiaTheme="minorEastAsia"/>
                <w:kern w:val="0"/>
                <w:szCs w:val="21"/>
              </w:rPr>
              <w:t>④</w:t>
            </w:r>
            <w:r>
              <w:rPr>
                <w:rFonts w:ascii="Times New Roman" w:hAnsi="Times New Roman" w:eastAsiaTheme="minorEastAsia"/>
                <w:kern w:val="0"/>
                <w:szCs w:val="21"/>
              </w:rPr>
              <w:t>基础数据信息和会计信息资料完整，1分；</w:t>
            </w:r>
            <w:r>
              <w:rPr>
                <w:rFonts w:asciiTheme="minorEastAsia" w:hAnsiTheme="minorEastAsia" w:eastAsiaTheme="minorEastAsia"/>
                <w:kern w:val="0"/>
                <w:szCs w:val="21"/>
              </w:rPr>
              <w:t>⑤</w:t>
            </w:r>
            <w:r>
              <w:rPr>
                <w:rFonts w:ascii="Times New Roman" w:hAnsi="Times New Roman" w:eastAsiaTheme="minorEastAsia"/>
                <w:kern w:val="0"/>
                <w:szCs w:val="21"/>
              </w:rPr>
              <w:t>基础数据信息和汇集信息资料准确，1分。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预决算信息是指与部门预算、执行、决算、监督、绩效等管理相关的信息。</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5</w:t>
            </w:r>
          </w:p>
        </w:tc>
      </w:tr>
      <w:tr>
        <w:tblPrEx>
          <w:tblCellMar>
            <w:top w:w="0" w:type="dxa"/>
            <w:left w:w="108" w:type="dxa"/>
            <w:bottom w:w="0" w:type="dxa"/>
            <w:right w:w="108" w:type="dxa"/>
          </w:tblCellMar>
        </w:tblPrEx>
        <w:trPr>
          <w:jc w:val="center"/>
        </w:trPr>
        <w:tc>
          <w:tcPr>
            <w:tcW w:w="50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产出及效率</w:t>
            </w:r>
          </w:p>
        </w:tc>
        <w:tc>
          <w:tcPr>
            <w:tcW w:w="54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38</w:t>
            </w:r>
          </w:p>
        </w:tc>
        <w:tc>
          <w:tcPr>
            <w:tcW w:w="48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职责履行</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733" w:type="dxa"/>
            <w:tcBorders>
              <w:top w:val="nil"/>
              <w:left w:val="nil"/>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重点工作实际完成率</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根据绩效办2015年对各部门为民办实事和部门重点工程与重点工作考核分数折算。</w:t>
            </w:r>
            <w:r>
              <w:rPr>
                <w:rFonts w:ascii="Times New Roman" w:hAnsi="Times New Roman" w:eastAsiaTheme="minorEastAsia"/>
                <w:kern w:val="0"/>
                <w:szCs w:val="21"/>
              </w:rPr>
              <w:br w:type="textWrapping"/>
            </w:r>
            <w:r>
              <w:rPr>
                <w:rFonts w:ascii="Times New Roman" w:hAnsi="Times New Roman" w:eastAsiaTheme="minorEastAsia"/>
                <w:kern w:val="0"/>
                <w:szCs w:val="21"/>
              </w:rPr>
              <w:t>该项得分=（绩效办对应部分考核得分/500）*8</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　</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8</w:t>
            </w:r>
          </w:p>
        </w:tc>
      </w:tr>
      <w:tr>
        <w:tblPrEx>
          <w:tblCellMar>
            <w:top w:w="0" w:type="dxa"/>
            <w:left w:w="108" w:type="dxa"/>
            <w:bottom w:w="0" w:type="dxa"/>
            <w:right w:w="108" w:type="dxa"/>
          </w:tblCellMar>
        </w:tblPrEx>
        <w:trPr>
          <w:trHeight w:val="444"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履职效益</w:t>
            </w: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12</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经济效益</w:t>
            </w:r>
          </w:p>
        </w:tc>
        <w:tc>
          <w:tcPr>
            <w:tcW w:w="541"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12</w:t>
            </w:r>
          </w:p>
        </w:tc>
        <w:tc>
          <w:tcPr>
            <w:tcW w:w="5379"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此两项指标为设置部门整体支出绩效评价指标时必须考虑的共性要素，可根据部门实际情况有选择的进行设置，并将其细化为相应的个性化指标。</w:t>
            </w:r>
          </w:p>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p>
        </w:tc>
      </w:tr>
      <w:tr>
        <w:tblPrEx>
          <w:tblCellMar>
            <w:top w:w="0" w:type="dxa"/>
            <w:left w:w="108" w:type="dxa"/>
            <w:bottom w:w="0" w:type="dxa"/>
            <w:right w:w="108" w:type="dxa"/>
          </w:tblCellMar>
        </w:tblPrEx>
        <w:trPr>
          <w:trHeight w:val="421" w:hRule="atLeast"/>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社会效益</w:t>
            </w:r>
          </w:p>
        </w:tc>
        <w:tc>
          <w:tcPr>
            <w:tcW w:w="541" w:type="dxa"/>
            <w:vMerge w:val="continue"/>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379"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nil"/>
              <w:left w:val="nil"/>
              <w:bottom w:val="nil"/>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18</w:t>
            </w: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行政效能</w:t>
            </w: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促进部门改进文风会风，加强经费及资产管理，推动网上办事，提高行政效率，降低行政成本效果较好的计</w:t>
            </w:r>
            <w:r>
              <w:rPr>
                <w:rFonts w:hint="eastAsia" w:ascii="Times New Roman" w:hAnsi="Times New Roman" w:eastAsiaTheme="minorEastAsia"/>
                <w:kern w:val="0"/>
                <w:szCs w:val="21"/>
              </w:rPr>
              <w:t>9</w:t>
            </w:r>
            <w:r>
              <w:rPr>
                <w:rFonts w:ascii="Times New Roman" w:hAnsi="Times New Roman" w:eastAsiaTheme="minorEastAsia"/>
                <w:kern w:val="0"/>
                <w:szCs w:val="21"/>
              </w:rPr>
              <w:t>分；一般</w:t>
            </w:r>
            <w:r>
              <w:rPr>
                <w:rFonts w:hint="eastAsia" w:ascii="Times New Roman" w:hAnsi="Times New Roman" w:eastAsiaTheme="minorEastAsia"/>
                <w:kern w:val="0"/>
                <w:szCs w:val="21"/>
              </w:rPr>
              <w:t>6</w:t>
            </w:r>
            <w:r>
              <w:rPr>
                <w:rFonts w:ascii="Times New Roman" w:hAnsi="Times New Roman" w:eastAsiaTheme="minorEastAsia"/>
                <w:kern w:val="0"/>
                <w:szCs w:val="21"/>
              </w:rPr>
              <w:t>分；无效果或者效果不明显0分。</w:t>
            </w: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p>
          <w:p>
            <w:pPr>
              <w:widowControl/>
              <w:spacing w:line="280" w:lineRule="exact"/>
              <w:rPr>
                <w:rFonts w:ascii="Times New Roman" w:hAnsi="Times New Roman" w:eastAsiaTheme="minorEastAsia"/>
                <w:kern w:val="0"/>
                <w:szCs w:val="21"/>
              </w:rPr>
            </w:pPr>
            <w:r>
              <w:rPr>
                <w:rFonts w:ascii="Times New Roman" w:hAnsi="Times New Roman" w:eastAsiaTheme="minorEastAsia"/>
                <w:kern w:val="0"/>
                <w:szCs w:val="21"/>
              </w:rPr>
              <w:t>根据部门自评材料评定。</w:t>
            </w: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r>
      <w:tr>
        <w:tblPrEx>
          <w:tblCellMar>
            <w:top w:w="0" w:type="dxa"/>
            <w:left w:w="108" w:type="dxa"/>
            <w:bottom w:w="0" w:type="dxa"/>
            <w:right w:w="108" w:type="dxa"/>
          </w:tblCellMar>
        </w:tblPrEx>
        <w:trPr>
          <w:jc w:val="center"/>
        </w:trPr>
        <w:tc>
          <w:tcPr>
            <w:tcW w:w="50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733"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社会公众或服务对象满意度</w:t>
            </w:r>
          </w:p>
        </w:tc>
        <w:tc>
          <w:tcPr>
            <w:tcW w:w="541"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w:t>
            </w:r>
          </w:p>
        </w:tc>
        <w:tc>
          <w:tcPr>
            <w:tcW w:w="3175"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90%（含）以上计6分；</w:t>
            </w:r>
            <w:r>
              <w:rPr>
                <w:rFonts w:ascii="Times New Roman" w:hAnsi="Times New Roman" w:eastAsiaTheme="minorEastAsia"/>
                <w:kern w:val="0"/>
                <w:szCs w:val="21"/>
              </w:rPr>
              <w:br w:type="textWrapping"/>
            </w:r>
            <w:r>
              <w:rPr>
                <w:rFonts w:ascii="Times New Roman" w:hAnsi="Times New Roman" w:eastAsiaTheme="minorEastAsia"/>
                <w:kern w:val="0"/>
                <w:szCs w:val="21"/>
              </w:rPr>
              <w:t>80%（含）-90%，计4分；</w:t>
            </w:r>
            <w:r>
              <w:rPr>
                <w:rFonts w:ascii="Times New Roman" w:hAnsi="Times New Roman" w:eastAsiaTheme="minorEastAsia"/>
                <w:kern w:val="0"/>
                <w:szCs w:val="21"/>
              </w:rPr>
              <w:br w:type="textWrapping"/>
            </w:r>
            <w:r>
              <w:rPr>
                <w:rFonts w:ascii="Times New Roman" w:hAnsi="Times New Roman" w:eastAsiaTheme="minorEastAsia"/>
                <w:kern w:val="0"/>
                <w:szCs w:val="21"/>
              </w:rPr>
              <w:t>70%（含）-80%，计2分；</w:t>
            </w:r>
            <w:r>
              <w:rPr>
                <w:rFonts w:ascii="Times New Roman" w:hAnsi="Times New Roman" w:eastAsiaTheme="minorEastAsia"/>
                <w:kern w:val="0"/>
                <w:szCs w:val="21"/>
              </w:rPr>
              <w:br w:type="textWrapping"/>
            </w:r>
            <w:r>
              <w:rPr>
                <w:rFonts w:ascii="Times New Roman" w:hAnsi="Times New Roman" w:eastAsiaTheme="minorEastAsia"/>
                <w:kern w:val="0"/>
                <w:szCs w:val="21"/>
              </w:rPr>
              <w:t>低于70%计0分。</w:t>
            </w:r>
          </w:p>
        </w:tc>
        <w:tc>
          <w:tcPr>
            <w:tcW w:w="220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社会公众或服务对象是指部门（单位）履行职责而影响到的部门、群体或个人，一般采取社会调查的方式。</w:t>
            </w:r>
          </w:p>
        </w:tc>
        <w:tc>
          <w:tcPr>
            <w:tcW w:w="44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ascii="Times New Roman" w:hAnsi="Times New Roman" w:eastAsiaTheme="minorEastAsia"/>
                <w:kern w:val="0"/>
                <w:szCs w:val="21"/>
              </w:rPr>
              <w:t>6</w:t>
            </w:r>
          </w:p>
        </w:tc>
      </w:tr>
      <w:tr>
        <w:tblPrEx>
          <w:tblCellMar>
            <w:top w:w="0" w:type="dxa"/>
            <w:left w:w="108" w:type="dxa"/>
            <w:bottom w:w="0" w:type="dxa"/>
            <w:right w:w="108" w:type="dxa"/>
          </w:tblCellMar>
        </w:tblPrEx>
        <w:trPr>
          <w:trHeight w:val="371" w:hRule="atLeast"/>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合计</w:t>
            </w: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r>
              <w:rPr>
                <w:rFonts w:ascii="Times New Roman" w:hAnsi="Times New Roman" w:eastAsiaTheme="minorEastAsia"/>
                <w:kern w:val="0"/>
                <w:szCs w:val="21"/>
              </w:rPr>
              <w:t>100</w:t>
            </w:r>
          </w:p>
        </w:tc>
        <w:tc>
          <w:tcPr>
            <w:tcW w:w="4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5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73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p>
        </w:tc>
        <w:tc>
          <w:tcPr>
            <w:tcW w:w="54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Theme="minorEastAsia"/>
                <w:kern w:val="0"/>
                <w:szCs w:val="21"/>
              </w:rPr>
            </w:pPr>
            <w:r>
              <w:rPr>
                <w:rFonts w:ascii="Times New Roman" w:hAnsi="Times New Roman" w:eastAsiaTheme="minorEastAsia"/>
                <w:kern w:val="0"/>
                <w:szCs w:val="21"/>
              </w:rPr>
              <w:t>100</w:t>
            </w:r>
          </w:p>
        </w:tc>
        <w:tc>
          <w:tcPr>
            <w:tcW w:w="3175"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220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Theme="minorEastAsia"/>
                <w:kern w:val="0"/>
                <w:szCs w:val="21"/>
              </w:rPr>
            </w:pPr>
          </w:p>
        </w:tc>
        <w:tc>
          <w:tcPr>
            <w:tcW w:w="4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Theme="minorEastAsia"/>
                <w:kern w:val="0"/>
                <w:szCs w:val="21"/>
              </w:rPr>
            </w:pPr>
            <w:r>
              <w:rPr>
                <w:rFonts w:hint="eastAsia" w:ascii="Times New Roman" w:hAnsi="Times New Roman" w:eastAsiaTheme="minorEastAsia"/>
                <w:kern w:val="0"/>
                <w:szCs w:val="21"/>
              </w:rPr>
              <w:t>95</w:t>
            </w:r>
          </w:p>
        </w:tc>
      </w:tr>
    </w:tbl>
    <w:p>
      <w:pPr>
        <w:spacing w:line="560" w:lineRule="exact"/>
        <w:rPr>
          <w:rFonts w:ascii="Times New Roman" w:hAnsi="Times New Roman"/>
          <w:sz w:val="18"/>
          <w:szCs w:val="18"/>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iM2RhMzBlMGE3NDBkYjRhMDlmMjc4ODczZTRjMDQifQ=="/>
  </w:docVars>
  <w:rsids>
    <w:rsidRoot w:val="007974AB"/>
    <w:rsid w:val="000015A9"/>
    <w:rsid w:val="0000298E"/>
    <w:rsid w:val="00002AE4"/>
    <w:rsid w:val="0002230C"/>
    <w:rsid w:val="00031747"/>
    <w:rsid w:val="0003456A"/>
    <w:rsid w:val="00037035"/>
    <w:rsid w:val="00042628"/>
    <w:rsid w:val="00042E25"/>
    <w:rsid w:val="000469BA"/>
    <w:rsid w:val="00051298"/>
    <w:rsid w:val="000516DC"/>
    <w:rsid w:val="00053F71"/>
    <w:rsid w:val="000552F3"/>
    <w:rsid w:val="00066C87"/>
    <w:rsid w:val="00070B5F"/>
    <w:rsid w:val="00073B63"/>
    <w:rsid w:val="000747B8"/>
    <w:rsid w:val="00075715"/>
    <w:rsid w:val="00083406"/>
    <w:rsid w:val="00085A99"/>
    <w:rsid w:val="00087EA5"/>
    <w:rsid w:val="00091B80"/>
    <w:rsid w:val="00092609"/>
    <w:rsid w:val="00093AEB"/>
    <w:rsid w:val="000A6E3A"/>
    <w:rsid w:val="000B1FC2"/>
    <w:rsid w:val="000D6179"/>
    <w:rsid w:val="000E240C"/>
    <w:rsid w:val="000F21D6"/>
    <w:rsid w:val="000F61BE"/>
    <w:rsid w:val="000F73AE"/>
    <w:rsid w:val="00102F75"/>
    <w:rsid w:val="0010601B"/>
    <w:rsid w:val="001062E8"/>
    <w:rsid w:val="00112EB7"/>
    <w:rsid w:val="00114AFB"/>
    <w:rsid w:val="001167EB"/>
    <w:rsid w:val="00121B82"/>
    <w:rsid w:val="00122D73"/>
    <w:rsid w:val="00126D11"/>
    <w:rsid w:val="00132FAE"/>
    <w:rsid w:val="0013478D"/>
    <w:rsid w:val="001415B7"/>
    <w:rsid w:val="00145A6A"/>
    <w:rsid w:val="0014663A"/>
    <w:rsid w:val="00147015"/>
    <w:rsid w:val="00151C01"/>
    <w:rsid w:val="001536DE"/>
    <w:rsid w:val="00157F21"/>
    <w:rsid w:val="00160267"/>
    <w:rsid w:val="0016425E"/>
    <w:rsid w:val="00167BE7"/>
    <w:rsid w:val="00180DA0"/>
    <w:rsid w:val="00181657"/>
    <w:rsid w:val="00182289"/>
    <w:rsid w:val="001854C2"/>
    <w:rsid w:val="00190E24"/>
    <w:rsid w:val="00191FD7"/>
    <w:rsid w:val="0019209D"/>
    <w:rsid w:val="00192B0E"/>
    <w:rsid w:val="00196838"/>
    <w:rsid w:val="00197BA7"/>
    <w:rsid w:val="001A5697"/>
    <w:rsid w:val="001A64A0"/>
    <w:rsid w:val="001B0F09"/>
    <w:rsid w:val="001B465B"/>
    <w:rsid w:val="001C15DF"/>
    <w:rsid w:val="001C7486"/>
    <w:rsid w:val="001D65E5"/>
    <w:rsid w:val="001D6602"/>
    <w:rsid w:val="001D7736"/>
    <w:rsid w:val="001E4F39"/>
    <w:rsid w:val="001E51D7"/>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5325"/>
    <w:rsid w:val="002B778F"/>
    <w:rsid w:val="002C064D"/>
    <w:rsid w:val="002C1A0D"/>
    <w:rsid w:val="002C2717"/>
    <w:rsid w:val="002C4D8C"/>
    <w:rsid w:val="002D5D72"/>
    <w:rsid w:val="002D6D4A"/>
    <w:rsid w:val="002E026F"/>
    <w:rsid w:val="002E1DF4"/>
    <w:rsid w:val="002F5982"/>
    <w:rsid w:val="002F7643"/>
    <w:rsid w:val="00303890"/>
    <w:rsid w:val="003053A5"/>
    <w:rsid w:val="0031038E"/>
    <w:rsid w:val="003134F7"/>
    <w:rsid w:val="00313CA6"/>
    <w:rsid w:val="003173DD"/>
    <w:rsid w:val="00317AB2"/>
    <w:rsid w:val="00324952"/>
    <w:rsid w:val="003303B5"/>
    <w:rsid w:val="00332598"/>
    <w:rsid w:val="00341012"/>
    <w:rsid w:val="00342BE8"/>
    <w:rsid w:val="00343928"/>
    <w:rsid w:val="00344BD5"/>
    <w:rsid w:val="00344CA7"/>
    <w:rsid w:val="00345B18"/>
    <w:rsid w:val="00346169"/>
    <w:rsid w:val="003478B2"/>
    <w:rsid w:val="00351E0E"/>
    <w:rsid w:val="0035421A"/>
    <w:rsid w:val="0035442F"/>
    <w:rsid w:val="00355ED7"/>
    <w:rsid w:val="00362473"/>
    <w:rsid w:val="00362E31"/>
    <w:rsid w:val="00372621"/>
    <w:rsid w:val="003746E4"/>
    <w:rsid w:val="00374987"/>
    <w:rsid w:val="0038212B"/>
    <w:rsid w:val="00382539"/>
    <w:rsid w:val="00383377"/>
    <w:rsid w:val="00383992"/>
    <w:rsid w:val="0038493C"/>
    <w:rsid w:val="0038495F"/>
    <w:rsid w:val="0038521C"/>
    <w:rsid w:val="00385A6D"/>
    <w:rsid w:val="00392B58"/>
    <w:rsid w:val="00394ABB"/>
    <w:rsid w:val="003A4ACA"/>
    <w:rsid w:val="003A5A86"/>
    <w:rsid w:val="003A7FDD"/>
    <w:rsid w:val="003B23EB"/>
    <w:rsid w:val="003B2F4F"/>
    <w:rsid w:val="003B3C12"/>
    <w:rsid w:val="003B6693"/>
    <w:rsid w:val="003B7FA2"/>
    <w:rsid w:val="003C1397"/>
    <w:rsid w:val="003C1D17"/>
    <w:rsid w:val="003C7891"/>
    <w:rsid w:val="003D4854"/>
    <w:rsid w:val="003D639F"/>
    <w:rsid w:val="003E2A4A"/>
    <w:rsid w:val="003E3CB2"/>
    <w:rsid w:val="003E52E4"/>
    <w:rsid w:val="003F4F49"/>
    <w:rsid w:val="00404B9F"/>
    <w:rsid w:val="00404BE5"/>
    <w:rsid w:val="00410AE1"/>
    <w:rsid w:val="00410FF6"/>
    <w:rsid w:val="00411330"/>
    <w:rsid w:val="00412456"/>
    <w:rsid w:val="00415D60"/>
    <w:rsid w:val="00417BC1"/>
    <w:rsid w:val="0042330A"/>
    <w:rsid w:val="00427D9D"/>
    <w:rsid w:val="00431F3D"/>
    <w:rsid w:val="00431F52"/>
    <w:rsid w:val="00434B10"/>
    <w:rsid w:val="00446CFB"/>
    <w:rsid w:val="004506ED"/>
    <w:rsid w:val="004527DA"/>
    <w:rsid w:val="004561C6"/>
    <w:rsid w:val="004621CC"/>
    <w:rsid w:val="00467ABA"/>
    <w:rsid w:val="00473BAD"/>
    <w:rsid w:val="00473D54"/>
    <w:rsid w:val="00474E8B"/>
    <w:rsid w:val="00477B78"/>
    <w:rsid w:val="00481926"/>
    <w:rsid w:val="00483F92"/>
    <w:rsid w:val="00485686"/>
    <w:rsid w:val="0049065C"/>
    <w:rsid w:val="004948B2"/>
    <w:rsid w:val="00496974"/>
    <w:rsid w:val="00496F6D"/>
    <w:rsid w:val="004A0757"/>
    <w:rsid w:val="004B09F8"/>
    <w:rsid w:val="004B4B8D"/>
    <w:rsid w:val="004C23CF"/>
    <w:rsid w:val="004C2AEE"/>
    <w:rsid w:val="004D5F90"/>
    <w:rsid w:val="004E189B"/>
    <w:rsid w:val="004E1AF5"/>
    <w:rsid w:val="004E2593"/>
    <w:rsid w:val="004E394D"/>
    <w:rsid w:val="004E6E44"/>
    <w:rsid w:val="004E77B3"/>
    <w:rsid w:val="004F284E"/>
    <w:rsid w:val="004F40BB"/>
    <w:rsid w:val="004F4E0C"/>
    <w:rsid w:val="004F53C1"/>
    <w:rsid w:val="004F740C"/>
    <w:rsid w:val="00505CCA"/>
    <w:rsid w:val="00505F55"/>
    <w:rsid w:val="00507BC7"/>
    <w:rsid w:val="00510B86"/>
    <w:rsid w:val="00524148"/>
    <w:rsid w:val="00536A21"/>
    <w:rsid w:val="005377C3"/>
    <w:rsid w:val="005438D0"/>
    <w:rsid w:val="0054486C"/>
    <w:rsid w:val="005473E0"/>
    <w:rsid w:val="0055022D"/>
    <w:rsid w:val="00550C9A"/>
    <w:rsid w:val="00552A47"/>
    <w:rsid w:val="005535D9"/>
    <w:rsid w:val="00553BA4"/>
    <w:rsid w:val="00564E8B"/>
    <w:rsid w:val="00567A71"/>
    <w:rsid w:val="00572F12"/>
    <w:rsid w:val="0057789D"/>
    <w:rsid w:val="00580F87"/>
    <w:rsid w:val="00581FB4"/>
    <w:rsid w:val="00584586"/>
    <w:rsid w:val="005845A5"/>
    <w:rsid w:val="00585BED"/>
    <w:rsid w:val="005916AB"/>
    <w:rsid w:val="00592496"/>
    <w:rsid w:val="00593595"/>
    <w:rsid w:val="00595A64"/>
    <w:rsid w:val="005A0700"/>
    <w:rsid w:val="005A3424"/>
    <w:rsid w:val="005A662C"/>
    <w:rsid w:val="005A6E3C"/>
    <w:rsid w:val="005B436E"/>
    <w:rsid w:val="005B6DC8"/>
    <w:rsid w:val="005B70C2"/>
    <w:rsid w:val="005C488D"/>
    <w:rsid w:val="005C56EE"/>
    <w:rsid w:val="005C60E3"/>
    <w:rsid w:val="005C6D48"/>
    <w:rsid w:val="005C778B"/>
    <w:rsid w:val="005D5007"/>
    <w:rsid w:val="005D50CB"/>
    <w:rsid w:val="005E0ACC"/>
    <w:rsid w:val="005E0C80"/>
    <w:rsid w:val="005E63A3"/>
    <w:rsid w:val="005F1452"/>
    <w:rsid w:val="005F1576"/>
    <w:rsid w:val="005F247D"/>
    <w:rsid w:val="005F2E6C"/>
    <w:rsid w:val="005F4433"/>
    <w:rsid w:val="00600ECF"/>
    <w:rsid w:val="0060169E"/>
    <w:rsid w:val="006024A8"/>
    <w:rsid w:val="0061181B"/>
    <w:rsid w:val="0061768E"/>
    <w:rsid w:val="00620930"/>
    <w:rsid w:val="00622481"/>
    <w:rsid w:val="00640E29"/>
    <w:rsid w:val="006412C9"/>
    <w:rsid w:val="00644593"/>
    <w:rsid w:val="00650031"/>
    <w:rsid w:val="00654D08"/>
    <w:rsid w:val="00655F15"/>
    <w:rsid w:val="006565C7"/>
    <w:rsid w:val="00661AED"/>
    <w:rsid w:val="0066304C"/>
    <w:rsid w:val="006630B0"/>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9CF"/>
    <w:rsid w:val="006A6FDC"/>
    <w:rsid w:val="006B1DF4"/>
    <w:rsid w:val="006B4619"/>
    <w:rsid w:val="006C3E4B"/>
    <w:rsid w:val="006C5D54"/>
    <w:rsid w:val="006C6956"/>
    <w:rsid w:val="006D0B0B"/>
    <w:rsid w:val="006D0B89"/>
    <w:rsid w:val="006E4E54"/>
    <w:rsid w:val="006F1419"/>
    <w:rsid w:val="00700CD4"/>
    <w:rsid w:val="00701DF4"/>
    <w:rsid w:val="00704174"/>
    <w:rsid w:val="00704536"/>
    <w:rsid w:val="0071201B"/>
    <w:rsid w:val="00713FC2"/>
    <w:rsid w:val="00715614"/>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A14DE"/>
    <w:rsid w:val="007B039C"/>
    <w:rsid w:val="007B06DD"/>
    <w:rsid w:val="007B13FA"/>
    <w:rsid w:val="007B2252"/>
    <w:rsid w:val="007B46F9"/>
    <w:rsid w:val="007B4DD3"/>
    <w:rsid w:val="007B4F12"/>
    <w:rsid w:val="007B57E2"/>
    <w:rsid w:val="007B6F8C"/>
    <w:rsid w:val="007C0768"/>
    <w:rsid w:val="007C536F"/>
    <w:rsid w:val="007D16E0"/>
    <w:rsid w:val="007D5CA1"/>
    <w:rsid w:val="007D637D"/>
    <w:rsid w:val="007E3B70"/>
    <w:rsid w:val="007E4BD4"/>
    <w:rsid w:val="007E65CE"/>
    <w:rsid w:val="007F05A2"/>
    <w:rsid w:val="007F1ED1"/>
    <w:rsid w:val="007F7875"/>
    <w:rsid w:val="00800AE0"/>
    <w:rsid w:val="0081620B"/>
    <w:rsid w:val="008168D4"/>
    <w:rsid w:val="00827E67"/>
    <w:rsid w:val="00832102"/>
    <w:rsid w:val="00833FA8"/>
    <w:rsid w:val="0084564C"/>
    <w:rsid w:val="00851F1E"/>
    <w:rsid w:val="008662AB"/>
    <w:rsid w:val="00867DE4"/>
    <w:rsid w:val="00885497"/>
    <w:rsid w:val="008862A7"/>
    <w:rsid w:val="00892869"/>
    <w:rsid w:val="0089327A"/>
    <w:rsid w:val="008953EE"/>
    <w:rsid w:val="008B03AA"/>
    <w:rsid w:val="008B1FF5"/>
    <w:rsid w:val="008B3273"/>
    <w:rsid w:val="008B33CC"/>
    <w:rsid w:val="008B3530"/>
    <w:rsid w:val="008D36D8"/>
    <w:rsid w:val="008D614F"/>
    <w:rsid w:val="008D7CE8"/>
    <w:rsid w:val="008E239D"/>
    <w:rsid w:val="008E6AF7"/>
    <w:rsid w:val="008E7DED"/>
    <w:rsid w:val="008F0E86"/>
    <w:rsid w:val="0090366D"/>
    <w:rsid w:val="00905011"/>
    <w:rsid w:val="00911DD8"/>
    <w:rsid w:val="00917770"/>
    <w:rsid w:val="009213D8"/>
    <w:rsid w:val="00921D22"/>
    <w:rsid w:val="00921EF0"/>
    <w:rsid w:val="0094137E"/>
    <w:rsid w:val="00941C04"/>
    <w:rsid w:val="00943B87"/>
    <w:rsid w:val="00943D1D"/>
    <w:rsid w:val="009442C5"/>
    <w:rsid w:val="0094685F"/>
    <w:rsid w:val="00956048"/>
    <w:rsid w:val="0095659A"/>
    <w:rsid w:val="009573A9"/>
    <w:rsid w:val="009615C7"/>
    <w:rsid w:val="00961BF1"/>
    <w:rsid w:val="0096338E"/>
    <w:rsid w:val="00964FED"/>
    <w:rsid w:val="009709F2"/>
    <w:rsid w:val="0097377E"/>
    <w:rsid w:val="0097487E"/>
    <w:rsid w:val="00977060"/>
    <w:rsid w:val="00980482"/>
    <w:rsid w:val="00983079"/>
    <w:rsid w:val="0098378E"/>
    <w:rsid w:val="00986F29"/>
    <w:rsid w:val="009901AD"/>
    <w:rsid w:val="00991EA4"/>
    <w:rsid w:val="009943A8"/>
    <w:rsid w:val="009947D3"/>
    <w:rsid w:val="009965AB"/>
    <w:rsid w:val="00996BBF"/>
    <w:rsid w:val="009A55AE"/>
    <w:rsid w:val="009B5011"/>
    <w:rsid w:val="009B5851"/>
    <w:rsid w:val="009B73FA"/>
    <w:rsid w:val="009C0EEE"/>
    <w:rsid w:val="009C406D"/>
    <w:rsid w:val="009C5DDA"/>
    <w:rsid w:val="009D6DA7"/>
    <w:rsid w:val="009E02A8"/>
    <w:rsid w:val="009E265C"/>
    <w:rsid w:val="009E5A22"/>
    <w:rsid w:val="009F36E4"/>
    <w:rsid w:val="009F404C"/>
    <w:rsid w:val="009F589A"/>
    <w:rsid w:val="00A00330"/>
    <w:rsid w:val="00A0063B"/>
    <w:rsid w:val="00A031DE"/>
    <w:rsid w:val="00A14698"/>
    <w:rsid w:val="00A15119"/>
    <w:rsid w:val="00A219F9"/>
    <w:rsid w:val="00A2434F"/>
    <w:rsid w:val="00A31FCC"/>
    <w:rsid w:val="00A36DBC"/>
    <w:rsid w:val="00A413AD"/>
    <w:rsid w:val="00A42F44"/>
    <w:rsid w:val="00A430F4"/>
    <w:rsid w:val="00A43B0D"/>
    <w:rsid w:val="00A44A41"/>
    <w:rsid w:val="00A50EDE"/>
    <w:rsid w:val="00A52C27"/>
    <w:rsid w:val="00A53396"/>
    <w:rsid w:val="00A55ECC"/>
    <w:rsid w:val="00A56C2A"/>
    <w:rsid w:val="00A57284"/>
    <w:rsid w:val="00A6409C"/>
    <w:rsid w:val="00A64D6E"/>
    <w:rsid w:val="00A66B32"/>
    <w:rsid w:val="00A71379"/>
    <w:rsid w:val="00A747A4"/>
    <w:rsid w:val="00A76E82"/>
    <w:rsid w:val="00A949AD"/>
    <w:rsid w:val="00AA342C"/>
    <w:rsid w:val="00AB0C8C"/>
    <w:rsid w:val="00AB11DB"/>
    <w:rsid w:val="00AB458C"/>
    <w:rsid w:val="00AC2C79"/>
    <w:rsid w:val="00AC3596"/>
    <w:rsid w:val="00AD0292"/>
    <w:rsid w:val="00AD05E5"/>
    <w:rsid w:val="00AD09F4"/>
    <w:rsid w:val="00AD797A"/>
    <w:rsid w:val="00AE4204"/>
    <w:rsid w:val="00AE777B"/>
    <w:rsid w:val="00AF1354"/>
    <w:rsid w:val="00B005FD"/>
    <w:rsid w:val="00B04987"/>
    <w:rsid w:val="00B067B2"/>
    <w:rsid w:val="00B07A1C"/>
    <w:rsid w:val="00B12151"/>
    <w:rsid w:val="00B13F7B"/>
    <w:rsid w:val="00B1669E"/>
    <w:rsid w:val="00B16DFF"/>
    <w:rsid w:val="00B21F2B"/>
    <w:rsid w:val="00B23A19"/>
    <w:rsid w:val="00B25C6D"/>
    <w:rsid w:val="00B3064B"/>
    <w:rsid w:val="00B30E1F"/>
    <w:rsid w:val="00B32F56"/>
    <w:rsid w:val="00B5069E"/>
    <w:rsid w:val="00B54FA2"/>
    <w:rsid w:val="00B559AE"/>
    <w:rsid w:val="00B576D4"/>
    <w:rsid w:val="00B605B4"/>
    <w:rsid w:val="00B62903"/>
    <w:rsid w:val="00B63B49"/>
    <w:rsid w:val="00B65994"/>
    <w:rsid w:val="00B718B5"/>
    <w:rsid w:val="00B735BF"/>
    <w:rsid w:val="00B7695F"/>
    <w:rsid w:val="00B77D72"/>
    <w:rsid w:val="00B80C73"/>
    <w:rsid w:val="00B824FB"/>
    <w:rsid w:val="00B8579B"/>
    <w:rsid w:val="00B85D54"/>
    <w:rsid w:val="00B86E61"/>
    <w:rsid w:val="00B8738A"/>
    <w:rsid w:val="00B90483"/>
    <w:rsid w:val="00B90FCE"/>
    <w:rsid w:val="00B9269A"/>
    <w:rsid w:val="00B93DBC"/>
    <w:rsid w:val="00BA21E0"/>
    <w:rsid w:val="00BA3557"/>
    <w:rsid w:val="00BB02A3"/>
    <w:rsid w:val="00BB6B46"/>
    <w:rsid w:val="00BB7153"/>
    <w:rsid w:val="00BC2835"/>
    <w:rsid w:val="00BD1277"/>
    <w:rsid w:val="00BD600A"/>
    <w:rsid w:val="00BE2E9A"/>
    <w:rsid w:val="00BE6113"/>
    <w:rsid w:val="00BF20DB"/>
    <w:rsid w:val="00BF73DD"/>
    <w:rsid w:val="00C0088E"/>
    <w:rsid w:val="00C02189"/>
    <w:rsid w:val="00C20029"/>
    <w:rsid w:val="00C214A6"/>
    <w:rsid w:val="00C30FDC"/>
    <w:rsid w:val="00C319C9"/>
    <w:rsid w:val="00C33895"/>
    <w:rsid w:val="00C3680C"/>
    <w:rsid w:val="00C44C07"/>
    <w:rsid w:val="00C4612E"/>
    <w:rsid w:val="00C530ED"/>
    <w:rsid w:val="00C54E49"/>
    <w:rsid w:val="00C5586C"/>
    <w:rsid w:val="00C573B5"/>
    <w:rsid w:val="00C60E03"/>
    <w:rsid w:val="00C62F43"/>
    <w:rsid w:val="00C63B42"/>
    <w:rsid w:val="00C72DCE"/>
    <w:rsid w:val="00C742AE"/>
    <w:rsid w:val="00C9123C"/>
    <w:rsid w:val="00C935BF"/>
    <w:rsid w:val="00CA0A79"/>
    <w:rsid w:val="00CA163D"/>
    <w:rsid w:val="00CA33BA"/>
    <w:rsid w:val="00CB2820"/>
    <w:rsid w:val="00CB5102"/>
    <w:rsid w:val="00CC0774"/>
    <w:rsid w:val="00CC3862"/>
    <w:rsid w:val="00CC4ADD"/>
    <w:rsid w:val="00CC4B92"/>
    <w:rsid w:val="00CC758C"/>
    <w:rsid w:val="00CD2BBD"/>
    <w:rsid w:val="00CD35A0"/>
    <w:rsid w:val="00CD7DBB"/>
    <w:rsid w:val="00CE087F"/>
    <w:rsid w:val="00CE0DAB"/>
    <w:rsid w:val="00CE4FDE"/>
    <w:rsid w:val="00CF75DD"/>
    <w:rsid w:val="00CF7E02"/>
    <w:rsid w:val="00D05ACC"/>
    <w:rsid w:val="00D14DCC"/>
    <w:rsid w:val="00D204FD"/>
    <w:rsid w:val="00D251C2"/>
    <w:rsid w:val="00D258CC"/>
    <w:rsid w:val="00D33649"/>
    <w:rsid w:val="00D4312A"/>
    <w:rsid w:val="00D44F3A"/>
    <w:rsid w:val="00D4564B"/>
    <w:rsid w:val="00D464D3"/>
    <w:rsid w:val="00D47373"/>
    <w:rsid w:val="00D52EEC"/>
    <w:rsid w:val="00D55FCF"/>
    <w:rsid w:val="00D60B6C"/>
    <w:rsid w:val="00D62E84"/>
    <w:rsid w:val="00D65095"/>
    <w:rsid w:val="00D67221"/>
    <w:rsid w:val="00D74FF7"/>
    <w:rsid w:val="00D758B0"/>
    <w:rsid w:val="00D809C7"/>
    <w:rsid w:val="00D816C7"/>
    <w:rsid w:val="00D845AB"/>
    <w:rsid w:val="00D903B2"/>
    <w:rsid w:val="00D90B0C"/>
    <w:rsid w:val="00D927CA"/>
    <w:rsid w:val="00DA1E2C"/>
    <w:rsid w:val="00DB1EB3"/>
    <w:rsid w:val="00DB79CE"/>
    <w:rsid w:val="00DD0663"/>
    <w:rsid w:val="00DD1471"/>
    <w:rsid w:val="00DD1B35"/>
    <w:rsid w:val="00DE04EC"/>
    <w:rsid w:val="00DE1D58"/>
    <w:rsid w:val="00DE53FD"/>
    <w:rsid w:val="00DF0050"/>
    <w:rsid w:val="00DF0CAB"/>
    <w:rsid w:val="00DF192B"/>
    <w:rsid w:val="00DF35F0"/>
    <w:rsid w:val="00DF3708"/>
    <w:rsid w:val="00DF422E"/>
    <w:rsid w:val="00E04C58"/>
    <w:rsid w:val="00E07FE4"/>
    <w:rsid w:val="00E1178C"/>
    <w:rsid w:val="00E12865"/>
    <w:rsid w:val="00E13844"/>
    <w:rsid w:val="00E1598C"/>
    <w:rsid w:val="00E16970"/>
    <w:rsid w:val="00E171D4"/>
    <w:rsid w:val="00E20D5A"/>
    <w:rsid w:val="00E2433A"/>
    <w:rsid w:val="00E275D0"/>
    <w:rsid w:val="00E316A4"/>
    <w:rsid w:val="00E35604"/>
    <w:rsid w:val="00E40FD3"/>
    <w:rsid w:val="00E46D74"/>
    <w:rsid w:val="00E478DA"/>
    <w:rsid w:val="00E510E7"/>
    <w:rsid w:val="00E54080"/>
    <w:rsid w:val="00E55CDD"/>
    <w:rsid w:val="00E5799B"/>
    <w:rsid w:val="00E61553"/>
    <w:rsid w:val="00E622DD"/>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20745"/>
    <w:rsid w:val="00F31077"/>
    <w:rsid w:val="00F3377F"/>
    <w:rsid w:val="00F34647"/>
    <w:rsid w:val="00F37346"/>
    <w:rsid w:val="00F438FF"/>
    <w:rsid w:val="00F4525B"/>
    <w:rsid w:val="00F5082F"/>
    <w:rsid w:val="00F53D8C"/>
    <w:rsid w:val="00F5551B"/>
    <w:rsid w:val="00F55CCA"/>
    <w:rsid w:val="00F62648"/>
    <w:rsid w:val="00F62E20"/>
    <w:rsid w:val="00F631D3"/>
    <w:rsid w:val="00F647D2"/>
    <w:rsid w:val="00F64A66"/>
    <w:rsid w:val="00F67480"/>
    <w:rsid w:val="00F67A2E"/>
    <w:rsid w:val="00F7046B"/>
    <w:rsid w:val="00F71779"/>
    <w:rsid w:val="00F80880"/>
    <w:rsid w:val="00F81E51"/>
    <w:rsid w:val="00F82706"/>
    <w:rsid w:val="00F83EF8"/>
    <w:rsid w:val="00F90C46"/>
    <w:rsid w:val="00F921CA"/>
    <w:rsid w:val="00FA5A76"/>
    <w:rsid w:val="00FA6354"/>
    <w:rsid w:val="00FA7084"/>
    <w:rsid w:val="00FB0000"/>
    <w:rsid w:val="00FB5CB5"/>
    <w:rsid w:val="00FD03F6"/>
    <w:rsid w:val="00FD1260"/>
    <w:rsid w:val="00FD4154"/>
    <w:rsid w:val="00FD47E3"/>
    <w:rsid w:val="00FE15F4"/>
    <w:rsid w:val="00FE6A81"/>
    <w:rsid w:val="00FF2FCA"/>
    <w:rsid w:val="00FF3E4E"/>
    <w:rsid w:val="00FF5CAC"/>
    <w:rsid w:val="05F35AE8"/>
    <w:rsid w:val="082F5E85"/>
    <w:rsid w:val="0B5B5A73"/>
    <w:rsid w:val="0C523489"/>
    <w:rsid w:val="0D5C2FC2"/>
    <w:rsid w:val="17203872"/>
    <w:rsid w:val="192A1A97"/>
    <w:rsid w:val="199D0717"/>
    <w:rsid w:val="19DE0391"/>
    <w:rsid w:val="1AEC2418"/>
    <w:rsid w:val="1DB21FDA"/>
    <w:rsid w:val="20C51591"/>
    <w:rsid w:val="24014C67"/>
    <w:rsid w:val="2566789A"/>
    <w:rsid w:val="289724F8"/>
    <w:rsid w:val="28E02C81"/>
    <w:rsid w:val="2DDD6BFF"/>
    <w:rsid w:val="37C22C9B"/>
    <w:rsid w:val="39317D5C"/>
    <w:rsid w:val="3A10010B"/>
    <w:rsid w:val="3D8153C7"/>
    <w:rsid w:val="3EBE0387"/>
    <w:rsid w:val="406C1D1D"/>
    <w:rsid w:val="41E77BF5"/>
    <w:rsid w:val="4D135D42"/>
    <w:rsid w:val="4D265A75"/>
    <w:rsid w:val="519531C9"/>
    <w:rsid w:val="529C0587"/>
    <w:rsid w:val="56BD5A26"/>
    <w:rsid w:val="57E714CD"/>
    <w:rsid w:val="5A63220D"/>
    <w:rsid w:val="5C3D6937"/>
    <w:rsid w:val="63B219B9"/>
    <w:rsid w:val="716A38D3"/>
    <w:rsid w:val="7372505D"/>
    <w:rsid w:val="763136F8"/>
    <w:rsid w:val="78BC3EF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634</Words>
  <Characters>3618</Characters>
  <Lines>30</Lines>
  <Paragraphs>8</Paragraphs>
  <TotalTime>65</TotalTime>
  <ScaleCrop>false</ScaleCrop>
  <LinksUpToDate>false</LinksUpToDate>
  <CharactersWithSpaces>4244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2018-04-16T00:45:00Z</cp:lastPrinted>
  <dcterms:modified xsi:type="dcterms:W3CDTF">2024-08-28T08:06:00Z</dcterms:modified>
  <dc:title>2014年度常德市社会劳动保险处</dc:title>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11E77CF8D834406C9C35458644198193</vt:lpwstr>
  </property>
</Properties>
</file>