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澧县人民政府</w:t>
      </w: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rPr>
        <w:t>澧西街道办事处</w:t>
      </w:r>
      <w:r>
        <w:rPr>
          <w:rFonts w:ascii="Times New Roman" w:hAnsi="Times New Roman" w:eastAsiaTheme="majorEastAsia"/>
          <w:b/>
          <w:kern w:val="0"/>
          <w:sz w:val="44"/>
          <w:szCs w:val="44"/>
        </w:rPr>
        <w:t>绩效报告</w:t>
      </w:r>
    </w:p>
    <w:p>
      <w:pPr>
        <w:widowControl/>
        <w:spacing w:line="560" w:lineRule="exact"/>
        <w:ind w:firstLine="640"/>
        <w:rPr>
          <w:rFonts w:ascii="Times New Roman" w:hAnsi="Times New Roman" w:eastAsia="仿宋_GB2312"/>
          <w:color w:val="222222"/>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澧县人民政府澧西街道办事处为独立核算的行政单位，属一级预算单位，经费来源是全额拨款，执行政府会计制度，当年无变动情况。2020年，我街道办行政编制人数为30个，与上年相同；实有人数28个，比上年减少2个，减少原因为机关工作人员正常退休。事业编制人数33个，与上年相同；实有人数33个，比上年增加3个,增加原因是事业单位人员调入。</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加强党的建设。落实基层党建工作责任制，统筹社区（村）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cs="仿宋"/>
          <w:color w:val="000000" w:themeColor="text1"/>
          <w:sz w:val="32"/>
          <w:szCs w:val="32"/>
          <w:lang w:val="en-US" w:eastAsia="zh-CN"/>
        </w:rPr>
        <w:t>从严</w:t>
      </w:r>
      <w:r>
        <w:rPr>
          <w:rFonts w:hint="eastAsia" w:ascii="仿宋" w:hAnsi="仿宋" w:eastAsia="仿宋" w:cs="仿宋"/>
          <w:color w:val="000000" w:themeColor="text1"/>
          <w:sz w:val="32"/>
          <w:szCs w:val="32"/>
        </w:rPr>
        <w:t>治党向基层延伸。</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（2）统筹区域发展。参与拟订县级关于辖区发展的重大决策和建设规划并统筹落实，负责促进辖区经济建设，承担优化发展环境、采集企业信息、服务辖区企业、促进项目发展等工作。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组织公共服务。组织实施与社区（村）民生活密切相关的各项公共服务事项，落实人力资源社会保障、民政、教育、科技、文化、体育、卫生健康、退役军人事务、社区（村）民小区物业管理等领域相关法规政策。动员辖区内各类单位、社会组织、社区（村）民等社会力量参与社会治理，为全镇发展服务。</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（4）实施公共管理。负责辖区内生态环境保护、城镇管理、控违拆违、征地拆迁等综合性管理工作。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（5）维护公共安全。承担辖区内社会治安综合治理、平安建设、应急管理等有关工作，接待群众来信来访，反映社情民意，化解矛盾纠纷等。</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（6）监督执法管理。对辖区内各类行政执法工作进行统筹协调，组织开展群众监督和社会监督。</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（7）保障居民自治。指导社区（村）委员会建设，健全社区（村）民自治平台，组织社区（村）民参与社区（村）建设、管理。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8"/>
        <w:ind w:firstLine="480" w:firstLineChars="150"/>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8"/>
        <w:ind w:firstLine="640" w:firstLineChars="200"/>
        <w:rPr>
          <w:rFonts w:hint="eastAsia" w:ascii="仿宋_GB2312" w:hAnsi="宋体" w:eastAsia="仿宋_GB2312" w:cs="Times New Roman"/>
          <w:sz w:val="32"/>
          <w:szCs w:val="32"/>
        </w:rPr>
      </w:pPr>
      <w:r>
        <w:rPr>
          <w:rFonts w:hint="eastAsia" w:ascii="仿宋_GB2312" w:hAnsi="宋体" w:eastAsia="仿宋_GB2312" w:cs="宋体"/>
          <w:sz w:val="32"/>
          <w:szCs w:val="32"/>
        </w:rPr>
        <w:t>2020年度财政拨款支出2191.68万元，主要用于以下方面：一般公共服务（类）支出689.75万元，占31.47%；文化旅游体育与传媒支出48.62万元，2.22%;社会保障和就业支出55.62万元，占2.54%；卫生健康支出131万元，占5.98%；节能环保支出73.43万元，占3.35%；城乡社区支出53万元，占2.42%；农林水支出1047.99万元，占47.82%；交通运输支出10万元，占0.45%；商业服务业等支出5万元，占0.23%；住房保障支出41.27万元，占1.88%；灾害防治及应急管理支出36万元，占1.64%。</w:t>
      </w:r>
    </w:p>
    <w:p>
      <w:pPr>
        <w:pStyle w:val="128"/>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（二）部门预算收支决算情况</w:t>
      </w:r>
    </w:p>
    <w:p>
      <w:pPr>
        <w:pStyle w:val="128"/>
        <w:ind w:firstLine="640" w:firstLineChars="200"/>
        <w:rPr>
          <w:rFonts w:hint="eastAsia" w:ascii="仿宋_GB2312" w:hAnsi="宋体" w:eastAsia="仿宋_GB2312" w:cs="Times New Roman"/>
          <w:sz w:val="32"/>
          <w:szCs w:val="32"/>
        </w:rPr>
      </w:pPr>
      <w:r>
        <w:rPr>
          <w:rFonts w:hint="eastAsia" w:ascii="仿宋_GB2312" w:hAnsi="宋体" w:eastAsia="仿宋_GB2312" w:cs="宋体"/>
          <w:sz w:val="32"/>
          <w:szCs w:val="32"/>
        </w:rPr>
        <w:t>本年支出合计2337.47万元，其中：基本支出643.68万元，占27.54%；项目支出1693.79万元，占72.46%；上缴上级支出0万元，占0%；经营支出0万元，占0%；对附属单位补助支出0万元，占0%。</w:t>
      </w:r>
    </w:p>
    <w:p>
      <w:pPr>
        <w:pStyle w:val="128"/>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2020年度“三公”经费财政拨款支出决算中，公务接待费支出决算5万元，占62.5%,因公出国（境）费支出决算0万元，占0%,公务用车购置费及运行维护费支出决算3万元，占37.5%。其中：</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1、因公出国（境）费支出决算为0万元，全年安排因公出国（境）团组0个，累计0人次。</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2、公务接待费支出决算为5.00万元，全年共接待来访团组120个、来宾900人次，主要是脱贫攻坚、人居环境整治等工作的督导检查及其他发生的接待支出。</w:t>
      </w:r>
    </w:p>
    <w:p>
      <w:pPr>
        <w:ind w:firstLine="640" w:firstLineChars="200"/>
        <w:rPr>
          <w:rFonts w:hint="eastAsia" w:ascii="楷体_GB2312" w:eastAsia="楷体_GB2312"/>
          <w:color w:val="000000"/>
          <w:kern w:val="0"/>
          <w:sz w:val="32"/>
          <w:szCs w:val="32"/>
        </w:rPr>
      </w:pPr>
      <w:r>
        <w:rPr>
          <w:rFonts w:hint="eastAsia" w:ascii="楷体_GB2312" w:hAnsi="宋体" w:eastAsia="楷体_GB2312" w:cs="宋体"/>
          <w:sz w:val="32"/>
          <w:szCs w:val="32"/>
        </w:rPr>
        <w:t>3、公务用车购置费及运行维护费支出决算为3万元，其中：公务用车购置费</w:t>
      </w:r>
      <w:r>
        <w:rPr>
          <w:rFonts w:hint="eastAsia" w:ascii="楷体_GB2312" w:eastAsia="楷体_GB2312" w:cs="宋体"/>
          <w:sz w:val="32"/>
          <w:szCs w:val="32"/>
        </w:rPr>
        <w:t>0</w:t>
      </w:r>
      <w:r>
        <w:rPr>
          <w:rFonts w:hint="eastAsia" w:ascii="楷体_GB2312" w:hAnsi="宋体" w:eastAsia="楷体_GB2312" w:cs="宋体"/>
          <w:sz w:val="32"/>
          <w:szCs w:val="32"/>
        </w:rPr>
        <w:t>万元，更新公务用车</w:t>
      </w:r>
      <w:r>
        <w:rPr>
          <w:rFonts w:hint="eastAsia" w:ascii="楷体_GB2312" w:eastAsia="楷体_GB2312" w:cs="宋体"/>
          <w:sz w:val="32"/>
          <w:szCs w:val="32"/>
        </w:rPr>
        <w:t>0</w:t>
      </w:r>
      <w:r>
        <w:rPr>
          <w:rFonts w:hint="eastAsia" w:ascii="楷体_GB2312" w:hAnsi="宋体" w:eastAsia="楷体_GB2312" w:cs="宋体"/>
          <w:sz w:val="32"/>
          <w:szCs w:val="32"/>
        </w:rPr>
        <w:t>辆</w:t>
      </w:r>
      <w:r>
        <w:rPr>
          <w:rFonts w:hint="eastAsia" w:ascii="楷体_GB2312" w:hAnsi="宋体" w:eastAsia="楷体_GB2312" w:cs="宋体"/>
          <w:color w:val="000000"/>
          <w:sz w:val="32"/>
          <w:szCs w:val="32"/>
        </w:rPr>
        <w:t>。</w:t>
      </w:r>
      <w:r>
        <w:rPr>
          <w:rFonts w:hint="eastAsia" w:ascii="楷体_GB2312" w:hAnsi="宋体" w:eastAsia="楷体_GB2312" w:cs="宋体"/>
          <w:sz w:val="32"/>
          <w:szCs w:val="32"/>
        </w:rPr>
        <w:t>公务用车运行维护费3万元，主要是</w:t>
      </w:r>
      <w:r>
        <w:rPr>
          <w:rFonts w:hint="eastAsia" w:ascii="楷体_GB2312" w:eastAsia="楷体_GB2312" w:cs="宋体"/>
          <w:sz w:val="32"/>
          <w:szCs w:val="32"/>
        </w:rPr>
        <w:t>公务车油费、保险、维修维护</w:t>
      </w:r>
      <w:r>
        <w:rPr>
          <w:rFonts w:hint="eastAsia" w:ascii="楷体_GB2312" w:hAnsi="宋体" w:eastAsia="楷体_GB2312" w:cs="宋体"/>
          <w:sz w:val="32"/>
          <w:szCs w:val="32"/>
        </w:rPr>
        <w:t>支出，截止2020年12月31日，我单位开支财政拨款的公务用车保有量为1辆。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推动绩效管理提质扩面，将财政重点延伸到事前，推进全过程绩效管理。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加强评价结果应用，提高部门绩效监控和自评工作质量。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对未按规定开展绩效监控和单位自评的，由镇财政在一定范围内予以通报，并作为街道办对各部门绩效考核的重要依据。</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逐步公开，营造良好的社会氛围。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rPr>
          <w:rFonts w:ascii="仿宋" w:hAnsi="仿宋" w:eastAsia="仿宋" w:cs="仿宋"/>
          <w:color w:val="000000" w:themeColor="text1"/>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分管财务负责人任组长，相关站所负责人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adjustRightInd w:val="0"/>
        <w:snapToGrid w:val="0"/>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（一）多举措常战“疫”，防汛扶贫持续发力</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一、多措并举常态战疫。</w:t>
      </w:r>
      <w:r>
        <w:rPr>
          <w:rFonts w:hint="eastAsia" w:ascii="仿宋" w:hAnsi="仿宋" w:eastAsia="仿宋" w:cs="仿宋"/>
          <w:sz w:val="32"/>
          <w:szCs w:val="32"/>
        </w:rPr>
        <w:t>街道先后召开专题会议15次，及时传达学习贯彻落实省市县新冠肺炎疫情防控工作会议精神，实施四包一工作机制，组织党员干部群众共同参与疫情防控，在全办形成了党员冲锋在前，群众积极参与的疫情防控良好局面。截止目前，全办共摸排上报境外人员114人，累计排查外省返澧人员1281人，“四包一”居家隔离1290人，集中隔离105人，隔离人员经核酸检测，都为阴性，防控工作取得较好效果,全力保障了群众身体健康和生命安全</w:t>
      </w:r>
      <w:bookmarkStart w:id="0" w:name="_GoBack"/>
      <w:bookmarkEnd w:id="0"/>
      <w:r>
        <w:rPr>
          <w:rFonts w:hint="eastAsia" w:ascii="仿宋" w:hAnsi="仿宋" w:eastAsia="仿宋" w:cs="仿宋"/>
          <w:sz w:val="32"/>
          <w:szCs w:val="32"/>
        </w:rPr>
        <w:t>。</w:t>
      </w:r>
      <w:r>
        <w:rPr>
          <w:rFonts w:hint="eastAsia" w:ascii="仿宋" w:hAnsi="仿宋" w:eastAsia="仿宋" w:cs="仿宋"/>
          <w:b/>
          <w:sz w:val="32"/>
          <w:szCs w:val="32"/>
        </w:rPr>
        <w:t>二、</w:t>
      </w:r>
      <w:r>
        <w:rPr>
          <w:rFonts w:hint="eastAsia" w:ascii="仿宋" w:hAnsi="仿宋" w:eastAsia="仿宋" w:cs="仿宋"/>
          <w:b/>
          <w:sz w:val="32"/>
          <w:szCs w:val="32"/>
          <w:lang w:val="en-US" w:eastAsia="zh-CN"/>
        </w:rPr>
        <w:t>勠力</w:t>
      </w:r>
      <w:r>
        <w:rPr>
          <w:rFonts w:hint="eastAsia" w:ascii="仿宋" w:hAnsi="仿宋" w:eastAsia="仿宋" w:cs="仿宋"/>
          <w:b/>
          <w:sz w:val="32"/>
          <w:szCs w:val="32"/>
        </w:rPr>
        <w:t>同心防汛抗灾。</w:t>
      </w:r>
      <w:r>
        <w:rPr>
          <w:rFonts w:hint="eastAsia" w:ascii="仿宋" w:hAnsi="仿宋" w:eastAsia="仿宋" w:cs="仿宋"/>
          <w:sz w:val="32"/>
          <w:szCs w:val="32"/>
        </w:rPr>
        <w:t>面对今年上半年的严峻汛情，党工委、办事处精心组织、明确任务、落实责任，主要负责人重点堤段坐镇指挥，班子成员带班值守，机关、村居干部分片包干，形成防汛抗灾强大合力。今年街道澧水段出险两处，调用机械5台、砂卵石600多方、编织袋1万余条，洄水出险一处，调用彩条布500平方，荣涔排出险一处，调用砂卵石50方、编织袋3000条。4处险情都得到了及时处置，确保了街道安全度汛。</w:t>
      </w:r>
      <w:r>
        <w:rPr>
          <w:rFonts w:hint="eastAsia" w:ascii="仿宋" w:hAnsi="仿宋" w:eastAsia="仿宋" w:cs="仿宋"/>
          <w:b/>
          <w:sz w:val="32"/>
          <w:szCs w:val="32"/>
        </w:rPr>
        <w:t>三、全力以赴脱贫攻坚。</w:t>
      </w:r>
      <w:r>
        <w:rPr>
          <w:rFonts w:hint="eastAsia" w:ascii="仿宋" w:hAnsi="仿宋" w:eastAsia="仿宋" w:cs="仿宋"/>
          <w:sz w:val="32"/>
          <w:szCs w:val="32"/>
        </w:rPr>
        <w:t>今年</w:t>
      </w:r>
      <w:r>
        <w:rPr>
          <w:rFonts w:ascii="仿宋" w:hAnsi="仿宋" w:eastAsia="仿宋"/>
          <w:sz w:val="30"/>
          <w:szCs w:val="30"/>
        </w:rPr>
        <w:t>由</w:t>
      </w:r>
      <w:r>
        <w:rPr>
          <w:rFonts w:hint="eastAsia" w:ascii="仿宋" w:hAnsi="仿宋" w:eastAsia="仿宋"/>
          <w:sz w:val="30"/>
          <w:szCs w:val="30"/>
        </w:rPr>
        <w:t>机关</w:t>
      </w:r>
      <w:r>
        <w:rPr>
          <w:rFonts w:ascii="仿宋" w:hAnsi="仿宋" w:eastAsia="仿宋"/>
          <w:sz w:val="30"/>
          <w:szCs w:val="30"/>
        </w:rPr>
        <w:t>站所、村居干部和有帮扶能力的党员共150人开展结对帮扶。</w:t>
      </w:r>
      <w:r>
        <w:rPr>
          <w:rFonts w:hint="eastAsia" w:ascii="仿宋" w:hAnsi="仿宋" w:eastAsia="仿宋"/>
          <w:sz w:val="30"/>
          <w:szCs w:val="30"/>
        </w:rPr>
        <w:t>经过全办上下一年的攻坚克难，扶贫成效显著。全年教育助学共资助107人，资助金达22万，无一人义务教育阶段学生失学辍学；全年共实行危房改造的六类对象15户，实现了“危房不住人，人不住危房”目标；就业扶贫完成公益性岗位开发48个，贫困对象年人均增收6000元；兜底保障</w:t>
      </w:r>
      <w:r>
        <w:rPr>
          <w:rFonts w:hint="eastAsia" w:ascii="华文仿宋" w:hAnsi="华文仿宋" w:eastAsia="华文仿宋" w:cs="华文仿宋"/>
          <w:sz w:val="32"/>
          <w:szCs w:val="32"/>
        </w:rPr>
        <w:t>实现应保尽保。</w:t>
      </w:r>
      <w:r>
        <w:rPr>
          <w:rFonts w:hint="eastAsia" w:ascii="仿宋" w:hAnsi="仿宋" w:eastAsia="仿宋"/>
          <w:sz w:val="30"/>
          <w:szCs w:val="30"/>
        </w:rPr>
        <w:t>截止目前</w:t>
      </w:r>
      <w:r>
        <w:rPr>
          <w:rFonts w:ascii="仿宋" w:hAnsi="仿宋" w:eastAsia="仿宋"/>
          <w:sz w:val="30"/>
          <w:szCs w:val="30"/>
        </w:rPr>
        <w:t>，</w:t>
      </w:r>
      <w:r>
        <w:rPr>
          <w:rFonts w:hint="eastAsia" w:ascii="仿宋" w:hAnsi="仿宋" w:eastAsia="仿宋"/>
          <w:sz w:val="30"/>
          <w:szCs w:val="30"/>
        </w:rPr>
        <w:t>全街道</w:t>
      </w:r>
      <w:r>
        <w:rPr>
          <w:rFonts w:hint="eastAsia" w:ascii="仿宋" w:hAnsi="仿宋" w:eastAsia="仿宋" w:cs="仿宋"/>
          <w:sz w:val="30"/>
          <w:szCs w:val="30"/>
        </w:rPr>
        <w:t>实现了剩余的347户、1002人精准脱贫。</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(二)转观念优产业，“三农”工作稳步推进</w:t>
      </w:r>
    </w:p>
    <w:p>
      <w:pPr>
        <w:adjustRightInd w:val="0"/>
        <w:snapToGrid w:val="0"/>
        <w:spacing w:line="580" w:lineRule="exac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一、强农业保粮食安全。</w:t>
      </w:r>
      <w:r>
        <w:rPr>
          <w:rFonts w:hint="eastAsia" w:ascii="仿宋_GB2312" w:hAnsi="仿宋_GB2312" w:eastAsia="仿宋_GB2312" w:cs="仿宋_GB2312"/>
          <w:bCs/>
          <w:sz w:val="32"/>
          <w:szCs w:val="32"/>
        </w:rPr>
        <w:t>全办水稻种植20000亩，推广优质稻5000亩。转变以前传统的小农小户种粮观念，现30亩以上的种粮大户有48户，总面积达6034亩，其中1000亩以上的种植大户和合作社2户。</w:t>
      </w:r>
      <w:r>
        <w:rPr>
          <w:rFonts w:hint="eastAsia" w:ascii="仿宋" w:hAnsi="仿宋" w:eastAsia="仿宋" w:cs="仿宋"/>
          <w:b/>
          <w:sz w:val="32"/>
          <w:szCs w:val="32"/>
        </w:rPr>
        <w:t>二、优经作保农民增收。</w:t>
      </w:r>
      <w:r>
        <w:rPr>
          <w:rFonts w:hint="eastAsia" w:ascii="仿宋_GB2312" w:hAnsi="仿宋_GB2312" w:eastAsia="仿宋_GB2312" w:cs="仿宋_GB2312"/>
          <w:bCs/>
          <w:sz w:val="32"/>
          <w:szCs w:val="32"/>
        </w:rPr>
        <w:t>优化经作产业，全街道现种有葡萄5000余亩，其中品种改良的阳光玫瑰1000余亩，实行水肥一体化等高效栽培模式2400亩，蓝莓、草莓、食用菌等种植为农民创收300多万元。</w:t>
      </w:r>
      <w:r>
        <w:rPr>
          <w:rFonts w:hint="eastAsia" w:ascii="仿宋" w:hAnsi="仿宋" w:eastAsia="仿宋" w:cs="仿宋"/>
          <w:b/>
          <w:sz w:val="32"/>
          <w:szCs w:val="32"/>
        </w:rPr>
        <w:t>三、美农村保山青水绿。</w:t>
      </w:r>
      <w:r>
        <w:rPr>
          <w:rFonts w:hint="eastAsia" w:ascii="仿宋_GB2312" w:hAnsi="仿宋_GB2312" w:eastAsia="仿宋_GB2312" w:cs="仿宋_GB2312"/>
          <w:bCs/>
          <w:sz w:val="32"/>
          <w:szCs w:val="32"/>
        </w:rPr>
        <w:t>紧扣县人居环境指挥部百日攻坚主题活动，做好了陈年垃圾清除，沟渠塘坝清理，广告、牛皮癣清理，秸秆禁烧等工作。在县每月暗访和季度检查中都被评为一类，在十佳村和十差村评选中，保证了季季有十佳，季季没十差。对s302省道、207国道、临江路进行了高标准整治，房前屋后全面清理、菜园综合整治等；投入资金近300万元，完成了高路铺、荣家河渚天阁、向阳三和美、澄坪、马堰等四个高标准幸福屋场，农村环境进一步美化。</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（三）强提质重管控，</w:t>
      </w:r>
      <w:r>
        <w:rPr>
          <w:rFonts w:hint="eastAsia" w:ascii="黑体" w:hAnsi="黑体" w:eastAsia="黑体" w:cs="黑体"/>
          <w:color w:val="000000" w:themeColor="text1"/>
          <w:sz w:val="32"/>
          <w:szCs w:val="32"/>
        </w:rPr>
        <w:t>城区面貌日新月异</w:t>
      </w:r>
    </w:p>
    <w:p>
      <w:pPr>
        <w:adjustRightInd w:val="0"/>
        <w:snapToGrid w:val="0"/>
        <w:spacing w:line="580" w:lineRule="exac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一、竭力加强城市提质。</w:t>
      </w:r>
      <w:r>
        <w:rPr>
          <w:rFonts w:hint="eastAsia" w:ascii="仿宋_GB2312" w:hAnsi="仿宋_GB2312" w:eastAsia="仿宋_GB2312" w:cs="仿宋_GB2312"/>
          <w:bCs/>
          <w:sz w:val="32"/>
          <w:szCs w:val="32"/>
        </w:rPr>
        <w:t>城市提质管理工作一、二、三季度均被县政府评为一类单位。一是以环境整治为重点，打造绿化美化。总投资约80余万元，完成7处园林绿化景观打造及特色文化宣传墙建设。二是强化“门前三包”，积极开展治理“六乱”活动。共出动100多人次规范门面前的卫生，门前三包更加规范。三是严管重罚，确保市容美观。重拳整治流动摊贩占道经营的行为，市容市貌得到很大改观。</w:t>
      </w:r>
      <w:r>
        <w:rPr>
          <w:rFonts w:hint="eastAsia" w:ascii="仿宋" w:hAnsi="仿宋" w:eastAsia="仿宋" w:cs="仿宋"/>
          <w:b/>
          <w:sz w:val="32"/>
          <w:szCs w:val="32"/>
        </w:rPr>
        <w:t>二、“</w:t>
      </w:r>
      <w:r>
        <w:rPr>
          <w:rFonts w:ascii="仿宋" w:hAnsi="仿宋" w:eastAsia="仿宋" w:cs="仿宋"/>
          <w:b/>
          <w:sz w:val="32"/>
          <w:szCs w:val="32"/>
        </w:rPr>
        <w:t>两违</w:t>
      </w:r>
      <w:r>
        <w:rPr>
          <w:rFonts w:hint="eastAsia" w:ascii="仿宋" w:hAnsi="仿宋" w:eastAsia="仿宋" w:cs="仿宋"/>
          <w:b/>
          <w:sz w:val="32"/>
          <w:szCs w:val="32"/>
        </w:rPr>
        <w:t>”</w:t>
      </w:r>
      <w:r>
        <w:rPr>
          <w:rFonts w:ascii="仿宋" w:hAnsi="仿宋" w:eastAsia="仿宋" w:cs="仿宋"/>
          <w:b/>
          <w:sz w:val="32"/>
          <w:szCs w:val="32"/>
        </w:rPr>
        <w:t>管控</w:t>
      </w:r>
      <w:r>
        <w:rPr>
          <w:rFonts w:hint="eastAsia" w:ascii="仿宋" w:hAnsi="仿宋" w:eastAsia="仿宋" w:cs="仿宋"/>
          <w:b/>
          <w:sz w:val="32"/>
          <w:szCs w:val="32"/>
        </w:rPr>
        <w:t>强效有力。</w:t>
      </w:r>
      <w:r>
        <w:rPr>
          <w:rFonts w:hint="eastAsia" w:ascii="仿宋_GB2312" w:hAnsi="仿宋_GB2312" w:eastAsia="仿宋_GB2312" w:cs="仿宋_GB2312"/>
          <w:bCs/>
          <w:sz w:val="32"/>
          <w:szCs w:val="32"/>
        </w:rPr>
        <w:t>全年共查处“两违”建设70余处，总面积约3500平米，组织进行了4次大型强制拆违行动，共拆除违章建筑60余处，建筑面积约3000多平米，处罚结案10处，面积约500平米，有效遏制了两违势头。</w:t>
      </w:r>
      <w:r>
        <w:rPr>
          <w:rFonts w:hint="eastAsia" w:ascii="仿宋" w:hAnsi="仿宋" w:eastAsia="仿宋" w:cs="仿宋"/>
          <w:b/>
          <w:sz w:val="32"/>
          <w:szCs w:val="32"/>
        </w:rPr>
        <w:t>三、聚力做好污染防治。</w:t>
      </w:r>
      <w:r>
        <w:rPr>
          <w:rFonts w:hint="eastAsia" w:ascii="仿宋_GB2312" w:hAnsi="仿宋_GB2312" w:eastAsia="仿宋_GB2312" w:cs="仿宋_GB2312"/>
          <w:bCs/>
          <w:sz w:val="32"/>
          <w:szCs w:val="32"/>
        </w:rPr>
        <w:t>坚持生态优先、绿色发展，加大黑臭水体整治，落实河长制，推进生态环境持续改善。今年完成了45台次非道路移动机械摸底上报、登记上牌和各大中小企业排污许可登记管理等工作任务。配合处理省级交办件1件，群众投诉5件，辖区居民环保意识进一步提高。</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(四)强部署讲担当，组织建设扎实推进</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一、党建工作持续深入。</w:t>
      </w:r>
      <w:r>
        <w:rPr>
          <w:rFonts w:hint="eastAsia" w:ascii="仿宋_GB2312" w:hAnsi="仿宋_GB2312" w:eastAsia="仿宋_GB2312" w:cs="仿宋_GB2312"/>
          <w:bCs/>
          <w:sz w:val="32"/>
          <w:szCs w:val="32"/>
        </w:rPr>
        <w:t>一是</w:t>
      </w:r>
      <w:r>
        <w:rPr>
          <w:rFonts w:ascii="仿宋_GB2312" w:hAnsi="仿宋_GB2312" w:eastAsia="仿宋_GB2312" w:cs="仿宋_GB2312"/>
          <w:bCs/>
          <w:sz w:val="32"/>
          <w:szCs w:val="32"/>
        </w:rPr>
        <w:t>对主题教育开展情况进行“回头看”</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扎实整改2019年度</w:t>
      </w:r>
      <w:r>
        <w:rPr>
          <w:rFonts w:hint="eastAsia" w:ascii="仿宋_GB2312" w:hAnsi="仿宋_GB2312" w:eastAsia="仿宋_GB2312" w:cs="仿宋_GB2312"/>
          <w:bCs/>
          <w:sz w:val="32"/>
          <w:szCs w:val="32"/>
        </w:rPr>
        <w:t>县委</w:t>
      </w:r>
      <w:r>
        <w:rPr>
          <w:rFonts w:ascii="仿宋_GB2312" w:hAnsi="仿宋_GB2312" w:eastAsia="仿宋_GB2312" w:cs="仿宋_GB2312"/>
          <w:bCs/>
          <w:sz w:val="32"/>
          <w:szCs w:val="32"/>
        </w:rPr>
        <w:t>基层党建述职评议会上交办的</w:t>
      </w: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个问题</w:t>
      </w:r>
      <w:r>
        <w:rPr>
          <w:rFonts w:hint="eastAsia" w:ascii="仿宋_GB2312" w:hAnsi="仿宋_GB2312" w:eastAsia="仿宋_GB2312" w:cs="仿宋_GB2312"/>
          <w:bCs/>
          <w:sz w:val="32"/>
          <w:szCs w:val="32"/>
        </w:rPr>
        <w:t>。</w:t>
      </w:r>
      <w:r>
        <w:rPr>
          <w:rFonts w:hint="eastAsia" w:ascii="仿宋" w:hAnsi="仿宋" w:eastAsia="仿宋" w:cs="仿宋"/>
          <w:sz w:val="32"/>
          <w:szCs w:val="32"/>
        </w:rPr>
        <w:t>二是大力开展“一门式服务”全覆盖。先后3次召开党工委会议对政务服务中心工作进行了专题研究，规范了服务中心设置，配备了便民设施，最大限度的方便了群众办事，</w:t>
      </w:r>
      <w:r>
        <w:rPr>
          <w:rFonts w:ascii="仿宋" w:hAnsi="仿宋" w:eastAsia="仿宋" w:cs="仿宋"/>
          <w:sz w:val="32"/>
          <w:szCs w:val="32"/>
        </w:rPr>
        <w:t>目前所有社区（村）综合服务平台的阵地建设基本完成，可办理</w:t>
      </w:r>
      <w:r>
        <w:rPr>
          <w:rFonts w:hint="eastAsia" w:ascii="仿宋" w:hAnsi="仿宋" w:eastAsia="仿宋" w:cs="仿宋"/>
          <w:sz w:val="32"/>
          <w:szCs w:val="32"/>
        </w:rPr>
        <w:t>下沉到街道的97项、社区（村）的66项</w:t>
      </w:r>
      <w:r>
        <w:rPr>
          <w:rFonts w:ascii="仿宋" w:hAnsi="仿宋" w:eastAsia="仿宋" w:cs="仿宋"/>
          <w:sz w:val="32"/>
          <w:szCs w:val="32"/>
        </w:rPr>
        <w:t>事</w:t>
      </w:r>
      <w:r>
        <w:rPr>
          <w:rFonts w:hint="eastAsia" w:ascii="仿宋" w:hAnsi="仿宋" w:eastAsia="仿宋" w:cs="仿宋"/>
          <w:sz w:val="32"/>
          <w:szCs w:val="32"/>
        </w:rPr>
        <w:t>项；队伍建设不断优化，</w:t>
      </w:r>
      <w:r>
        <w:rPr>
          <w:rFonts w:hint="eastAsia" w:ascii="仿宋_GB2312" w:hAnsi="仿宋_GB2312" w:eastAsia="仿宋_GB2312" w:cs="仿宋_GB2312"/>
          <w:sz w:val="32"/>
        </w:rPr>
        <w:t>完成了村居换届选举前期准备，第一时间召开党工委会分析研判现任村居支部书记以及两委干部队伍结构现状，目前，已经拟定了换届选举书记后备人选，12月9日前完成班子考察和摸底工作。</w:t>
      </w:r>
      <w:r>
        <w:rPr>
          <w:rFonts w:hint="eastAsia" w:ascii="仿宋_GB2312" w:hAnsi="仿宋_GB2312" w:eastAsia="仿宋_GB2312" w:cs="仿宋_GB2312"/>
          <w:b/>
          <w:bCs/>
          <w:sz w:val="32"/>
        </w:rPr>
        <w:t>二</w:t>
      </w:r>
      <w:r>
        <w:rPr>
          <w:rFonts w:hint="eastAsia" w:ascii="仿宋" w:hAnsi="仿宋" w:eastAsia="仿宋" w:cs="仿宋"/>
          <w:b/>
          <w:bCs/>
          <w:sz w:val="32"/>
          <w:szCs w:val="32"/>
        </w:rPr>
        <w:t>、廉政建设不断加强。</w:t>
      </w:r>
      <w:r>
        <w:rPr>
          <w:rFonts w:hint="eastAsia" w:ascii="仿宋_GB2312" w:hAnsi="仿宋_GB2312" w:eastAsia="仿宋_GB2312" w:cs="仿宋_GB2312"/>
          <w:sz w:val="32"/>
          <w:szCs w:val="32"/>
        </w:rPr>
        <w:t>一是坚持专题学习部署。</w:t>
      </w:r>
      <w:r>
        <w:rPr>
          <w:rFonts w:hint="eastAsia" w:ascii="仿宋" w:hAnsi="仿宋" w:eastAsia="仿宋" w:cs="仿宋"/>
          <w:sz w:val="32"/>
          <w:szCs w:val="32"/>
        </w:rPr>
        <w:t>党工委专题学习</w:t>
      </w:r>
      <w:r>
        <w:rPr>
          <w:rFonts w:hint="eastAsia" w:ascii="仿宋_GB2312" w:hAnsi="仿宋_GB2312" w:eastAsia="仿宋_GB2312" w:cs="仿宋_GB2312"/>
          <w:sz w:val="32"/>
          <w:szCs w:val="32"/>
        </w:rPr>
        <w:t>廉政教育3次，全体干部廉政专题教育8次。二是认真履行监督职责。开展护航脱贫攻坚专项督导11次，通报3次，营商环境专项整治行动1次，对腐败和作风突出问题线索进行了全面梳理，查改问题均已整治到位。三是扎实推进审查监察。今年总共17件在办案件，已办理办结11件，剩余6件为酒驾案件，将会在今年内尽快办理完结。</w:t>
      </w:r>
      <w:r>
        <w:rPr>
          <w:rFonts w:hint="eastAsia" w:ascii="仿宋_GB2312" w:hAnsi="仿宋_GB2312" w:eastAsia="仿宋_GB2312" w:cs="仿宋_GB2312"/>
          <w:b/>
          <w:bCs/>
          <w:sz w:val="32"/>
        </w:rPr>
        <w:t>三、党管武装不断深化。</w:t>
      </w:r>
      <w:r>
        <w:rPr>
          <w:rFonts w:hint="eastAsia" w:ascii="仿宋" w:hAnsi="仿宋" w:eastAsia="仿宋" w:cs="仿宋"/>
          <w:sz w:val="32"/>
          <w:szCs w:val="32"/>
        </w:rPr>
        <w:t>认真履行党管武装职责，发挥党管武装作用。圆满完成民兵整组工作，共编组基干民兵93人，完善了基干民兵“一人一档”；输送合格兵员11人，实现“0”退兵；完善武装阵地星级达标建设和退役军人服务站规范化建设，重视民兵、退役军人政治教育工作，组织开展训练和技能培训，提高参与经济建设和练兵备战能力。</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(五)抓稳定促和谐，基层治理不断优化</w:t>
      </w:r>
    </w:p>
    <w:p>
      <w:pPr>
        <w:pStyle w:val="2"/>
        <w:adjustRightInd w:val="0"/>
        <w:snapToGrid w:val="0"/>
        <w:spacing w:line="580" w:lineRule="exact"/>
        <w:ind w:firstLine="643" w:firstLineChars="200"/>
        <w:rPr>
          <w:rFonts w:ascii="仿宋_GB2312" w:hAnsi="仿宋_GB2312" w:eastAsia="仿宋_GB2312" w:cs="仿宋_GB2312"/>
          <w:b w:val="0"/>
          <w:bCs w:val="0"/>
          <w:sz w:val="32"/>
        </w:rPr>
      </w:pPr>
      <w:r>
        <w:rPr>
          <w:rFonts w:hint="eastAsia" w:ascii="仿宋" w:hAnsi="仿宋" w:eastAsia="仿宋" w:cs="仿宋"/>
          <w:bCs w:val="0"/>
          <w:sz w:val="32"/>
        </w:rPr>
        <w:t>一是保平安促社会稳定。</w:t>
      </w:r>
      <w:r>
        <w:rPr>
          <w:rFonts w:hint="eastAsia" w:ascii="仿宋_GB2312" w:hAnsi="仿宋_GB2312" w:eastAsia="仿宋_GB2312" w:cs="仿宋_GB2312"/>
          <w:b w:val="0"/>
          <w:bCs w:val="0"/>
          <w:sz w:val="32"/>
        </w:rPr>
        <w:t>特护期间，严格落实领导值班接访制度，做到群众随到随接，随接随处理；加大矛盾化解力度，全年共排查解决矛盾纠纷238起，解答法律咨询近百人。接待群众来信来访共计159起，已办结145起；扫黑除恶全年共计摸排线索20件，均已交办；平安创建以“三个平安”“六个不发生”为标准的平安家庭评选活动，让平安创建的理念深入人心。</w:t>
      </w:r>
      <w:r>
        <w:rPr>
          <w:rFonts w:hint="eastAsia" w:ascii="仿宋" w:hAnsi="仿宋" w:eastAsia="仿宋" w:cs="仿宋"/>
          <w:bCs w:val="0"/>
          <w:sz w:val="32"/>
        </w:rPr>
        <w:t>二是抓安全除各类隐患。</w:t>
      </w:r>
      <w:r>
        <w:rPr>
          <w:rFonts w:hint="eastAsia" w:ascii="仿宋_GB2312" w:hAnsi="仿宋_GB2312" w:eastAsia="仿宋_GB2312" w:cs="仿宋_GB2312"/>
          <w:b w:val="0"/>
          <w:bCs w:val="0"/>
          <w:sz w:val="32"/>
        </w:rPr>
        <w:t>以争创安全生产示范镇街为契机，今年共张贴标语500多条，出动宣传车5次，发放宣传资料8万余册，进一步提高全民的安全生产意识；加强隐患排查，多次开展消防、安全生产隐患大排查，全年共发现隐患216处，整改隐患215处，整改率99%；强化专项整治，今年共开展安全生产专项整治6次，道路交通整治5次，落实自查自改隐患整改86处，设置标识标牌50余块，安装减速带19条，基本上消除了交通安全隐患。</w:t>
      </w:r>
      <w:r>
        <w:rPr>
          <w:rFonts w:hint="eastAsia" w:ascii="仿宋" w:hAnsi="仿宋" w:eastAsia="仿宋" w:cs="仿宋"/>
          <w:bCs w:val="0"/>
          <w:sz w:val="32"/>
        </w:rPr>
        <w:t>三是普法律排群众纠纷。</w:t>
      </w:r>
      <w:r>
        <w:rPr>
          <w:rFonts w:hint="eastAsia" w:ascii="仿宋_GB2312" w:hAnsi="仿宋_GB2312" w:eastAsia="仿宋_GB2312" w:cs="仿宋_GB2312"/>
          <w:b w:val="0"/>
          <w:bCs w:val="0"/>
          <w:sz w:val="32"/>
        </w:rPr>
        <w:t>普法送法工作采取线上和线下相结合的方式。一是线上。通过“村村响”广播、微信群等向广大群众进行《传染病防治法》《保障农民工工资支付条例》等相关法律知识的宣传。二是线下阵地。开设法治专栏23个，展宣《社区矫正法》等法律知识和成果。三是利用入户走访面对面宣讲并发放资料，今年共发放法律宣传资料3000余份；对矛盾纠纷开展“拉网式”排查，聚焦重点领域、重点场所，确保第一时间掌握情况，全年共调解案件256件，全面落实“以奖代补”。</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(六)强保障增福祉，民生工程落实落细</w:t>
      </w:r>
    </w:p>
    <w:p>
      <w:pPr>
        <w:pStyle w:val="2"/>
        <w:adjustRightInd w:val="0"/>
        <w:snapToGrid w:val="0"/>
        <w:spacing w:line="580" w:lineRule="exact"/>
        <w:ind w:firstLine="643" w:firstLineChars="200"/>
        <w:rPr>
          <w:rFonts w:ascii="仿宋" w:hAnsi="仿宋" w:eastAsia="仿宋" w:cs="华文中宋"/>
          <w:b w:val="0"/>
          <w:bCs w:val="0"/>
          <w:sz w:val="32"/>
        </w:rPr>
      </w:pPr>
      <w:r>
        <w:rPr>
          <w:rFonts w:hint="eastAsia" w:ascii="仿宋" w:hAnsi="仿宋" w:eastAsia="仿宋" w:cs="仿宋"/>
          <w:bCs w:val="0"/>
          <w:sz w:val="32"/>
        </w:rPr>
        <w:t>一是关心扶持弱势群体。</w:t>
      </w:r>
      <w:r>
        <w:rPr>
          <w:rFonts w:hint="eastAsia" w:ascii="仿宋" w:hAnsi="仿宋" w:eastAsia="仿宋" w:cs="华文中宋"/>
          <w:b w:val="0"/>
          <w:bCs w:val="0"/>
          <w:sz w:val="32"/>
        </w:rPr>
        <w:t>居民低保应保尽保，全年城镇居民低保救助共8820人次，共计发放救助金352.8万元，农村低保共计发放81.048万元，经常性临时救助1000多人，累计发放144万；助残工作服务到位，共计发放719人次共81.48万残疾人两项补贴。关心老年群体，为141位高龄老人共计发放补贴15.78万元；关爱困境儿童，为街道11名困境儿童送去了5500元节日祝福和慰问金，12月份为农村留守儿童发放了52件棉袄。</w:t>
      </w:r>
      <w:r>
        <w:rPr>
          <w:rFonts w:hint="eastAsia" w:ascii="仿宋" w:hAnsi="仿宋" w:eastAsia="仿宋" w:cs="仿宋"/>
          <w:bCs w:val="0"/>
          <w:sz w:val="32"/>
        </w:rPr>
        <w:t>二是大力保障就业养老。</w:t>
      </w:r>
      <w:r>
        <w:rPr>
          <w:rFonts w:hint="eastAsia" w:ascii="仿宋" w:hAnsi="仿宋" w:eastAsia="仿宋" w:cs="华文中宋"/>
          <w:b w:val="0"/>
          <w:bCs w:val="0"/>
          <w:sz w:val="32"/>
        </w:rPr>
        <w:t>全年</w:t>
      </w:r>
      <w:r>
        <w:rPr>
          <w:rFonts w:ascii="仿宋" w:hAnsi="仿宋" w:eastAsia="仿宋" w:cs="华文中宋"/>
          <w:b w:val="0"/>
          <w:bCs w:val="0"/>
          <w:sz w:val="32"/>
        </w:rPr>
        <w:t>新增就业岗位</w:t>
      </w:r>
      <w:r>
        <w:rPr>
          <w:rFonts w:hint="eastAsia" w:ascii="仿宋" w:hAnsi="仿宋" w:eastAsia="仿宋" w:cs="华文中宋"/>
          <w:b w:val="0"/>
          <w:bCs w:val="0"/>
          <w:sz w:val="32"/>
        </w:rPr>
        <w:t>350</w:t>
      </w:r>
      <w:r>
        <w:rPr>
          <w:rFonts w:ascii="仿宋" w:hAnsi="仿宋" w:eastAsia="仿宋" w:cs="华文中宋"/>
          <w:b w:val="0"/>
          <w:bCs w:val="0"/>
          <w:sz w:val="32"/>
        </w:rPr>
        <w:t>个，办理就业失业登记证</w:t>
      </w:r>
      <w:r>
        <w:rPr>
          <w:rFonts w:hint="eastAsia" w:ascii="仿宋" w:hAnsi="仿宋" w:eastAsia="仿宋" w:cs="华文中宋"/>
          <w:b w:val="0"/>
          <w:bCs w:val="0"/>
          <w:sz w:val="32"/>
        </w:rPr>
        <w:t>529</w:t>
      </w:r>
      <w:r>
        <w:rPr>
          <w:rFonts w:ascii="仿宋" w:hAnsi="仿宋" w:eastAsia="仿宋" w:cs="华文中宋"/>
          <w:b w:val="0"/>
          <w:bCs w:val="0"/>
          <w:sz w:val="32"/>
        </w:rPr>
        <w:t>人</w:t>
      </w:r>
      <w:r>
        <w:rPr>
          <w:rFonts w:hint="eastAsia" w:ascii="仿宋" w:hAnsi="仿宋" w:eastAsia="仿宋" w:cs="华文中宋"/>
          <w:b w:val="0"/>
          <w:bCs w:val="0"/>
          <w:sz w:val="32"/>
        </w:rPr>
        <w:t>,为67名贫困劳动力发放外出交通补贴19500元,开办了3个职业技能培训班共计150人；</w:t>
      </w:r>
      <w:r>
        <w:rPr>
          <w:rFonts w:ascii="仿宋" w:hAnsi="仿宋" w:eastAsia="仿宋" w:cs="华文中宋"/>
          <w:b w:val="0"/>
          <w:bCs w:val="0"/>
          <w:sz w:val="32"/>
        </w:rPr>
        <w:t>新型农村和城镇居民养老保险共有10</w:t>
      </w:r>
      <w:r>
        <w:rPr>
          <w:rFonts w:hint="eastAsia" w:ascii="仿宋" w:hAnsi="仿宋" w:eastAsia="仿宋" w:cs="华文中宋"/>
          <w:b w:val="0"/>
          <w:bCs w:val="0"/>
          <w:sz w:val="32"/>
        </w:rPr>
        <w:t>381</w:t>
      </w:r>
      <w:r>
        <w:rPr>
          <w:rFonts w:ascii="仿宋" w:hAnsi="仿宋" w:eastAsia="仿宋" w:cs="华文中宋"/>
          <w:b w:val="0"/>
          <w:bCs w:val="0"/>
          <w:sz w:val="32"/>
        </w:rPr>
        <w:t>人参保，基本实现了“全覆盖”</w:t>
      </w:r>
      <w:r>
        <w:rPr>
          <w:rFonts w:hint="eastAsia" w:ascii="仿宋" w:hAnsi="仿宋" w:eastAsia="仿宋" w:cs="华文中宋"/>
          <w:b w:val="0"/>
          <w:bCs w:val="0"/>
          <w:sz w:val="32"/>
        </w:rPr>
        <w:t>。</w:t>
      </w:r>
      <w:r>
        <w:rPr>
          <w:rFonts w:ascii="仿宋" w:hAnsi="仿宋" w:eastAsia="仿宋" w:cs="华文中宋"/>
          <w:b w:val="0"/>
          <w:bCs w:val="0"/>
          <w:sz w:val="32"/>
        </w:rPr>
        <w:t>续保工作有序进行，截止</w:t>
      </w:r>
      <w:r>
        <w:rPr>
          <w:rFonts w:hint="eastAsia" w:ascii="仿宋" w:hAnsi="仿宋" w:eastAsia="仿宋" w:cs="华文中宋"/>
          <w:b w:val="0"/>
          <w:bCs w:val="0"/>
          <w:sz w:val="32"/>
        </w:rPr>
        <w:t>12</w:t>
      </w:r>
      <w:r>
        <w:rPr>
          <w:rFonts w:ascii="仿宋" w:hAnsi="仿宋" w:eastAsia="仿宋" w:cs="华文中宋"/>
          <w:b w:val="0"/>
          <w:bCs w:val="0"/>
          <w:sz w:val="32"/>
        </w:rPr>
        <w:t>月续保缴费</w:t>
      </w:r>
      <w:r>
        <w:rPr>
          <w:rFonts w:hint="eastAsia" w:ascii="仿宋" w:hAnsi="仿宋" w:eastAsia="仿宋" w:cs="华文中宋"/>
          <w:b w:val="0"/>
          <w:bCs w:val="0"/>
          <w:sz w:val="32"/>
        </w:rPr>
        <w:t>5512人，851500元。</w:t>
      </w:r>
      <w:r>
        <w:rPr>
          <w:rFonts w:hint="eastAsia" w:ascii="仿宋" w:hAnsi="仿宋" w:eastAsia="仿宋" w:cs="仿宋"/>
          <w:bCs w:val="0"/>
          <w:sz w:val="32"/>
        </w:rPr>
        <w:t>三是文体活动丰富多样。</w:t>
      </w:r>
      <w:r>
        <w:rPr>
          <w:rFonts w:hint="eastAsia" w:ascii="仿宋" w:hAnsi="仿宋" w:eastAsia="仿宋" w:cs="华文中宋"/>
          <w:b w:val="0"/>
          <w:bCs w:val="0"/>
          <w:sz w:val="32"/>
        </w:rPr>
        <w:t>积极组织县歌剧团下基层开展“送戏、电影下乡活动”，为老百姓送去了免费的精神大餐，得到群众一致好评；街道积极组织参加县全民健身运动会，党政领导带领机关、村居干部200余人参加了10个项目的比赛，最终取得了全县第三名的好成绩;添置了近十万元的各种文化阅览设备。更好的让澧西群众真正的享受国家“免费开放、农家书屋”的好政策。</w:t>
      </w:r>
    </w:p>
    <w:p>
      <w:pPr>
        <w:spacing w:line="560" w:lineRule="exact"/>
        <w:rPr>
          <w:rFonts w:ascii="仿宋" w:hAnsi="仿宋" w:eastAsia="仿宋" w:cs="宋体"/>
          <w:b/>
          <w:bCs/>
          <w:kern w:val="0"/>
          <w:sz w:val="32"/>
          <w:szCs w:val="32"/>
        </w:rPr>
      </w:pPr>
    </w:p>
    <w:p>
      <w:pPr>
        <w:spacing w:line="560" w:lineRule="exact"/>
        <w:ind w:firstLine="2249" w:firstLineChars="700"/>
        <w:rPr>
          <w:rFonts w:ascii="仿宋" w:hAnsi="仿宋" w:eastAsia="仿宋" w:cs="宋体"/>
          <w:b/>
          <w:bCs/>
          <w:kern w:val="0"/>
          <w:sz w:val="32"/>
          <w:szCs w:val="32"/>
        </w:rPr>
      </w:pPr>
    </w:p>
    <w:p>
      <w:pPr>
        <w:spacing w:line="560" w:lineRule="exact"/>
        <w:ind w:firstLine="2249" w:firstLineChars="700"/>
        <w:rPr>
          <w:rFonts w:ascii="仿宋" w:hAnsi="仿宋" w:eastAsia="仿宋" w:cs="宋体"/>
          <w:b/>
          <w:bCs/>
          <w:kern w:val="0"/>
          <w:sz w:val="32"/>
          <w:szCs w:val="32"/>
        </w:rPr>
      </w:pPr>
    </w:p>
    <w:p>
      <w:pPr>
        <w:spacing w:line="560" w:lineRule="exact"/>
        <w:ind w:firstLine="2249" w:firstLineChars="700"/>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3"/>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p>
          <w:p>
            <w:pPr>
              <w:widowControl/>
              <w:spacing w:line="300" w:lineRule="exact"/>
              <w:jc w:val="left"/>
              <w:rPr>
                <w:rFonts w:ascii="宋体" w:hAnsi="宋体"/>
                <w:kern w:val="0"/>
                <w:sz w:val="24"/>
                <w:szCs w:val="24"/>
              </w:rPr>
            </w:pP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p>
          <w:p>
            <w:pPr>
              <w:widowControl/>
              <w:spacing w:line="300" w:lineRule="exact"/>
              <w:jc w:val="left"/>
              <w:rPr>
                <w:rFonts w:ascii="宋体" w:hAnsi="宋体"/>
                <w:kern w:val="0"/>
                <w:sz w:val="24"/>
                <w:szCs w:val="24"/>
              </w:rPr>
            </w:pP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88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ind w:left="359" w:leftChars="171"/>
              <w:rPr>
                <w:rFonts w:ascii="宋体" w:hAnsi="宋体" w:cs="宋体"/>
                <w:kern w:val="0"/>
                <w:sz w:val="24"/>
                <w:szCs w:val="24"/>
              </w:rPr>
            </w:pPr>
          </w:p>
          <w:p>
            <w:pPr>
              <w:widowControl/>
              <w:spacing w:line="280" w:lineRule="exac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hAnsi="宋体"/>
                <w:kern w:val="0"/>
                <w:sz w:val="24"/>
                <w:szCs w:val="24"/>
              </w:rPr>
            </w:pP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280" w:lineRule="exact"/>
              <w:jc w:val="left"/>
              <w:rPr>
                <w:rFonts w:ascii="宋体" w:hAnsi="宋体"/>
                <w:kern w:val="0"/>
                <w:sz w:val="24"/>
                <w:szCs w:val="24"/>
              </w:rPr>
            </w:pP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p>
          <w:p>
            <w:pPr>
              <w:widowControl/>
              <w:spacing w:line="280" w:lineRule="exact"/>
              <w:jc w:val="left"/>
              <w:rPr>
                <w:rFonts w:ascii="宋体"/>
                <w:kern w:val="0"/>
                <w:sz w:val="24"/>
                <w:szCs w:val="24"/>
              </w:rPr>
            </w:pP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85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218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trHeight w:val="140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kern w:val="0"/>
                <w:sz w:val="24"/>
                <w:szCs w:val="24"/>
              </w:rPr>
            </w:pP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93</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495"/>
          <w:tab w:val="left" w:pos="4791"/>
          <w:tab w:val="left" w:pos="5951"/>
          <w:tab w:val="left" w:pos="7071"/>
          <w:tab w:val="left" w:pos="7710"/>
          <w:tab w:val="left" w:pos="8955"/>
        </w:tabs>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澧县人民政府澧西街道办事处</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3"/>
        <w:tblW w:w="10339" w:type="dxa"/>
        <w:jc w:val="center"/>
        <w:tblLayout w:type="fixed"/>
        <w:tblCellMar>
          <w:top w:w="0" w:type="dxa"/>
          <w:left w:w="108" w:type="dxa"/>
          <w:bottom w:w="0" w:type="dxa"/>
          <w:right w:w="108" w:type="dxa"/>
        </w:tblCellMar>
      </w:tblPr>
      <w:tblGrid>
        <w:gridCol w:w="3550"/>
        <w:gridCol w:w="2360"/>
        <w:gridCol w:w="2595"/>
        <w:gridCol w:w="183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417" w:hRule="atLeast"/>
          <w:jc w:val="center"/>
        </w:trPr>
        <w:tc>
          <w:tcPr>
            <w:tcW w:w="3550" w:type="dxa"/>
            <w:vMerge w:val="continue"/>
            <w:tcBorders>
              <w:left w:val="single" w:color="auto" w:sz="4" w:space="0"/>
              <w:right w:val="single" w:color="auto" w:sz="4" w:space="0"/>
            </w:tcBorders>
            <w:vAlign w:val="center"/>
          </w:tcPr>
          <w:p>
            <w:pPr>
              <w:widowControl/>
              <w:jc w:val="center"/>
            </w:pPr>
          </w:p>
          <w:p>
            <w:pPr>
              <w:pStyle w:val="2"/>
            </w:pP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63</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61</w:t>
            </w:r>
          </w:p>
        </w:tc>
        <w:tc>
          <w:tcPr>
            <w:tcW w:w="18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96.8%</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198.3</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226.2</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226.2</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136.1</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126</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18.5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18.5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spacing w:line="560" w:lineRule="exact"/>
        <w:ind w:firstLine="1793" w:firstLineChars="496"/>
        <w:rPr>
          <w:rFonts w:asciiTheme="majorEastAsia" w:hAnsiTheme="majorEastAsia" w:eastAsiaTheme="majorEastAsia" w:cstheme="majorEastAsia"/>
          <w:b/>
          <w:bCs/>
          <w:kern w:val="0"/>
          <w:sz w:val="36"/>
          <w:szCs w:val="36"/>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altName w:val="宋体"/>
    <w:panose1 w:val="00000000000000000000"/>
    <w:charset w:val="86"/>
    <w:family w:val="auto"/>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12</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mMjM3NDE1MzVjM2FlYjcxMzNkNjYxOTRmYjFjODIifQ=="/>
  </w:docVars>
  <w:rsids>
    <w:rsidRoot w:val="007974AB"/>
    <w:rsid w:val="0000298E"/>
    <w:rsid w:val="00002AE4"/>
    <w:rsid w:val="0002235E"/>
    <w:rsid w:val="0003050A"/>
    <w:rsid w:val="00031747"/>
    <w:rsid w:val="0003456A"/>
    <w:rsid w:val="00037035"/>
    <w:rsid w:val="000416FB"/>
    <w:rsid w:val="000469BA"/>
    <w:rsid w:val="000516DC"/>
    <w:rsid w:val="00051DA6"/>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41D4"/>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096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67C"/>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483D"/>
    <w:rsid w:val="004B09F8"/>
    <w:rsid w:val="004B154B"/>
    <w:rsid w:val="004B4B8D"/>
    <w:rsid w:val="004C10B1"/>
    <w:rsid w:val="004C2AEE"/>
    <w:rsid w:val="004D5F90"/>
    <w:rsid w:val="004E0E7F"/>
    <w:rsid w:val="004E1AF5"/>
    <w:rsid w:val="004E2593"/>
    <w:rsid w:val="004E394D"/>
    <w:rsid w:val="004E6235"/>
    <w:rsid w:val="004E6E44"/>
    <w:rsid w:val="004F40BB"/>
    <w:rsid w:val="004F4E0C"/>
    <w:rsid w:val="004F53C1"/>
    <w:rsid w:val="00500075"/>
    <w:rsid w:val="00503CDE"/>
    <w:rsid w:val="00505F55"/>
    <w:rsid w:val="00507BC7"/>
    <w:rsid w:val="00510B86"/>
    <w:rsid w:val="0051464E"/>
    <w:rsid w:val="00514E72"/>
    <w:rsid w:val="00536A21"/>
    <w:rsid w:val="005377C3"/>
    <w:rsid w:val="005421E4"/>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117"/>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01D0"/>
    <w:rsid w:val="006F1419"/>
    <w:rsid w:val="006F3485"/>
    <w:rsid w:val="00700CD4"/>
    <w:rsid w:val="00701DF4"/>
    <w:rsid w:val="00702069"/>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1F3"/>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37CB6"/>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324"/>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25CE"/>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A3397"/>
    <w:rsid w:val="00AB11DB"/>
    <w:rsid w:val="00AC2C79"/>
    <w:rsid w:val="00AC3596"/>
    <w:rsid w:val="00AC5189"/>
    <w:rsid w:val="00AD0292"/>
    <w:rsid w:val="00AD09F4"/>
    <w:rsid w:val="00AD797A"/>
    <w:rsid w:val="00AE0BC2"/>
    <w:rsid w:val="00AE2DA1"/>
    <w:rsid w:val="00AE4204"/>
    <w:rsid w:val="00AE777B"/>
    <w:rsid w:val="00AF02BC"/>
    <w:rsid w:val="00AF1354"/>
    <w:rsid w:val="00B04987"/>
    <w:rsid w:val="00B0551B"/>
    <w:rsid w:val="00B067B2"/>
    <w:rsid w:val="00B07A1C"/>
    <w:rsid w:val="00B12151"/>
    <w:rsid w:val="00B13B33"/>
    <w:rsid w:val="00B13F7B"/>
    <w:rsid w:val="00B15F5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1EA3"/>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59D4"/>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58E2"/>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B5B5A73"/>
    <w:rsid w:val="12100893"/>
    <w:rsid w:val="17203872"/>
    <w:rsid w:val="20C51591"/>
    <w:rsid w:val="234468C6"/>
    <w:rsid w:val="2CDB448C"/>
    <w:rsid w:val="310B4B57"/>
    <w:rsid w:val="325B4596"/>
    <w:rsid w:val="3B1C521F"/>
    <w:rsid w:val="40AC2628"/>
    <w:rsid w:val="57E714CD"/>
    <w:rsid w:val="5B666AC9"/>
    <w:rsid w:val="5E264E51"/>
    <w:rsid w:val="64CC7F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jc w:val="left"/>
      <w:outlineLvl w:val="2"/>
    </w:pPr>
    <w:rPr>
      <w:rFonts w:ascii="Tw Cen MT" w:hAnsi="Tw Cen MT" w:eastAsia="华文仿宋" w:cs="黑体"/>
      <w:b/>
      <w:bCs/>
      <w:szCs w:val="32"/>
    </w:rPr>
  </w:style>
  <w:style w:type="paragraph" w:styleId="9">
    <w:name w:val="HTML Address"/>
    <w:basedOn w:val="1"/>
    <w:link w:val="26"/>
    <w:semiHidden/>
    <w:qFormat/>
    <w:uiPriority w:val="99"/>
    <w:pPr>
      <w:widowControl/>
      <w:jc w:val="left"/>
    </w:pPr>
    <w:rPr>
      <w:rFonts w:ascii="宋体" w:hAnsi="宋体" w:cs="宋体"/>
      <w:kern w:val="0"/>
      <w:sz w:val="24"/>
      <w:szCs w:val="24"/>
    </w:rPr>
  </w:style>
  <w:style w:type="paragraph" w:styleId="10">
    <w:name w:val="footer"/>
    <w:basedOn w:val="1"/>
    <w:link w:val="125"/>
    <w:qFormat/>
    <w:uiPriority w:val="99"/>
    <w:pPr>
      <w:tabs>
        <w:tab w:val="center" w:pos="4153"/>
        <w:tab w:val="right" w:pos="8306"/>
      </w:tabs>
      <w:snapToGrid w:val="0"/>
      <w:jc w:val="left"/>
    </w:pPr>
    <w:rPr>
      <w:sz w:val="18"/>
      <w:szCs w:val="18"/>
    </w:rPr>
  </w:style>
  <w:style w:type="paragraph" w:styleId="11">
    <w:name w:val="header"/>
    <w:basedOn w:val="1"/>
    <w:link w:val="124"/>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uiPriority w:val="99"/>
    <w:rPr>
      <w:rFonts w:cs="Times New Roman"/>
    </w:rPr>
  </w:style>
  <w:style w:type="character" w:customStyle="1" w:styleId="20">
    <w:name w:val="标题 1 Char"/>
    <w:basedOn w:val="14"/>
    <w:link w:val="3"/>
    <w:qFormat/>
    <w:locked/>
    <w:uiPriority w:val="99"/>
    <w:rPr>
      <w:rFonts w:ascii="宋体" w:hAnsi="宋体" w:eastAsia="宋体" w:cs="宋体"/>
      <w:kern w:val="36"/>
      <w:sz w:val="48"/>
      <w:szCs w:val="48"/>
    </w:rPr>
  </w:style>
  <w:style w:type="character" w:customStyle="1" w:styleId="21">
    <w:name w:val="标题 2 Char"/>
    <w:basedOn w:val="14"/>
    <w:link w:val="4"/>
    <w:locked/>
    <w:uiPriority w:val="99"/>
    <w:rPr>
      <w:rFonts w:ascii="宋体" w:hAnsi="宋体" w:eastAsia="宋体" w:cs="宋体"/>
      <w:kern w:val="0"/>
      <w:sz w:val="36"/>
      <w:szCs w:val="36"/>
    </w:rPr>
  </w:style>
  <w:style w:type="character" w:customStyle="1" w:styleId="22">
    <w:name w:val="标题 3 Char"/>
    <w:basedOn w:val="14"/>
    <w:link w:val="5"/>
    <w:locked/>
    <w:uiPriority w:val="99"/>
    <w:rPr>
      <w:rFonts w:ascii="宋体" w:hAnsi="宋体" w:eastAsia="宋体" w:cs="宋体"/>
      <w:kern w:val="0"/>
      <w:sz w:val="27"/>
      <w:szCs w:val="27"/>
    </w:rPr>
  </w:style>
  <w:style w:type="character" w:customStyle="1" w:styleId="23">
    <w:name w:val="标题 4 Char"/>
    <w:basedOn w:val="14"/>
    <w:link w:val="6"/>
    <w:qFormat/>
    <w:locked/>
    <w:uiPriority w:val="99"/>
    <w:rPr>
      <w:rFonts w:ascii="宋体" w:hAnsi="宋体" w:eastAsia="宋体" w:cs="宋体"/>
      <w:kern w:val="0"/>
      <w:sz w:val="24"/>
      <w:szCs w:val="24"/>
    </w:rPr>
  </w:style>
  <w:style w:type="character" w:customStyle="1" w:styleId="24">
    <w:name w:val="标题 5 Char"/>
    <w:basedOn w:val="14"/>
    <w:link w:val="7"/>
    <w:qFormat/>
    <w:locked/>
    <w:uiPriority w:val="99"/>
    <w:rPr>
      <w:rFonts w:ascii="宋体" w:hAnsi="宋体" w:eastAsia="宋体" w:cs="宋体"/>
      <w:kern w:val="0"/>
      <w:sz w:val="20"/>
      <w:szCs w:val="20"/>
    </w:rPr>
  </w:style>
  <w:style w:type="character" w:customStyle="1" w:styleId="25">
    <w:name w:val="标题 6 Char"/>
    <w:basedOn w:val="14"/>
    <w:link w:val="8"/>
    <w:qFormat/>
    <w:locked/>
    <w:uiPriority w:val="99"/>
    <w:rPr>
      <w:rFonts w:ascii="宋体" w:hAnsi="宋体" w:eastAsia="宋体" w:cs="宋体"/>
      <w:kern w:val="0"/>
      <w:sz w:val="15"/>
      <w:szCs w:val="15"/>
    </w:rPr>
  </w:style>
  <w:style w:type="character" w:customStyle="1" w:styleId="26">
    <w:name w:val="HTML 地址 Char"/>
    <w:basedOn w:val="14"/>
    <w:link w:val="9"/>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uiPriority w:val="99"/>
    <w:pPr>
      <w:widowControl/>
      <w:spacing w:line="660" w:lineRule="atLeast"/>
      <w:jc w:val="left"/>
    </w:pPr>
    <w:rPr>
      <w:rFonts w:ascii="宋体" w:hAnsi="宋体" w:cs="宋体"/>
      <w:kern w:val="0"/>
      <w:sz w:val="24"/>
      <w:szCs w:val="24"/>
    </w:rPr>
  </w:style>
  <w:style w:type="paragraph" w:customStyle="1" w:styleId="107">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qFormat/>
    <w:uiPriority w:val="99"/>
    <w:rPr>
      <w:rFonts w:cs="Times New Roman"/>
      <w:shd w:val="clear" w:color="auto" w:fill="auto"/>
    </w:rPr>
  </w:style>
  <w:style w:type="paragraph" w:customStyle="1" w:styleId="121">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1"/>
    <w:semiHidden/>
    <w:qFormat/>
    <w:locked/>
    <w:uiPriority w:val="99"/>
    <w:rPr>
      <w:rFonts w:cs="Times New Roman"/>
      <w:sz w:val="18"/>
      <w:szCs w:val="18"/>
    </w:rPr>
  </w:style>
  <w:style w:type="character" w:customStyle="1" w:styleId="125">
    <w:name w:val="页脚 Char"/>
    <w:basedOn w:val="14"/>
    <w:link w:val="10"/>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7055</Words>
  <Characters>902</Characters>
  <Lines>7</Lines>
  <Paragraphs>15</Paragraphs>
  <TotalTime>46</TotalTime>
  <ScaleCrop>false</ScaleCrop>
  <LinksUpToDate>false</LinksUpToDate>
  <CharactersWithSpaces>7942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Administrator</cp:lastModifiedBy>
  <cp:lastPrinted>2020-10-15T05:26:00Z</cp:lastPrinted>
  <dcterms:modified xsi:type="dcterms:W3CDTF">2024-12-11T00:43:21Z</dcterms:modified>
  <dc:title>2014年度常德市社会劳动保险处</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C1583833807849328057329F49E91D50</vt:lpwstr>
  </property>
</Properties>
</file>