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澧县梦溪镇人民政府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2021年度</w:t>
      </w:r>
      <w:r>
        <w:rPr>
          <w:rFonts w:hint="eastAsia" w:ascii="黑体" w:hAnsi="黑体" w:eastAsia="黑体" w:cs="黑体"/>
          <w:bCs/>
          <w:sz w:val="44"/>
          <w:szCs w:val="44"/>
        </w:rPr>
        <w:t>整体绩效和重点项目绩效评价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报</w:t>
      </w:r>
      <w:r>
        <w:rPr>
          <w:rFonts w:hint="eastAsia" w:ascii="黑体" w:hAnsi="黑体" w:eastAsia="黑体" w:cs="黑体"/>
          <w:bCs/>
          <w:sz w:val="44"/>
          <w:szCs w:val="44"/>
        </w:rPr>
        <w:t>告</w:t>
      </w:r>
    </w:p>
    <w:p>
      <w:pPr>
        <w:pStyle w:val="4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YS060101"/>
      <w:r>
        <w:rPr>
          <w:rFonts w:hint="eastAsia" w:ascii="黑体" w:hAnsi="黑体" w:eastAsia="黑体"/>
          <w:sz w:val="32"/>
          <w:szCs w:val="32"/>
        </w:rPr>
        <w:t>一、单位情况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加强党的建设。落实基层党建工作责任制，统筹全镇村（社区）区域化党建，加强非公有制经济组织和社会组织党建工作，实现党的组织和工作全覆盖。加强意识形态阵地及队伍建设。不断提高党的建设质量，落实管党治党责任，推动全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从严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治党向基层延伸。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（2）统筹区域发展。参与拟订县级关于辖区发展的重大决策和建设规划并统筹落实，负责促进辖区经济建设，承担优化发展环境、采集企业信息、服务辖区企业、促进项目发展等工作。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3）组织公共服务。组织实施与村（居）民生活密切相关的各项公共服务事项，落实人力资源社会保障、民政、教育、科技、文化、体育、卫生健康、退役军人事务、村（居）民小区物业管理等领域相关法规政策。动员辖区内各类单位、社会组织、村（居）民等社会力量参与社会治理，为全镇发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（4）实施公共管理。负责辖区内生态环境保护、城镇管理、控违拆违、征地拆迁等综合性管理工作。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（5）维护公共安全。承担辖区内社会治安综合治理、平安建设、应急管理等有关工作，接待群众来信来访，反映社情民意，化解矛盾纠纷等。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（6）监督执法管理。对辖区内各类行政执法工作进行统筹协调，组织开展群众监督和社会监督。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（7）保障居民自治。指导村（居）委员会建设，健全村（居）民自治平台，组织村（居）民参与村（社区）建设、管理。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机构情况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年《澧县机构改革实施方案》文件精神，对镇机构统一设置如下：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（1）对镇党政内设机构统一设置为6个。即党政办公室、党建办公室、经济发展办公室、社会事务办公室、自然资源和生态环境办公室、社会治安和应急管理办公室。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（2）统一设置1个执法机构。综合行政执法队。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（3）统一设置事业单位6个。即农业和农村经营管理服务站、水利管理站、民政和社会保障站、综合文化站、安全生产监督管理站、退役军人服务站。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年，我镇行政编制人数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" w:eastAsia="仿宋_GB2312"/>
          <w:sz w:val="32"/>
          <w:szCs w:val="32"/>
        </w:rPr>
        <w:t>个；实有人数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年，我镇事业编制人数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个；实有人数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绩效完成情况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_GB2312" w:hAnsi="仿宋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  <w:lang w:val="en-US" w:eastAsia="zh-CN"/>
        </w:rPr>
        <w:t>（一）部门整体支出管理情况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1、严格按照内部控制制度要求并结合本镇实际情况，规范报账审批流程，进一步完善政府采购制度和固定资产管理办法。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2、成立预算绩效管理领导小组，对绩效目标实现过程、资金支出进度实施全程监控。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3、资金支出严格按照预算执行，做到专款专用，合理安排经费开支，厉行节约。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_GB2312" w:hAnsi="仿宋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  <w:lang w:val="en-US" w:eastAsia="zh-CN"/>
        </w:rPr>
        <w:t>（二）预算执行情况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1、年初预算批复情况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2021年，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年初预算收入安排1281.25万元其中：人员经费661.97万元；日常公用经费619.88万元；项目支出0万元。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2、全年总预算执行情况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2021年本年收入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3638.76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万元。其中：一般公共预算财政拨款收入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3323.54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万元；政府性基金预算财政拨款收入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315.22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2021年本年支出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3872.41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万元。其中：一般公共预算财政拨款支出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3557.19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万元；政府性基金预算财政拨款支出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315.22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2021年本年收入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3638.76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万元，加上年结余收入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233.65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万元，减本年支出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3872.41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万元，年终结转结余为0万元，实现收支平衡。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3、“三公”经费执行情况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“三公”经费财政拨款支出预算为19.4万元，支出决算为19.4万元，完成预算的100.00%。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4、资金结余情况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2021年结转结余为0万元。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_GB2312" w:hAnsi="仿宋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Times New Roman"/>
          <w:b/>
          <w:sz w:val="32"/>
          <w:szCs w:val="32"/>
          <w:lang w:val="en-US" w:eastAsia="zh-CN"/>
        </w:rPr>
        <w:t>（三）绩效目标完成情况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仿宋_GB2312" w:eastAsia="仿宋_GB2312" w:cs="Times New Roman"/>
          <w:b/>
          <w:bCs/>
          <w:color w:val="222222"/>
          <w:sz w:val="32"/>
          <w:szCs w:val="32"/>
          <w:lang w:val="en-US" w:eastAsia="zh-CN"/>
        </w:rPr>
        <w:t>真抓实干、稳中求进，产业发展有了较大提升。</w:t>
      </w:r>
      <w:r>
        <w:rPr>
          <w:rFonts w:ascii="Times New Roman" w:hAnsi="仿宋_GB2312" w:eastAsia="仿宋_GB2312" w:cs="Times New Roman"/>
          <w:sz w:val="32"/>
          <w:szCs w:val="32"/>
        </w:rPr>
        <w:t>发展优质稻种植面积</w:t>
      </w:r>
      <w:r>
        <w:rPr>
          <w:rFonts w:ascii="Times New Roman" w:hAnsi="Times New Roman" w:eastAsia="仿宋_GB2312" w:cs="Times New Roman"/>
          <w:sz w:val="32"/>
          <w:szCs w:val="32"/>
        </w:rPr>
        <w:t>75000</w:t>
      </w:r>
      <w:r>
        <w:rPr>
          <w:rFonts w:ascii="Times New Roman" w:hAnsi="仿宋_GB2312" w:eastAsia="仿宋_GB2312" w:cs="Times New Roman"/>
          <w:sz w:val="32"/>
          <w:szCs w:val="32"/>
        </w:rPr>
        <w:t>亩，其中双季稻机插秧面积</w:t>
      </w:r>
      <w:r>
        <w:rPr>
          <w:rFonts w:ascii="Times New Roman" w:hAnsi="Times New Roman" w:eastAsia="仿宋_GB2312" w:cs="Times New Roman"/>
          <w:sz w:val="32"/>
          <w:szCs w:val="32"/>
        </w:rPr>
        <w:t>45000</w:t>
      </w:r>
      <w:r>
        <w:rPr>
          <w:rFonts w:ascii="Times New Roman" w:hAnsi="仿宋_GB2312" w:eastAsia="仿宋_GB2312" w:cs="Times New Roman"/>
          <w:sz w:val="32"/>
          <w:szCs w:val="32"/>
        </w:rPr>
        <w:t>亩，一季蓄再生稻面积</w:t>
      </w:r>
      <w:r>
        <w:rPr>
          <w:rFonts w:ascii="Times New Roman" w:hAnsi="Times New Roman" w:eastAsia="仿宋_GB2312" w:cs="Times New Roman"/>
          <w:sz w:val="32"/>
          <w:szCs w:val="32"/>
        </w:rPr>
        <w:t>30000</w:t>
      </w:r>
      <w:r>
        <w:rPr>
          <w:rFonts w:ascii="Times New Roman" w:hAnsi="仿宋_GB2312" w:eastAsia="仿宋_GB2312" w:cs="Times New Roman"/>
          <w:sz w:val="32"/>
          <w:szCs w:val="32"/>
        </w:rPr>
        <w:t>亩。桔柚</w:t>
      </w:r>
      <w:r>
        <w:rPr>
          <w:rFonts w:ascii="Times New Roman" w:hAnsi="Times New Roman" w:eastAsia="仿宋_GB2312" w:cs="Times New Roman"/>
          <w:sz w:val="32"/>
          <w:szCs w:val="32"/>
        </w:rPr>
        <w:t>10000</w:t>
      </w:r>
      <w:r>
        <w:rPr>
          <w:rFonts w:ascii="Times New Roman" w:hAnsi="仿宋_GB2312" w:eastAsia="仿宋_GB2312" w:cs="Times New Roman"/>
          <w:sz w:val="32"/>
          <w:szCs w:val="32"/>
        </w:rPr>
        <w:t>亩、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棉花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亩、油菜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48000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亩、</w:t>
      </w:r>
      <w:r>
        <w:rPr>
          <w:rFonts w:ascii="Times New Roman" w:hAnsi="仿宋_GB2312" w:eastAsia="仿宋_GB2312" w:cs="Times New Roman"/>
          <w:sz w:val="32"/>
          <w:szCs w:val="32"/>
        </w:rPr>
        <w:t>新增稻虾综合种养面积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ascii="Times New Roman" w:hAnsi="仿宋_GB2312" w:eastAsia="仿宋_GB2312" w:cs="Times New Roman"/>
          <w:sz w:val="32"/>
          <w:szCs w:val="32"/>
        </w:rPr>
        <w:t>亩、稻虾混养面积达</w:t>
      </w:r>
      <w:r>
        <w:rPr>
          <w:rFonts w:ascii="Times New Roman" w:hAnsi="Times New Roman" w:eastAsia="仿宋_GB2312" w:cs="Times New Roman"/>
          <w:sz w:val="32"/>
          <w:szCs w:val="32"/>
        </w:rPr>
        <w:t>850</w:t>
      </w:r>
      <w:r>
        <w:rPr>
          <w:rFonts w:ascii="Times New Roman" w:hAnsi="仿宋_GB2312" w:eastAsia="仿宋_GB2312" w:cs="Times New Roman"/>
          <w:sz w:val="32"/>
          <w:szCs w:val="32"/>
        </w:rPr>
        <w:t>亩、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湘莲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1500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亩，水产养殖总面积达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1.6万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  <w:r>
        <w:rPr>
          <w:rFonts w:ascii="Times New Roman" w:hAnsi="仿宋" w:eastAsia="仿宋" w:cs="Times New Roman"/>
          <w:sz w:val="32"/>
          <w:szCs w:val="32"/>
        </w:rPr>
        <w:t>加强水稻全程机械化技术推广，引导农机户组成农业经济合作社，不断提高农机生产效益，为</w:t>
      </w:r>
      <w:r>
        <w:rPr>
          <w:rFonts w:hint="eastAsia" w:ascii="Times New Roman" w:hAnsi="仿宋_GB2312" w:eastAsia="仿宋_GB2312" w:cs="Times New Roman"/>
          <w:sz w:val="32"/>
          <w:szCs w:val="32"/>
        </w:rPr>
        <w:t>打造</w:t>
      </w:r>
      <w:r>
        <w:rPr>
          <w:rFonts w:ascii="Times New Roman" w:hAnsi="仿宋_GB2312" w:eastAsia="仿宋_GB2312" w:cs="Times New Roman"/>
          <w:sz w:val="32"/>
          <w:szCs w:val="32"/>
        </w:rPr>
        <w:t>梦溪镇优质农产品供应基地奠定生产基础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  <w:r>
        <w:rPr>
          <w:rFonts w:ascii="Times New Roman" w:hAnsi="仿宋" w:eastAsia="仿宋" w:cs="Times New Roman"/>
          <w:sz w:val="32"/>
          <w:szCs w:val="32"/>
        </w:rPr>
        <w:t>着力培育龙头企业湖南四季油脂</w:t>
      </w:r>
      <w:r>
        <w:rPr>
          <w:rFonts w:ascii="Times New Roman" w:hAnsi="仿宋_GB2312" w:eastAsia="仿宋_GB2312" w:cs="Times New Roman"/>
          <w:sz w:val="32"/>
          <w:szCs w:val="40"/>
        </w:rPr>
        <w:t>，开展</w:t>
      </w:r>
      <w:r>
        <w:rPr>
          <w:rFonts w:ascii="Times New Roman" w:hAnsi="Times New Roman" w:eastAsia="仿宋_GB2312" w:cs="Times New Roman"/>
          <w:sz w:val="32"/>
          <w:szCs w:val="40"/>
        </w:rPr>
        <w:t>“</w:t>
      </w:r>
      <w:r>
        <w:rPr>
          <w:rFonts w:ascii="Times New Roman" w:hAnsi="仿宋_GB2312" w:eastAsia="仿宋_GB2312" w:cs="Times New Roman"/>
          <w:sz w:val="32"/>
          <w:szCs w:val="40"/>
        </w:rPr>
        <w:t>公司</w:t>
      </w:r>
      <w:r>
        <w:rPr>
          <w:rFonts w:ascii="Times New Roman" w:hAnsi="Times New Roman" w:eastAsia="仿宋_GB2312" w:cs="Times New Roman"/>
          <w:sz w:val="32"/>
          <w:szCs w:val="40"/>
        </w:rPr>
        <w:t>+</w:t>
      </w:r>
      <w:r>
        <w:rPr>
          <w:rFonts w:ascii="Times New Roman" w:hAnsi="仿宋_GB2312" w:eastAsia="仿宋_GB2312" w:cs="Times New Roman"/>
          <w:sz w:val="32"/>
          <w:szCs w:val="40"/>
        </w:rPr>
        <w:t>合作社</w:t>
      </w:r>
      <w:r>
        <w:rPr>
          <w:rFonts w:ascii="Times New Roman" w:hAnsi="Times New Roman" w:eastAsia="仿宋_GB2312" w:cs="Times New Roman"/>
          <w:sz w:val="32"/>
          <w:szCs w:val="40"/>
        </w:rPr>
        <w:t>+</w:t>
      </w:r>
      <w:r>
        <w:rPr>
          <w:rFonts w:ascii="Times New Roman" w:hAnsi="仿宋_GB2312" w:eastAsia="仿宋_GB2312" w:cs="Times New Roman"/>
          <w:sz w:val="32"/>
          <w:szCs w:val="40"/>
        </w:rPr>
        <w:t>农户</w:t>
      </w:r>
      <w:r>
        <w:rPr>
          <w:rFonts w:ascii="Times New Roman" w:hAnsi="Times New Roman" w:eastAsia="仿宋_GB2312" w:cs="Times New Roman"/>
          <w:sz w:val="32"/>
          <w:szCs w:val="40"/>
        </w:rPr>
        <w:t>”</w:t>
      </w:r>
      <w:r>
        <w:rPr>
          <w:rFonts w:ascii="Times New Roman" w:hAnsi="仿宋_GB2312" w:eastAsia="仿宋_GB2312" w:cs="Times New Roman"/>
          <w:sz w:val="32"/>
          <w:szCs w:val="40"/>
        </w:rPr>
        <w:t>的订单农业，确保产销一体化</w:t>
      </w:r>
      <w:r>
        <w:rPr>
          <w:rFonts w:hint="eastAsia" w:ascii="Times New Roman" w:hAnsi="仿宋_GB2312" w:eastAsia="仿宋_GB2312" w:cs="Times New Roman"/>
          <w:sz w:val="32"/>
          <w:szCs w:val="40"/>
        </w:rPr>
        <w:t>；</w:t>
      </w:r>
      <w:r>
        <w:rPr>
          <w:rFonts w:ascii="Times New Roman" w:hAnsi="仿宋_GB2312" w:eastAsia="仿宋_GB2312" w:cs="Times New Roman"/>
          <w:sz w:val="32"/>
          <w:szCs w:val="40"/>
        </w:rPr>
        <w:t>依托葡萄柚种植基地，稳步推进梦溪镇桔柚种植、</w:t>
      </w:r>
      <w:r>
        <w:rPr>
          <w:rFonts w:hint="eastAsia" w:ascii="Times New Roman" w:hAnsi="仿宋_GB2312" w:eastAsia="仿宋_GB2312" w:cs="Times New Roman"/>
          <w:sz w:val="32"/>
          <w:szCs w:val="40"/>
          <w:lang w:eastAsia="zh-CN"/>
        </w:rPr>
        <w:t>包装、贮藏、销售全产业链打造</w:t>
      </w:r>
      <w:r>
        <w:rPr>
          <w:rFonts w:ascii="Times New Roman" w:hAnsi="仿宋_GB2312" w:eastAsia="仿宋_GB2312" w:cs="Times New Roman"/>
          <w:sz w:val="32"/>
          <w:szCs w:val="40"/>
        </w:rPr>
        <w:t>；</w:t>
      </w:r>
      <w:r>
        <w:rPr>
          <w:rFonts w:ascii="Times New Roman" w:hAnsi="仿宋" w:eastAsia="仿宋" w:cs="Times New Roman"/>
          <w:sz w:val="32"/>
          <w:szCs w:val="32"/>
        </w:rPr>
        <w:t>持续加强现代化生猪养殖、加工产业园建设，目前已经完成投资约</w:t>
      </w:r>
      <w:r>
        <w:rPr>
          <w:rFonts w:ascii="Times New Roman" w:hAnsi="Times New Roman" w:eastAsia="仿宋" w:cs="Times New Roman"/>
          <w:sz w:val="32"/>
          <w:szCs w:val="32"/>
        </w:rPr>
        <w:t>7000</w:t>
      </w:r>
      <w:r>
        <w:rPr>
          <w:rFonts w:ascii="Times New Roman" w:hAnsi="仿宋" w:eastAsia="仿宋" w:cs="Times New Roman"/>
          <w:sz w:val="32"/>
          <w:szCs w:val="32"/>
        </w:rPr>
        <w:t>万元，</w:t>
      </w:r>
      <w:r>
        <w:rPr>
          <w:rFonts w:ascii="Times New Roman" w:hAnsi="仿宋_GB2312" w:eastAsia="仿宋_GB2312" w:cs="Times New Roman"/>
          <w:sz w:val="32"/>
          <w:szCs w:val="32"/>
        </w:rPr>
        <w:t>年出栏生猪近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万头</w:t>
      </w:r>
      <w:r>
        <w:rPr>
          <w:rFonts w:hint="eastAsia" w:ascii="Times New Roman" w:hAnsi="仿宋" w:eastAsia="仿宋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勠力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同心、攻坚克难，镇村面貌有了较大改善。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实施五福村公路提质改造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公里、改造危桥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座，全力保障群众生产生活和出行安全。投入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余万元，对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余公里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防汛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堤面进行整修改造；投入近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万元对余家河大堤加固防渗；强力推进对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65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口堰塘、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45.6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公里渠道清淤扩容扫障。为确保安全饮水，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赵家峪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水厂提升改造工程建设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完成主管网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万余米、支管网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万余米、雷公塔街道主支管网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18000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米等管道工程改造。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坚守初心、回应民意，民生福祉有了较大增进。</w:t>
      </w:r>
      <w:r>
        <w:rPr>
          <w:rFonts w:ascii="Times New Roman" w:hAnsi="仿宋_GB2312" w:eastAsia="仿宋_GB2312" w:cs="Times New Roman"/>
          <w:bCs/>
          <w:kern w:val="0"/>
          <w:sz w:val="32"/>
          <w:szCs w:val="32"/>
        </w:rPr>
        <w:t>扎实开展巩固拓展脱贫攻坚成果大排查行动，</w:t>
      </w:r>
      <w:r>
        <w:rPr>
          <w:rFonts w:hint="eastAsia" w:ascii="Times New Roman" w:hAnsi="仿宋_GB2312" w:eastAsia="仿宋_GB2312" w:cs="Times New Roman"/>
          <w:bCs/>
          <w:kern w:val="0"/>
          <w:sz w:val="32"/>
          <w:szCs w:val="32"/>
          <w:lang w:eastAsia="zh-CN"/>
        </w:rPr>
        <w:t>对</w:t>
      </w:r>
      <w:r>
        <w:rPr>
          <w:rFonts w:ascii="Times New Roman" w:hAnsi="仿宋_GB2312" w:eastAsia="仿宋_GB2312" w:cs="Times New Roman"/>
          <w:sz w:val="32"/>
          <w:szCs w:val="32"/>
        </w:rPr>
        <w:t>现有脱贫户、监测户共</w:t>
      </w:r>
      <w:r>
        <w:rPr>
          <w:rFonts w:ascii="Times New Roman" w:hAnsi="Times New Roman" w:eastAsia="仿宋_GB2312" w:cs="Times New Roman"/>
          <w:sz w:val="32"/>
          <w:szCs w:val="32"/>
        </w:rPr>
        <w:t>686</w:t>
      </w:r>
      <w:r>
        <w:rPr>
          <w:rFonts w:ascii="Times New Roman" w:hAnsi="仿宋_GB2312" w:eastAsia="仿宋_GB2312" w:cs="Times New Roman"/>
          <w:sz w:val="32"/>
          <w:szCs w:val="32"/>
        </w:rPr>
        <w:t>户</w:t>
      </w:r>
      <w:r>
        <w:rPr>
          <w:rFonts w:ascii="Times New Roman" w:hAnsi="Times New Roman" w:eastAsia="仿宋_GB2312" w:cs="Times New Roman"/>
          <w:sz w:val="32"/>
          <w:szCs w:val="32"/>
        </w:rPr>
        <w:t>1898</w:t>
      </w:r>
      <w:r>
        <w:rPr>
          <w:rFonts w:ascii="Times New Roman" w:hAnsi="仿宋_GB2312" w:eastAsia="仿宋_GB2312" w:cs="Times New Roman"/>
          <w:sz w:val="32"/>
          <w:szCs w:val="32"/>
        </w:rPr>
        <w:t>人，安排帮扶责任人</w:t>
      </w:r>
      <w:r>
        <w:rPr>
          <w:rFonts w:ascii="Times New Roman" w:hAnsi="Times New Roman" w:eastAsia="仿宋_GB2312" w:cs="Times New Roman"/>
          <w:sz w:val="32"/>
          <w:szCs w:val="32"/>
        </w:rPr>
        <w:t>194</w:t>
      </w:r>
      <w:r>
        <w:rPr>
          <w:rFonts w:ascii="Times New Roman" w:hAnsi="仿宋_GB2312" w:eastAsia="仿宋_GB2312" w:cs="Times New Roman"/>
          <w:sz w:val="32"/>
          <w:szCs w:val="32"/>
        </w:rPr>
        <w:t>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实施结对帮扶全覆盖。新增低保</w:t>
      </w:r>
      <w:r>
        <w:rPr>
          <w:rFonts w:ascii="Times New Roman" w:hAnsi="Times New Roman" w:eastAsia="仿宋_GB2312" w:cs="Times New Roman"/>
          <w:sz w:val="32"/>
          <w:szCs w:val="32"/>
        </w:rPr>
        <w:t>29</w:t>
      </w:r>
      <w:r>
        <w:rPr>
          <w:rFonts w:ascii="Times New Roman" w:hAnsi="仿宋_GB2312" w:eastAsia="仿宋_GB2312" w:cs="Times New Roman"/>
          <w:sz w:val="32"/>
          <w:szCs w:val="32"/>
        </w:rPr>
        <w:t>人、五保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仿宋_GB2312" w:eastAsia="仿宋_GB2312" w:cs="Times New Roman"/>
          <w:sz w:val="32"/>
          <w:szCs w:val="32"/>
        </w:rPr>
        <w:t>人，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均已落实兜底保障。</w:t>
      </w:r>
      <w:r>
        <w:rPr>
          <w:rFonts w:ascii="Times New Roman" w:hAnsi="仿宋_GB2312" w:eastAsia="仿宋_GB2312" w:cs="Times New Roman"/>
          <w:sz w:val="32"/>
          <w:szCs w:val="32"/>
        </w:rPr>
        <w:t>全力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解决安全住房问题</w:t>
      </w:r>
      <w:r>
        <w:rPr>
          <w:rFonts w:ascii="Times New Roman" w:hAnsi="仿宋_GB2312" w:eastAsia="仿宋_GB2312" w:cs="Times New Roman"/>
          <w:sz w:val="32"/>
          <w:szCs w:val="32"/>
        </w:rPr>
        <w:t>，新增危改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ascii="Times New Roman" w:hAnsi="仿宋_GB2312" w:eastAsia="仿宋_GB2312" w:cs="Times New Roman"/>
          <w:sz w:val="32"/>
          <w:szCs w:val="32"/>
        </w:rPr>
        <w:t>户、抗震改造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户。落实五类对象中</w:t>
      </w:r>
      <w:r>
        <w:rPr>
          <w:rFonts w:ascii="Times New Roman" w:hAnsi="Times New Roman" w:eastAsia="仿宋_GB2312" w:cs="Times New Roman"/>
          <w:sz w:val="32"/>
          <w:szCs w:val="32"/>
        </w:rPr>
        <w:t>6-16</w:t>
      </w:r>
      <w:r>
        <w:rPr>
          <w:rFonts w:ascii="Times New Roman" w:hAnsi="仿宋_GB2312" w:eastAsia="仿宋_GB2312" w:cs="Times New Roman"/>
          <w:sz w:val="32"/>
          <w:szCs w:val="32"/>
        </w:rPr>
        <w:t>周岁在读学生</w:t>
      </w:r>
      <w:r>
        <w:rPr>
          <w:rFonts w:ascii="Times New Roman" w:hAnsi="Times New Roman" w:eastAsia="仿宋_GB2312" w:cs="Times New Roman"/>
          <w:sz w:val="32"/>
          <w:szCs w:val="32"/>
        </w:rPr>
        <w:t>191</w:t>
      </w:r>
      <w:r>
        <w:rPr>
          <w:rFonts w:ascii="Times New Roman" w:hAnsi="仿宋_GB2312" w:eastAsia="仿宋_GB2312" w:cs="Times New Roman"/>
          <w:sz w:val="32"/>
          <w:szCs w:val="32"/>
        </w:rPr>
        <w:t>名教育助学资助、送教上门学生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仿宋_GB2312" w:eastAsia="仿宋_GB2312" w:cs="Times New Roman"/>
          <w:sz w:val="32"/>
          <w:szCs w:val="32"/>
        </w:rPr>
        <w:t>名，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确保脱贫家庭义务教育阶段学生不失学不辍学。新安置公益性岗位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个，脱贫劳动力就业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732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人，助力贫困劳动力就业增收。落实残疾人生活补贴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438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人、护理补贴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861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人；残疾人新增办证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人、临时补贴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223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人；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:lang w:eastAsia="zh-CN"/>
        </w:rPr>
        <w:t>落实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留守儿童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:lang w:eastAsia="zh-CN"/>
        </w:rPr>
        <w:t>委托照护协议制度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签约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539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人。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:lang w:eastAsia="zh-CN"/>
        </w:rPr>
        <w:t>工会、共青团、妇联等群团组织通过“微善风助学”、“六一”爱心慰问以及“年末送温暖”等行动为百余名留守、贫困儿童铺就爱心成长之路。积极发动符合条件的青年报名参军，共有10名优秀青年成功入伍（其中大学毕业生4人、大学在校生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:lang w:eastAsia="zh-CN"/>
        </w:rPr>
        <w:t>人），为国防事业贡献了梦溪力量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:lang w:val="en-US" w:eastAsia="zh-CN"/>
        </w:rPr>
        <w:t>，同时，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:lang w:eastAsia="zh-CN"/>
        </w:rPr>
        <w:t>镇武装干事龙震桦同志被评为“全省征兵先进个人”。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多措并举、强力推进，生态保护有了较好来势。</w:t>
      </w:r>
      <w:r>
        <w:rPr>
          <w:rFonts w:ascii="Times New Roman" w:hAnsi="仿宋" w:eastAsia="仿宋" w:cs="Times New Roman"/>
          <w:sz w:val="32"/>
          <w:szCs w:val="32"/>
        </w:rPr>
        <w:t>制定《梦溪镇禁止露天焚烧奖罚细则》《梦溪镇秸秆禁烧和综合利用工作实施方案》等文件，建立完善奖惩机制，多措并举持续保持秸秆禁烧高压态势；全力推进秸秆综合利用，全年完成秸秆捡拾打捆近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万亩约</w:t>
      </w:r>
      <w:r>
        <w:rPr>
          <w:rFonts w:ascii="Times New Roman" w:hAnsi="Times New Roman" w:eastAsia="仿宋" w:cs="Times New Roman"/>
          <w:sz w:val="32"/>
          <w:szCs w:val="32"/>
        </w:rPr>
        <w:t>5000</w:t>
      </w:r>
      <w:r>
        <w:rPr>
          <w:rFonts w:ascii="Times New Roman" w:hAnsi="仿宋" w:eastAsia="仿宋" w:cs="Times New Roman"/>
          <w:sz w:val="32"/>
          <w:szCs w:val="32"/>
        </w:rPr>
        <w:t>吨，从源头上减轻禁烧压力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  <w:r>
        <w:rPr>
          <w:rFonts w:ascii="Times New Roman" w:hAnsi="仿宋" w:eastAsia="仿宋" w:cs="Times New Roman"/>
          <w:sz w:val="32"/>
          <w:szCs w:val="32"/>
        </w:rPr>
        <w:t>推进长江十年禁渔，收缴捕鱼器具</w:t>
      </w:r>
      <w:r>
        <w:rPr>
          <w:rFonts w:ascii="Times New Roman" w:hAnsi="Times New Roman" w:eastAsia="仿宋" w:cs="Times New Roman"/>
          <w:sz w:val="32"/>
          <w:szCs w:val="32"/>
        </w:rPr>
        <w:t>50</w:t>
      </w:r>
      <w:r>
        <w:rPr>
          <w:rFonts w:ascii="Times New Roman" w:hAnsi="仿宋" w:eastAsia="仿宋" w:cs="Times New Roman"/>
          <w:sz w:val="32"/>
          <w:szCs w:val="32"/>
        </w:rPr>
        <w:t>余套；落实河湖长制，长期巡查各处天然水域；推进厕所革命，完成改厕</w:t>
      </w:r>
      <w:r>
        <w:rPr>
          <w:rFonts w:ascii="Times New Roman" w:hAnsi="Times New Roman" w:eastAsia="仿宋" w:cs="Times New Roman"/>
          <w:sz w:val="32"/>
          <w:szCs w:val="32"/>
        </w:rPr>
        <w:t>1900</w:t>
      </w:r>
      <w:r>
        <w:rPr>
          <w:rFonts w:ascii="Times New Roman" w:hAnsi="仿宋" w:eastAsia="仿宋" w:cs="Times New Roman"/>
          <w:sz w:val="32"/>
          <w:szCs w:val="32"/>
        </w:rPr>
        <w:t>余个</w:t>
      </w:r>
      <w:r>
        <w:rPr>
          <w:rFonts w:hint="eastAsia" w:ascii="Times New Roman" w:hAnsi="仿宋" w:eastAsia="仿宋" w:cs="Times New Roman"/>
          <w:sz w:val="32"/>
          <w:szCs w:val="32"/>
        </w:rPr>
        <w:t>；</w:t>
      </w:r>
      <w:r>
        <w:rPr>
          <w:rFonts w:ascii="Times New Roman" w:hAnsi="仿宋" w:eastAsia="仿宋" w:cs="Times New Roman"/>
          <w:sz w:val="32"/>
          <w:szCs w:val="32"/>
        </w:rPr>
        <w:t>通过日常巡查、集中检查、重点督查、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麻雀式解剖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等方法，找问题、列清单、定责任、强整改，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第二季度被评为“全县农村人居环境一类乡镇”，宋鲁湖村被评为“全县农村人居环境十佳村”，彭家厂村、顺林驿村被评为市级文明单位，镇容村貌焕然一新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5、</w:t>
      </w: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防微杜渐、严守底线，安全</w:t>
      </w:r>
      <w:r>
        <w:rPr>
          <w:rFonts w:ascii="Times New Roman" w:hAnsi="仿宋_GB2312" w:eastAsia="仿宋_GB2312" w:cs="Times New Roman"/>
          <w:b/>
          <w:bCs/>
          <w:sz w:val="32"/>
          <w:szCs w:val="32"/>
        </w:rPr>
        <w:t>稳定</w:t>
      </w: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有了较好成效</w:t>
      </w:r>
      <w:r>
        <w:rPr>
          <w:rFonts w:ascii="Times New Roman" w:hAnsi="仿宋_GB2312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建立健全安全生产管理规章制度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ascii="Times New Roman" w:hAnsi="仿宋_GB2312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消</w:t>
      </w:r>
      <w:r>
        <w:rPr>
          <w:rFonts w:ascii="Times New Roman" w:hAnsi="仿宋_GB2312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_GB2312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多合一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_GB2312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门店督查、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_GB2312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大排查、大整治、大执法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_GB2312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百日整治等行动，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年累计检查生产经营单位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余家次，排查各类隐患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511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项，隐患整改率达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。查处无证经营烟花爆竹销售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经营业主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家，收缴烟花爆竹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余件。开展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安全五进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主题活动，发放各类安全宣传资料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余份。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开展摩托车、电动车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两车整治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活动，切实保障群众行车安全。无上访村（社区）、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雪亮工程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、综治网格、综治中心建设稳步推进，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发放禁毒宣传册共计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余份、设立禁毒专栏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余处，排查调处各项矛盾纠纷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284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起，调解成功率达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2021年度全县平安建设、安全生产和消防工作、建设“无上访村（社区）”等三项考核评估中，梦溪镇均被评定为优秀等次。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敬畏生命、筑牢防线，</w:t>
      </w:r>
      <w:r>
        <w:rPr>
          <w:rFonts w:ascii="Times New Roman" w:hAnsi="仿宋_GB2312" w:eastAsia="仿宋_GB2312" w:cs="Times New Roman"/>
          <w:b/>
          <w:bCs/>
          <w:sz w:val="32"/>
          <w:szCs w:val="32"/>
        </w:rPr>
        <w:t>疫情防控</w:t>
      </w:r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eastAsia="zh-CN"/>
        </w:rPr>
        <w:t>有了较好保障</w:t>
      </w:r>
      <w:r>
        <w:rPr>
          <w:rFonts w:ascii="Times New Roman" w:hAnsi="仿宋_GB2312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全镇上下将新冠肺炎疫情防控作为头等大事来抓，全民动员、全面覆盖，常态化抓好疫情防控工作。党员志愿服务队采取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广播喇叭天天讲、党员先锋上门讲、条幅版面路边讲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等方式持续深化宣传，全年发放宣传单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8150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份。通过网格化管理、地毯式排查等方式强化排查，及时掌握外来人口和返乡人员健康状况。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摸排报送中高风险区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返乡人员约7300余人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，有力推动管控措施落实。积极推进新冠肺炎疫苗接种工作，逐步构建我镇免疫屏障。目前我镇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岁及以上人群本地接种新冠疫苗已达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22700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余针次，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12-17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岁人群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余针次，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3-11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岁人群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1600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余针次。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三、问题及建议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1、存在问题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（1）各站所、村（居）参与预算绩效评价工作的意识不够。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（2）各类预算绩效目标和定量指标的制定不够全面。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2、改进建议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（1）组织各站所、村（居）参加预算绩效培训，制定工作方案。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（2）针对本镇的工作计划与工作要点，细化预算绩效目标与指标。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2RhMzBlMGE3NDBkYjRhMDlmMjc4ODczZTRjMDQifQ=="/>
  </w:docVars>
  <w:rsids>
    <w:rsidRoot w:val="2ED34C9A"/>
    <w:rsid w:val="010A509E"/>
    <w:rsid w:val="0F001331"/>
    <w:rsid w:val="11CA313A"/>
    <w:rsid w:val="1404150D"/>
    <w:rsid w:val="1E1A5904"/>
    <w:rsid w:val="20513E99"/>
    <w:rsid w:val="21DE339D"/>
    <w:rsid w:val="2D984D48"/>
    <w:rsid w:val="2ED34C9A"/>
    <w:rsid w:val="34687BB2"/>
    <w:rsid w:val="39921DFC"/>
    <w:rsid w:val="3C1B626D"/>
    <w:rsid w:val="40ED3E31"/>
    <w:rsid w:val="44EE4079"/>
    <w:rsid w:val="471A5C02"/>
    <w:rsid w:val="4789116A"/>
    <w:rsid w:val="4AD35E22"/>
    <w:rsid w:val="4E5219A2"/>
    <w:rsid w:val="52262073"/>
    <w:rsid w:val="5A6922A2"/>
    <w:rsid w:val="61146B8D"/>
    <w:rsid w:val="65FD2EC4"/>
    <w:rsid w:val="6D3C0545"/>
    <w:rsid w:val="6F9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3168</Words>
  <Characters>3408</Characters>
  <Lines>0</Lines>
  <Paragraphs>0</Paragraphs>
  <TotalTime>2</TotalTime>
  <ScaleCrop>false</ScaleCrop>
  <LinksUpToDate>false</LinksUpToDate>
  <CharactersWithSpaces>3409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2022-06-16T02:46:00Z</dcterms:created>
  <dc:creator>Administrator</dc:creator>
  <cp:lastModifiedBy>Administrator</cp:lastModifiedBy>
  <dcterms:modified xsi:type="dcterms:W3CDTF">2024-12-11T08:44:33Z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FA8181494E4545768A995EC45A8352B7</vt:lpwstr>
  </property>
</Properties>
</file>