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澧县科学技术局</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snapToGrid w:val="0"/>
        <w:spacing w:line="520"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澧县科学技术局为独立核算的行政单位，属一级预算单位，经费来源是全额拨款，执行政府会计制度，当年无变动情况。</w:t>
      </w:r>
      <w:r>
        <w:rPr>
          <w:rFonts w:ascii="仿宋" w:hAnsi="仿宋" w:eastAsia="仿宋" w:cs="宋体"/>
          <w:color w:val="000000" w:themeColor="text1"/>
          <w:kern w:val="0"/>
          <w:sz w:val="32"/>
          <w:szCs w:val="32"/>
        </w:rPr>
        <w:t>2020年在职人员12人。较2019年减少1人。</w:t>
      </w:r>
    </w:p>
    <w:p>
      <w:pPr>
        <w:spacing w:line="600" w:lineRule="exact"/>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ind w:left="283" w:leftChars="135" w:firstLine="320" w:firstLineChars="100"/>
        <w:rPr>
          <w:rFonts w:ascii="仿宋" w:hAnsi="仿宋" w:eastAsia="仿宋"/>
          <w:sz w:val="32"/>
          <w:szCs w:val="32"/>
        </w:rPr>
      </w:pPr>
      <w:r>
        <w:rPr>
          <w:rFonts w:hint="eastAsia" w:ascii="仿宋" w:hAnsi="仿宋" w:eastAsia="仿宋"/>
          <w:sz w:val="32"/>
          <w:szCs w:val="32"/>
        </w:rPr>
        <w:t>1、拟订全县科技发展、引进国外及国内智力规划和措施并组织实施。</w:t>
      </w:r>
    </w:p>
    <w:p>
      <w:pPr>
        <w:ind w:left="283" w:leftChars="135" w:firstLine="320" w:firstLineChars="100"/>
        <w:rPr>
          <w:rFonts w:ascii="仿宋" w:hAnsi="仿宋" w:eastAsia="仿宋"/>
          <w:sz w:val="32"/>
          <w:szCs w:val="32"/>
        </w:rPr>
      </w:pPr>
      <w:r>
        <w:rPr>
          <w:rFonts w:hint="eastAsia" w:ascii="仿宋" w:hAnsi="仿宋" w:eastAsia="仿宋"/>
          <w:sz w:val="32"/>
          <w:szCs w:val="32"/>
        </w:rPr>
        <w:t>2、统筹推进全县创新体系建设和科技体制改革；</w:t>
      </w:r>
    </w:p>
    <w:p>
      <w:pPr>
        <w:ind w:left="283" w:leftChars="135" w:firstLine="320" w:firstLineChars="100"/>
        <w:rPr>
          <w:rFonts w:ascii="仿宋" w:hAnsi="仿宋" w:eastAsia="仿宋"/>
          <w:sz w:val="32"/>
          <w:szCs w:val="32"/>
        </w:rPr>
      </w:pPr>
      <w:r>
        <w:rPr>
          <w:rFonts w:hint="eastAsia" w:ascii="仿宋" w:hAnsi="仿宋" w:eastAsia="仿宋"/>
          <w:sz w:val="32"/>
          <w:szCs w:val="32"/>
        </w:rPr>
        <w:t>3、牵头建立统一的县级科技管理平台和科研项目资金协调、评估、监管机制；</w:t>
      </w:r>
    </w:p>
    <w:p>
      <w:pPr>
        <w:ind w:left="283" w:leftChars="135" w:firstLine="160" w:firstLineChars="50"/>
        <w:rPr>
          <w:rFonts w:ascii="仿宋" w:hAnsi="仿宋" w:eastAsia="仿宋"/>
          <w:sz w:val="32"/>
          <w:szCs w:val="32"/>
        </w:rPr>
      </w:pPr>
      <w:r>
        <w:rPr>
          <w:rFonts w:hint="eastAsia" w:ascii="仿宋" w:hAnsi="仿宋" w:eastAsia="仿宋"/>
          <w:sz w:val="32"/>
          <w:szCs w:val="32"/>
        </w:rPr>
        <w:t>4、拟订全县基础研究规划和措施办法并组织实施，组织协调县级重大基础研究和应用基础研究；</w:t>
      </w:r>
    </w:p>
    <w:p>
      <w:pPr>
        <w:ind w:left="283" w:leftChars="135" w:firstLine="160" w:firstLineChars="50"/>
        <w:rPr>
          <w:rFonts w:ascii="仿宋" w:hAnsi="仿宋" w:eastAsia="仿宋"/>
          <w:sz w:val="32"/>
          <w:szCs w:val="32"/>
        </w:rPr>
      </w:pPr>
      <w:r>
        <w:rPr>
          <w:rFonts w:hint="eastAsia" w:ascii="仿宋" w:hAnsi="仿宋" w:eastAsia="仿宋"/>
          <w:sz w:val="32"/>
          <w:szCs w:val="32"/>
        </w:rPr>
        <w:t>5、负责引进国外和国内智力等工作。</w:t>
      </w:r>
    </w:p>
    <w:p>
      <w:pPr>
        <w:pStyle w:val="11"/>
        <w:spacing w:before="0" w:beforeAutospacing="0" w:after="0" w:afterAutospacing="0" w:line="600" w:lineRule="exact"/>
        <w:ind w:left="283" w:leftChars="135" w:firstLine="160" w:firstLineChars="50"/>
        <w:jc w:val="both"/>
        <w:rPr>
          <w:rFonts w:ascii="仿宋" w:hAnsi="仿宋" w:eastAsia="仿宋" w:cs="Times New Roman"/>
          <w:sz w:val="32"/>
          <w:szCs w:val="32"/>
        </w:rPr>
      </w:pPr>
      <w:r>
        <w:rPr>
          <w:rFonts w:hint="eastAsia" w:ascii="仿宋" w:hAnsi="仿宋" w:eastAsia="仿宋" w:cs="Times New Roman"/>
          <w:sz w:val="32"/>
          <w:szCs w:val="32"/>
        </w:rPr>
        <w:t>6、承办县人民政府交办的其他事项。</w:t>
      </w:r>
    </w:p>
    <w:p>
      <w:pPr>
        <w:widowControl/>
        <w:rPr>
          <w:rFonts w:ascii="Times New Roman" w:hAnsi="Times New Roman" w:eastAsia="仿宋_GB2312"/>
          <w:color w:val="222222"/>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7"/>
        <w:ind w:firstLine="640" w:firstLineChars="200"/>
        <w:rPr>
          <w:rFonts w:ascii="仿宋" w:hAnsi="仿宋" w:eastAsia="仿宋" w:cs="Times New Roman"/>
          <w:sz w:val="32"/>
          <w:szCs w:val="32"/>
        </w:rPr>
      </w:pPr>
      <w:r>
        <w:rPr>
          <w:rFonts w:ascii="仿宋" w:hAnsi="仿宋" w:eastAsia="仿宋" w:cs="宋体"/>
          <w:sz w:val="32"/>
          <w:szCs w:val="32"/>
        </w:rPr>
        <w:t>2020</w:t>
      </w:r>
      <w:r>
        <w:rPr>
          <w:rFonts w:hint="eastAsia" w:ascii="仿宋" w:hAnsi="仿宋" w:eastAsia="仿宋" w:cs="宋体"/>
          <w:sz w:val="32"/>
          <w:szCs w:val="32"/>
        </w:rPr>
        <w:t>年度财政拨款支出574.28万元，主要用于以下方面：一般公共服务（类）支出5万元，占0.87</w:t>
      </w:r>
      <w:r>
        <w:rPr>
          <w:rFonts w:ascii="仿宋" w:hAnsi="仿宋" w:eastAsia="仿宋" w:cs="宋体"/>
          <w:sz w:val="32"/>
          <w:szCs w:val="32"/>
        </w:rPr>
        <w:t>%</w:t>
      </w:r>
      <w:r>
        <w:rPr>
          <w:rFonts w:hint="eastAsia" w:ascii="仿宋" w:hAnsi="仿宋" w:eastAsia="仿宋" w:cs="宋体"/>
          <w:sz w:val="32"/>
          <w:szCs w:val="32"/>
        </w:rPr>
        <w:t>；科学技术（类）支出541.89万元，占94.36</w:t>
      </w:r>
      <w:r>
        <w:rPr>
          <w:rFonts w:ascii="仿宋" w:hAnsi="仿宋" w:eastAsia="仿宋" w:cs="宋体"/>
          <w:sz w:val="32"/>
          <w:szCs w:val="32"/>
        </w:rPr>
        <w:t>%</w:t>
      </w:r>
      <w:r>
        <w:rPr>
          <w:rFonts w:hint="eastAsia" w:ascii="仿宋" w:hAnsi="仿宋" w:eastAsia="仿宋" w:cs="宋体"/>
          <w:sz w:val="32"/>
          <w:szCs w:val="32"/>
        </w:rPr>
        <w:t>；文化旅游体育与传媒（类）支出0.07万元，占0.01%；社会保障和就业（类）支出12.96万元，占2.26%；卫生健康(类)支出4.44万元，占0.77%；资源勘探工业信息（类）支出0.20万元，占0.04%；住房保障（类）支出9.72万元，占1.69%。</w:t>
      </w:r>
    </w:p>
    <w:p>
      <w:pPr>
        <w:pStyle w:val="127"/>
        <w:outlineLvl w:val="0"/>
        <w:rPr>
          <w:rFonts w:ascii="仿宋" w:hAnsi="仿宋" w:eastAsia="仿宋"/>
          <w:b/>
          <w:bCs/>
          <w:sz w:val="32"/>
          <w:szCs w:val="32"/>
        </w:rPr>
      </w:pPr>
      <w:r>
        <w:rPr>
          <w:rFonts w:ascii="仿宋" w:hAnsi="仿宋" w:eastAsia="仿宋"/>
          <w:color w:val="222222"/>
          <w:sz w:val="32"/>
          <w:szCs w:val="32"/>
        </w:rPr>
        <w:t>（二）部门预算收支决算情况</w:t>
      </w:r>
    </w:p>
    <w:p>
      <w:pPr>
        <w:pStyle w:val="127"/>
        <w:ind w:firstLine="640" w:firstLineChars="200"/>
        <w:rPr>
          <w:rFonts w:ascii="仿宋" w:hAnsi="仿宋" w:eastAsia="仿宋" w:cs="Times New Roman"/>
          <w:sz w:val="32"/>
          <w:szCs w:val="32"/>
        </w:rPr>
      </w:pPr>
      <w:r>
        <w:rPr>
          <w:rFonts w:hint="eastAsia" w:ascii="仿宋" w:hAnsi="仿宋" w:eastAsia="仿宋" w:cs="宋体"/>
          <w:sz w:val="32"/>
          <w:szCs w:val="32"/>
        </w:rPr>
        <w:t>本年收入合计633.2万元，其中：财政拨款收入633.2万元，占100</w:t>
      </w:r>
      <w:r>
        <w:rPr>
          <w:rFonts w:ascii="仿宋" w:hAnsi="仿宋" w:eastAsia="仿宋" w:cs="宋体"/>
          <w:sz w:val="32"/>
          <w:szCs w:val="32"/>
        </w:rPr>
        <w:t>%</w:t>
      </w:r>
      <w:r>
        <w:rPr>
          <w:rFonts w:hint="eastAsia" w:ascii="仿宋" w:hAnsi="仿宋" w:eastAsia="仿宋" w:cs="宋体"/>
          <w:sz w:val="32"/>
          <w:szCs w:val="32"/>
        </w:rPr>
        <w:t>；上级补助收入0万元，占0</w:t>
      </w:r>
      <w:r>
        <w:rPr>
          <w:rFonts w:ascii="仿宋" w:hAnsi="仿宋" w:eastAsia="仿宋" w:cs="宋体"/>
          <w:sz w:val="32"/>
          <w:szCs w:val="32"/>
        </w:rPr>
        <w:t>%</w:t>
      </w:r>
      <w:r>
        <w:rPr>
          <w:rFonts w:hint="eastAsia" w:ascii="仿宋" w:hAnsi="仿宋" w:eastAsia="仿宋" w:cs="宋体"/>
          <w:sz w:val="32"/>
          <w:szCs w:val="32"/>
        </w:rPr>
        <w:t>；事业收入0万元，占0</w:t>
      </w:r>
      <w:r>
        <w:rPr>
          <w:rFonts w:ascii="仿宋" w:hAnsi="仿宋" w:eastAsia="仿宋" w:cs="宋体"/>
          <w:sz w:val="32"/>
          <w:szCs w:val="32"/>
        </w:rPr>
        <w:t>%</w:t>
      </w:r>
      <w:r>
        <w:rPr>
          <w:rFonts w:hint="eastAsia" w:ascii="仿宋" w:hAnsi="仿宋" w:eastAsia="仿宋" w:cs="宋体"/>
          <w:sz w:val="32"/>
          <w:szCs w:val="32"/>
        </w:rPr>
        <w:t>；经营收入0万元，占0</w:t>
      </w:r>
      <w:r>
        <w:rPr>
          <w:rFonts w:ascii="仿宋" w:hAnsi="仿宋" w:eastAsia="仿宋" w:cs="宋体"/>
          <w:sz w:val="32"/>
          <w:szCs w:val="32"/>
        </w:rPr>
        <w:t>%</w:t>
      </w:r>
      <w:r>
        <w:rPr>
          <w:rFonts w:hint="eastAsia" w:ascii="仿宋" w:hAnsi="仿宋" w:eastAsia="仿宋" w:cs="宋体"/>
          <w:sz w:val="32"/>
          <w:szCs w:val="32"/>
        </w:rPr>
        <w:t>；附属单位上缴收入0万元，占0</w:t>
      </w:r>
      <w:r>
        <w:rPr>
          <w:rFonts w:ascii="仿宋" w:hAnsi="仿宋" w:eastAsia="仿宋" w:cs="宋体"/>
          <w:sz w:val="32"/>
          <w:szCs w:val="32"/>
        </w:rPr>
        <w:t>%</w:t>
      </w:r>
      <w:r>
        <w:rPr>
          <w:rFonts w:hint="eastAsia" w:ascii="仿宋" w:hAnsi="仿宋" w:eastAsia="仿宋" w:cs="宋体"/>
          <w:sz w:val="32"/>
          <w:szCs w:val="32"/>
        </w:rPr>
        <w:t>；其他收入0万元，占0</w:t>
      </w:r>
      <w:r>
        <w:rPr>
          <w:rFonts w:ascii="仿宋" w:hAnsi="仿宋" w:eastAsia="仿宋" w:cs="宋体"/>
          <w:sz w:val="32"/>
          <w:szCs w:val="32"/>
        </w:rPr>
        <w:t>%</w:t>
      </w:r>
      <w:r>
        <w:rPr>
          <w:rFonts w:hint="eastAsia" w:ascii="仿宋" w:hAnsi="仿宋" w:eastAsia="仿宋" w:cs="宋体"/>
          <w:sz w:val="32"/>
          <w:szCs w:val="32"/>
        </w:rPr>
        <w:t>。</w:t>
      </w:r>
    </w:p>
    <w:p>
      <w:pPr>
        <w:pStyle w:val="127"/>
        <w:ind w:firstLine="640" w:firstLineChars="200"/>
        <w:rPr>
          <w:rFonts w:ascii="仿宋" w:hAnsi="仿宋" w:eastAsia="仿宋" w:cs="Times New Roman"/>
          <w:sz w:val="32"/>
          <w:szCs w:val="32"/>
        </w:rPr>
      </w:pPr>
      <w:r>
        <w:rPr>
          <w:rFonts w:hint="eastAsia" w:ascii="仿宋" w:hAnsi="仿宋" w:eastAsia="仿宋" w:cs="宋体"/>
          <w:sz w:val="32"/>
          <w:szCs w:val="32"/>
        </w:rPr>
        <w:t>本年支出合计574.28万元，其中：基本支出195.58万元，占34.06</w:t>
      </w:r>
      <w:r>
        <w:rPr>
          <w:rFonts w:ascii="仿宋" w:hAnsi="仿宋" w:eastAsia="仿宋" w:cs="宋体"/>
          <w:sz w:val="32"/>
          <w:szCs w:val="32"/>
        </w:rPr>
        <w:t>%</w:t>
      </w:r>
      <w:r>
        <w:rPr>
          <w:rFonts w:hint="eastAsia" w:ascii="仿宋" w:hAnsi="仿宋" w:eastAsia="仿宋" w:cs="宋体"/>
          <w:sz w:val="32"/>
          <w:szCs w:val="32"/>
        </w:rPr>
        <w:t>；项目支出378.7万元，占65.94</w:t>
      </w:r>
      <w:r>
        <w:rPr>
          <w:rFonts w:ascii="仿宋" w:hAnsi="仿宋" w:eastAsia="仿宋" w:cs="宋体"/>
          <w:sz w:val="32"/>
          <w:szCs w:val="32"/>
        </w:rPr>
        <w:t>%</w:t>
      </w:r>
      <w:r>
        <w:rPr>
          <w:rFonts w:hint="eastAsia" w:ascii="仿宋" w:hAnsi="仿宋" w:eastAsia="仿宋" w:cs="宋体"/>
          <w:sz w:val="32"/>
          <w:szCs w:val="32"/>
        </w:rPr>
        <w:t>；上缴上级支出0万元，占0</w:t>
      </w:r>
      <w:r>
        <w:rPr>
          <w:rFonts w:ascii="仿宋" w:hAnsi="仿宋" w:eastAsia="仿宋" w:cs="宋体"/>
          <w:sz w:val="32"/>
          <w:szCs w:val="32"/>
        </w:rPr>
        <w:t>%</w:t>
      </w:r>
      <w:r>
        <w:rPr>
          <w:rFonts w:hint="eastAsia" w:ascii="仿宋" w:hAnsi="仿宋" w:eastAsia="仿宋" w:cs="宋体"/>
          <w:sz w:val="32"/>
          <w:szCs w:val="32"/>
        </w:rPr>
        <w:t>；经营支出0万元，占0</w:t>
      </w:r>
      <w:r>
        <w:rPr>
          <w:rFonts w:ascii="仿宋" w:hAnsi="仿宋" w:eastAsia="仿宋" w:cs="宋体"/>
          <w:sz w:val="32"/>
          <w:szCs w:val="32"/>
        </w:rPr>
        <w:t>%</w:t>
      </w:r>
      <w:r>
        <w:rPr>
          <w:rFonts w:hint="eastAsia" w:ascii="仿宋" w:hAnsi="仿宋" w:eastAsia="仿宋" w:cs="宋体"/>
          <w:sz w:val="32"/>
          <w:szCs w:val="32"/>
        </w:rPr>
        <w:t>；对附属单位补助支出0万元，占0</w:t>
      </w:r>
      <w:r>
        <w:rPr>
          <w:rFonts w:ascii="仿宋" w:hAnsi="仿宋" w:eastAsia="仿宋" w:cs="宋体"/>
          <w:sz w:val="32"/>
          <w:szCs w:val="32"/>
        </w:rPr>
        <w:t>%</w:t>
      </w:r>
      <w:r>
        <w:rPr>
          <w:rFonts w:hint="eastAsia" w:ascii="仿宋" w:hAnsi="仿宋" w:eastAsia="仿宋" w:cs="宋体"/>
          <w:sz w:val="32"/>
          <w:szCs w:val="32"/>
        </w:rPr>
        <w:t>。</w:t>
      </w:r>
    </w:p>
    <w:p>
      <w:pPr>
        <w:pStyle w:val="127"/>
        <w:ind w:firstLine="640" w:firstLineChars="200"/>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pStyle w:val="127"/>
        <w:ind w:firstLine="640" w:firstLineChars="200"/>
        <w:rPr>
          <w:rFonts w:ascii="仿宋" w:hAnsi="仿宋" w:eastAsia="仿宋" w:cs="Times New Roman"/>
          <w:sz w:val="32"/>
          <w:szCs w:val="32"/>
        </w:rPr>
      </w:pPr>
      <w:r>
        <w:rPr>
          <w:rFonts w:ascii="仿宋" w:hAnsi="仿宋" w:eastAsia="仿宋" w:cs="宋体"/>
          <w:sz w:val="32"/>
          <w:szCs w:val="32"/>
        </w:rPr>
        <w:t>2020</w:t>
      </w:r>
      <w:r>
        <w:rPr>
          <w:rFonts w:hint="eastAsia" w:ascii="仿宋" w:hAnsi="仿宋" w:eastAsia="仿宋" w:cs="宋体"/>
          <w:sz w:val="32"/>
          <w:szCs w:val="32"/>
        </w:rPr>
        <w:t>年度“三公”经费财政拨款支出决算中，公务接待费支出决算3.4万元，占100</w:t>
      </w:r>
      <w:r>
        <w:rPr>
          <w:rFonts w:ascii="仿宋" w:hAnsi="仿宋" w:eastAsia="仿宋" w:cs="宋体"/>
          <w:sz w:val="32"/>
          <w:szCs w:val="32"/>
        </w:rPr>
        <w:t>%,</w:t>
      </w:r>
      <w:r>
        <w:rPr>
          <w:rFonts w:hint="eastAsia" w:ascii="仿宋" w:hAnsi="仿宋" w:eastAsia="仿宋" w:cs="宋体"/>
          <w:sz w:val="32"/>
          <w:szCs w:val="32"/>
        </w:rPr>
        <w:t>因公出国（境）费支出决算0万元，占0</w:t>
      </w:r>
      <w:r>
        <w:rPr>
          <w:rFonts w:ascii="仿宋" w:hAnsi="仿宋" w:eastAsia="仿宋" w:cs="宋体"/>
          <w:sz w:val="32"/>
          <w:szCs w:val="32"/>
        </w:rPr>
        <w:t>%,</w:t>
      </w:r>
      <w:r>
        <w:rPr>
          <w:rFonts w:hint="eastAsia" w:ascii="仿宋" w:hAnsi="仿宋" w:eastAsia="仿宋" w:cs="宋体"/>
          <w:sz w:val="32"/>
          <w:szCs w:val="32"/>
        </w:rPr>
        <w:t>公务用车购置费及运行维护费支出决算0万元，占0</w:t>
      </w:r>
      <w:r>
        <w:rPr>
          <w:rFonts w:ascii="仿宋" w:hAnsi="仿宋" w:eastAsia="仿宋" w:cs="宋体"/>
          <w:sz w:val="32"/>
          <w:szCs w:val="32"/>
        </w:rPr>
        <w:t>%</w:t>
      </w:r>
      <w:r>
        <w:rPr>
          <w:rFonts w:hint="eastAsia" w:ascii="仿宋" w:hAnsi="仿宋" w:eastAsia="仿宋" w:cs="宋体"/>
          <w:sz w:val="32"/>
          <w:szCs w:val="32"/>
        </w:rPr>
        <w:t>。其中：</w:t>
      </w:r>
    </w:p>
    <w:p>
      <w:pPr>
        <w:pStyle w:val="127"/>
        <w:ind w:firstLine="640" w:firstLineChars="200"/>
        <w:rPr>
          <w:rFonts w:ascii="仿宋" w:hAnsi="仿宋" w:eastAsia="仿宋" w:cs="Times New Roman"/>
          <w:color w:val="000000" w:themeColor="text1"/>
          <w:sz w:val="32"/>
          <w:szCs w:val="32"/>
        </w:rPr>
      </w:pPr>
      <w:r>
        <w:rPr>
          <w:rFonts w:ascii="仿宋" w:hAnsi="仿宋" w:eastAsia="仿宋" w:cs="宋体"/>
          <w:sz w:val="32"/>
          <w:szCs w:val="32"/>
        </w:rPr>
        <w:t>1</w:t>
      </w:r>
      <w:r>
        <w:rPr>
          <w:rFonts w:hint="eastAsia" w:ascii="仿宋" w:hAnsi="仿宋" w:eastAsia="仿宋" w:cs="宋体"/>
          <w:sz w:val="32"/>
          <w:szCs w:val="32"/>
        </w:rPr>
        <w:t>、因公出国（境）费支出决算为0万元，全年安排因公出国（境）团组0个，累计0人次</w:t>
      </w:r>
      <w:r>
        <w:rPr>
          <w:rFonts w:hint="eastAsia" w:ascii="仿宋" w:hAnsi="仿宋" w:eastAsia="仿宋" w:cs="宋体"/>
          <w:i/>
          <w:iCs/>
          <w:color w:val="000000" w:themeColor="text1"/>
          <w:sz w:val="32"/>
          <w:szCs w:val="32"/>
        </w:rPr>
        <w:t>。</w:t>
      </w:r>
    </w:p>
    <w:p>
      <w:pPr>
        <w:pStyle w:val="127"/>
        <w:ind w:firstLine="800" w:firstLineChars="25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、公务接待费支出决算为3.4万元，全年共接待来访团组42个，来宾243人次，主要是</w:t>
      </w:r>
      <w:r>
        <w:rPr>
          <w:rFonts w:hint="eastAsia" w:ascii="仿宋" w:hAnsi="仿宋" w:eastAsia="仿宋"/>
          <w:sz w:val="32"/>
          <w:szCs w:val="32"/>
        </w:rPr>
        <w:t>创新型县建设</w:t>
      </w:r>
      <w:r>
        <w:rPr>
          <w:rFonts w:hint="eastAsia" w:ascii="仿宋" w:hAnsi="仿宋" w:eastAsia="仿宋" w:cs="宋体"/>
          <w:sz w:val="32"/>
          <w:szCs w:val="32"/>
        </w:rPr>
        <w:t>发生的接待支出。</w:t>
      </w:r>
    </w:p>
    <w:p>
      <w:pPr>
        <w:ind w:firstLine="800" w:firstLineChars="250"/>
        <w:rPr>
          <w:rFonts w:ascii="仿宋" w:hAnsi="仿宋" w:eastAsia="仿宋"/>
          <w:color w:val="000000"/>
          <w:kern w:val="0"/>
          <w:sz w:val="32"/>
          <w:szCs w:val="32"/>
        </w:rPr>
      </w:pPr>
      <w:r>
        <w:rPr>
          <w:rFonts w:ascii="仿宋" w:hAnsi="仿宋" w:eastAsia="仿宋" w:cs="宋体"/>
          <w:sz w:val="32"/>
          <w:szCs w:val="32"/>
        </w:rPr>
        <w:t>3</w:t>
      </w:r>
      <w:r>
        <w:rPr>
          <w:rFonts w:hint="eastAsia" w:ascii="仿宋" w:hAnsi="仿宋" w:eastAsia="仿宋" w:cs="宋体"/>
          <w:sz w:val="32"/>
          <w:szCs w:val="32"/>
        </w:rPr>
        <w:t>、公务用车购置费及运行维护费支出决算为0万元，其中：公务用车购置费0万元，单位本级更新公务用车0辆</w:t>
      </w:r>
      <w:r>
        <w:rPr>
          <w:rFonts w:hint="eastAsia" w:ascii="仿宋" w:hAnsi="仿宋" w:eastAsia="仿宋" w:cs="宋体"/>
          <w:color w:val="000000"/>
          <w:sz w:val="32"/>
          <w:szCs w:val="32"/>
        </w:rPr>
        <w:t>。</w:t>
      </w:r>
      <w:r>
        <w:rPr>
          <w:rFonts w:hint="eastAsia" w:ascii="仿宋" w:hAnsi="仿宋" w:eastAsia="仿宋" w:cs="宋体"/>
          <w:sz w:val="32"/>
          <w:szCs w:val="32"/>
        </w:rPr>
        <w:t>公务用车运行维护费0万元。截止</w:t>
      </w:r>
      <w:r>
        <w:rPr>
          <w:rFonts w:ascii="仿宋" w:hAnsi="仿宋" w:eastAsia="仿宋" w:cs="宋体"/>
          <w:sz w:val="32"/>
          <w:szCs w:val="32"/>
        </w:rPr>
        <w:t>2020</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日，我单位开支财政拨款的公务用车保有量为0辆。</w:t>
      </w:r>
    </w:p>
    <w:p>
      <w:pPr>
        <w:widowControl/>
        <w:ind w:firstLine="640" w:firstLineChars="20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left="602" w:firstLine="38"/>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（一）部门绩效总目标</w:t>
      </w:r>
    </w:p>
    <w:p>
      <w:pPr>
        <w:ind w:firstLine="480" w:firstLineChars="150"/>
        <w:rPr>
          <w:rFonts w:ascii="仿宋" w:hAnsi="仿宋" w:eastAsia="仿宋"/>
          <w:sz w:val="32"/>
          <w:szCs w:val="32"/>
        </w:rPr>
      </w:pPr>
      <w:r>
        <w:rPr>
          <w:rFonts w:hint="eastAsia" w:ascii="仿宋" w:hAnsi="仿宋" w:eastAsia="仿宋"/>
          <w:sz w:val="32"/>
          <w:szCs w:val="32"/>
        </w:rPr>
        <w:t>1、以科技计划项目为载体，进一步提高我县科技创新能力，发展高新科技产业。</w:t>
      </w:r>
    </w:p>
    <w:p>
      <w:pPr>
        <w:ind w:firstLine="480" w:firstLineChars="150"/>
        <w:rPr>
          <w:rFonts w:ascii="仿宋" w:hAnsi="仿宋" w:eastAsia="仿宋"/>
          <w:sz w:val="32"/>
          <w:szCs w:val="32"/>
        </w:rPr>
      </w:pPr>
      <w:r>
        <w:rPr>
          <w:rFonts w:hint="eastAsia" w:ascii="仿宋" w:hAnsi="仿宋" w:eastAsia="仿宋"/>
          <w:sz w:val="32"/>
          <w:szCs w:val="32"/>
        </w:rPr>
        <w:t>2、保障干部职工生活待遇，保证日常工作正常运转</w:t>
      </w:r>
    </w:p>
    <w:p>
      <w:pPr>
        <w:ind w:firstLine="320" w:firstLineChars="1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（二）20</w:t>
      </w:r>
      <w:r>
        <w:rPr>
          <w:rFonts w:hint="eastAsia" w:ascii="Times New Roman" w:hAnsi="Times New Roman" w:eastAsia="仿宋_GB2312"/>
          <w:color w:val="222222"/>
          <w:kern w:val="0"/>
          <w:sz w:val="32"/>
          <w:szCs w:val="32"/>
        </w:rPr>
        <w:t>20</w:t>
      </w:r>
      <w:r>
        <w:rPr>
          <w:rFonts w:ascii="Times New Roman" w:hAnsi="Times New Roman" w:eastAsia="仿宋_GB2312"/>
          <w:color w:val="222222"/>
          <w:kern w:val="0"/>
          <w:sz w:val="32"/>
          <w:szCs w:val="32"/>
        </w:rPr>
        <w:t>年度部门绩效目标</w:t>
      </w:r>
    </w:p>
    <w:p>
      <w:pPr>
        <w:pStyle w:val="127"/>
        <w:ind w:left="640"/>
        <w:rPr>
          <w:rFonts w:ascii="仿宋" w:hAnsi="仿宋" w:eastAsia="仿宋"/>
          <w:sz w:val="32"/>
          <w:szCs w:val="32"/>
        </w:rPr>
      </w:pPr>
      <w:r>
        <w:rPr>
          <w:rFonts w:hint="eastAsia" w:ascii="仿宋" w:hAnsi="仿宋" w:eastAsia="仿宋"/>
          <w:sz w:val="32"/>
          <w:szCs w:val="32"/>
        </w:rPr>
        <w:t>1、发展高新技术产业。积极培育高新技术企业，扶持以生物医药与健康食品、新型建材与家居、智能制造为主的高新技术产业发展。加快省级高新园区创建工作。培育高新技术企业5家。</w:t>
      </w:r>
    </w:p>
    <w:p>
      <w:pPr>
        <w:pStyle w:val="127"/>
        <w:ind w:left="640"/>
        <w:rPr>
          <w:rFonts w:ascii="仿宋" w:hAnsi="仿宋" w:eastAsia="仿宋"/>
          <w:sz w:val="32"/>
          <w:szCs w:val="32"/>
        </w:rPr>
      </w:pPr>
      <w:r>
        <w:rPr>
          <w:rFonts w:hint="eastAsia" w:ascii="仿宋" w:hAnsi="仿宋" w:eastAsia="仿宋"/>
          <w:sz w:val="32"/>
          <w:szCs w:val="32"/>
        </w:rPr>
        <w:t>2、提升科技创新能力。积极宣传研发奖补、科技项目、科技金融等方面的政策，引导企业加大研发投入，成为创新主体，提升企业创新能力。签订产学研合作协议10个。</w:t>
      </w:r>
    </w:p>
    <w:p>
      <w:pPr>
        <w:pStyle w:val="127"/>
        <w:ind w:left="640"/>
        <w:rPr>
          <w:rFonts w:ascii="仿宋" w:hAnsi="仿宋" w:eastAsia="仿宋"/>
          <w:sz w:val="32"/>
          <w:szCs w:val="32"/>
        </w:rPr>
      </w:pPr>
      <w:r>
        <w:rPr>
          <w:rFonts w:hint="eastAsia" w:ascii="仿宋" w:hAnsi="仿宋" w:eastAsia="仿宋"/>
          <w:sz w:val="32"/>
          <w:szCs w:val="32"/>
        </w:rPr>
        <w:t>3、促进产学研结合。加大与高校、科研院所的对接，促进企业与高校、科研院所建立产学研合作，加快科技成果转化。</w:t>
      </w:r>
    </w:p>
    <w:p>
      <w:pPr>
        <w:pStyle w:val="127"/>
        <w:ind w:left="640"/>
        <w:rPr>
          <w:rFonts w:ascii="仿宋" w:hAnsi="仿宋" w:eastAsia="仿宋" w:cs="Times New Roman"/>
          <w:sz w:val="32"/>
          <w:szCs w:val="32"/>
        </w:rPr>
      </w:pPr>
      <w:r>
        <w:rPr>
          <w:rFonts w:hint="eastAsia" w:ascii="仿宋" w:hAnsi="仿宋" w:eastAsia="仿宋"/>
          <w:sz w:val="32"/>
          <w:szCs w:val="32"/>
        </w:rPr>
        <w:t>4、打造创新平台。持续推进省重点实验室、院士工作站、星创天地等创新平台建设。新增创新平台3个。</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1、严格落实《预算法》及主管部门绩效管理的相关制度和规定，进一步规范和落实财政资金的专项管理，强化财政支出绩效理念，提高资金使用效益。</w:t>
      </w:r>
    </w:p>
    <w:p>
      <w:pPr>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2、根据绩效评价的要求，我单位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(一)推动创新型县建设，助力高质量发展</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按照省创新型县培育建设实施方案，着力抓好省级创新型县开端之年建设工作任务的落实。根据省科技厅的培育建设创新型县实施方案，已拟定我县实施方案（讨论稿），重点支持企业研发投入、科技园区（平台）建设、主导产业转型升级以及高企和科技型中小企业培育。</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w:t>
      </w:r>
      <w:r>
        <w:rPr>
          <w:rFonts w:ascii="仿宋" w:hAnsi="仿宋" w:eastAsia="仿宋" w:cs="楷体"/>
          <w:color w:val="000000" w:themeColor="text1"/>
          <w:sz w:val="32"/>
          <w:szCs w:val="32"/>
        </w:rPr>
        <w:t>积极向上</w:t>
      </w:r>
      <w:r>
        <w:rPr>
          <w:rFonts w:hint="eastAsia" w:ascii="仿宋" w:hAnsi="仿宋" w:eastAsia="仿宋" w:cs="楷体"/>
          <w:color w:val="000000" w:themeColor="text1"/>
          <w:sz w:val="32"/>
          <w:szCs w:val="32"/>
        </w:rPr>
        <w:t>争资争项</w:t>
      </w:r>
      <w:r>
        <w:rPr>
          <w:rFonts w:ascii="仿宋" w:hAnsi="仿宋" w:eastAsia="仿宋" w:cs="楷体"/>
          <w:color w:val="000000" w:themeColor="text1"/>
          <w:sz w:val="32"/>
          <w:szCs w:val="32"/>
        </w:rPr>
        <w:t>，激发企业创新活力</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今年，我局通过强化科技计划项目管理，激发企业创新活力，提升企业核心竞争力。组织多家企业成功申报了国家、省、市各类科技计划项目30余项，已争取资金1</w:t>
      </w:r>
      <w:r>
        <w:rPr>
          <w:rFonts w:ascii="仿宋" w:hAnsi="仿宋" w:eastAsia="仿宋"/>
          <w:color w:val="000000" w:themeColor="text1"/>
          <w:sz w:val="32"/>
          <w:szCs w:val="32"/>
        </w:rPr>
        <w:t>100</w:t>
      </w:r>
      <w:r>
        <w:rPr>
          <w:rFonts w:hint="eastAsia" w:ascii="仿宋" w:hAnsi="仿宋" w:eastAsia="仿宋"/>
          <w:color w:val="000000" w:themeColor="text1"/>
          <w:sz w:val="32"/>
          <w:szCs w:val="32"/>
        </w:rPr>
        <w:t>多万元。其中：湖南平安医械科技申报的科技部“科技助力经济2020”重点专项，其《高性能医用防护口罩关键技术研究与应用》项目，获科技部立项，获经费50万元；澧县新鹏陶瓷申报的省科学技术奖，其《建筑陶瓷绿色制造关键技术研究与产业化》项目，获省科技进步三等奖，获奖补资金5万元；华诚农业科技申报了省科技特派员创新创业计划项目，其《红薯—叶菜高效栽培模式开发及示范推广项目》，获省科技厅立项，获经费10万元；县少年宫申报的创新型省份建设科普专题项目，其《澧县青少年科普系列活动》项目获省科技厅立项，获经费15万元；湖南运达机电申报的省科技创新引领计划项目（科技攻关类项目），其《重型车桥气压盘式制动器关键技术研究与应用》，获省科技厅立项，根据申报指南方案预计可获经费300万元；另还有湖南运达机电申报的市级重大科技项目《高性能气压盘式制动器研制及产业化》，获市科技局立项，预计可获经费300万元，康哲制药的2018年市级科技重大项目《水解蛋白扩大规模生产工艺研究及产业化》获连续支持，今年获第三期经费50万元，该项目已累计获支持经费250万元；常德益翔实业的《安全实用自动快速折叠的婴儿车设计开发项目》，获市科技创新二等奖，获奖励资金10万元。</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（三）加快高新产业发展，统筹科技重点指标</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强化科技研发投入与创新工作，激发企业创新潜能，助力企业提升核心竞争力。</w:t>
      </w:r>
      <w:r>
        <w:rPr>
          <w:rFonts w:hint="eastAsia" w:ascii="仿宋" w:hAnsi="仿宋" w:eastAsia="仿宋"/>
          <w:bCs/>
          <w:color w:val="000000" w:themeColor="text1"/>
          <w:sz w:val="32"/>
          <w:szCs w:val="32"/>
        </w:rPr>
        <w:t>一是强抓重要科技指标。</w:t>
      </w:r>
      <w:r>
        <w:rPr>
          <w:rFonts w:ascii="仿宋" w:hAnsi="仿宋" w:eastAsia="仿宋"/>
          <w:color w:val="000000" w:themeColor="text1"/>
          <w:sz w:val="32"/>
          <w:szCs w:val="32"/>
        </w:rPr>
        <w:t>1.</w:t>
      </w:r>
      <w:r>
        <w:rPr>
          <w:rFonts w:hint="eastAsia" w:ascii="仿宋" w:hAnsi="仿宋" w:eastAsia="仿宋"/>
          <w:color w:val="000000" w:themeColor="text1"/>
          <w:sz w:val="32"/>
          <w:szCs w:val="32"/>
        </w:rPr>
        <w:t>全社会R</w:t>
      </w:r>
      <w:r>
        <w:rPr>
          <w:rFonts w:ascii="仿宋" w:hAnsi="仿宋" w:eastAsia="仿宋"/>
          <w:color w:val="000000" w:themeColor="text1"/>
          <w:sz w:val="32"/>
          <w:szCs w:val="32"/>
        </w:rPr>
        <w:t>&amp;</w:t>
      </w:r>
      <w:r>
        <w:rPr>
          <w:rFonts w:hint="eastAsia" w:ascii="仿宋" w:hAnsi="仿宋" w:eastAsia="仿宋"/>
          <w:color w:val="000000" w:themeColor="text1"/>
          <w:sz w:val="32"/>
          <w:szCs w:val="32"/>
        </w:rPr>
        <w:t>D经费投入达到市定总量，</w:t>
      </w:r>
      <w:r>
        <w:rPr>
          <w:rFonts w:ascii="仿宋" w:hAnsi="仿宋" w:eastAsia="仿宋"/>
          <w:color w:val="000000" w:themeColor="text1"/>
          <w:sz w:val="32"/>
          <w:szCs w:val="32"/>
        </w:rPr>
        <w:t>1-10</w:t>
      </w:r>
      <w:r>
        <w:rPr>
          <w:rFonts w:hint="eastAsia" w:ascii="仿宋" w:hAnsi="仿宋" w:eastAsia="仿宋"/>
          <w:color w:val="000000" w:themeColor="text1"/>
          <w:sz w:val="32"/>
          <w:szCs w:val="32"/>
        </w:rPr>
        <w:t>月，我县研发经费投入已达</w:t>
      </w:r>
      <w:r>
        <w:rPr>
          <w:rFonts w:ascii="仿宋" w:hAnsi="仿宋" w:eastAsia="仿宋"/>
          <w:color w:val="000000" w:themeColor="text1"/>
          <w:sz w:val="32"/>
          <w:szCs w:val="32"/>
        </w:rPr>
        <w:t>9.95</w:t>
      </w:r>
      <w:r>
        <w:rPr>
          <w:rFonts w:hint="eastAsia" w:ascii="仿宋" w:hAnsi="仿宋" w:eastAsia="仿宋"/>
          <w:color w:val="000000" w:themeColor="text1"/>
          <w:sz w:val="32"/>
          <w:szCs w:val="32"/>
        </w:rPr>
        <w:t>亿元，占市定目标总量的</w:t>
      </w:r>
      <w:r>
        <w:rPr>
          <w:rFonts w:ascii="仿宋" w:hAnsi="仿宋" w:eastAsia="仿宋"/>
          <w:color w:val="000000" w:themeColor="text1"/>
          <w:sz w:val="32"/>
          <w:szCs w:val="32"/>
        </w:rPr>
        <w:t>82.92</w:t>
      </w:r>
      <w:r>
        <w:rPr>
          <w:rFonts w:hint="eastAsia" w:ascii="仿宋" w:hAnsi="仿宋" w:eastAsia="仿宋"/>
          <w:color w:val="000000" w:themeColor="text1"/>
          <w:sz w:val="32"/>
          <w:szCs w:val="32"/>
        </w:rPr>
        <w:t>%（预计11月可完成12亿的全年市定目标）；2.财政科技支出达到全市平均增速，1-11月，我县财政科技支出为</w:t>
      </w:r>
      <w:r>
        <w:rPr>
          <w:rFonts w:ascii="仿宋" w:hAnsi="仿宋" w:eastAsia="仿宋"/>
          <w:color w:val="000000" w:themeColor="text1"/>
          <w:sz w:val="32"/>
          <w:szCs w:val="32"/>
        </w:rPr>
        <w:t>14343</w:t>
      </w:r>
      <w:r>
        <w:rPr>
          <w:rFonts w:hint="eastAsia" w:ascii="仿宋" w:hAnsi="仿宋" w:eastAsia="仿宋"/>
          <w:color w:val="000000" w:themeColor="text1"/>
          <w:sz w:val="32"/>
          <w:szCs w:val="32"/>
        </w:rPr>
        <w:t>万元，增速为</w:t>
      </w:r>
      <w:r>
        <w:rPr>
          <w:rFonts w:ascii="仿宋" w:hAnsi="仿宋" w:eastAsia="仿宋"/>
          <w:color w:val="000000" w:themeColor="text1"/>
          <w:sz w:val="32"/>
          <w:szCs w:val="32"/>
        </w:rPr>
        <w:t>102.58</w:t>
      </w:r>
      <w:r>
        <w:rPr>
          <w:rFonts w:hint="eastAsia" w:ascii="仿宋" w:hAnsi="仿宋" w:eastAsia="仿宋"/>
          <w:color w:val="000000" w:themeColor="text1"/>
          <w:sz w:val="32"/>
          <w:szCs w:val="32"/>
        </w:rPr>
        <w:t>%，高出全市平均增速近</w:t>
      </w:r>
      <w:r>
        <w:rPr>
          <w:rFonts w:ascii="仿宋" w:hAnsi="仿宋" w:eastAsia="仿宋"/>
          <w:color w:val="000000" w:themeColor="text1"/>
          <w:sz w:val="32"/>
          <w:szCs w:val="32"/>
        </w:rPr>
        <w:t>74.12</w:t>
      </w:r>
      <w:r>
        <w:rPr>
          <w:rFonts w:hint="eastAsia" w:ascii="仿宋" w:hAnsi="仿宋" w:eastAsia="仿宋"/>
          <w:color w:val="000000" w:themeColor="text1"/>
          <w:sz w:val="32"/>
          <w:szCs w:val="32"/>
        </w:rPr>
        <w:t>个百分点（市对县绩效考核全年目标任务预期达全市平均增速，预计可完成目标任务）；3. 高新技术产业增加值增速达到当地GDP增速：前三季度，全县高新技术产业增加值增速为3.9%，高于GDP增速（2.7%），全县高新技术产业增加值27.96亿元，占GDP比重为10.2%，比去年同期低3.4个百分点。</w:t>
      </w:r>
      <w:r>
        <w:rPr>
          <w:rFonts w:hint="eastAsia" w:ascii="仿宋" w:hAnsi="仿宋" w:eastAsia="仿宋"/>
          <w:bCs/>
          <w:color w:val="000000" w:themeColor="text1"/>
          <w:sz w:val="32"/>
          <w:szCs w:val="32"/>
        </w:rPr>
        <w:t>二是狠抓企业主体培育。</w:t>
      </w:r>
      <w:r>
        <w:rPr>
          <w:rFonts w:ascii="仿宋" w:hAnsi="仿宋" w:eastAsia="仿宋"/>
          <w:color w:val="000000" w:themeColor="text1"/>
          <w:sz w:val="32"/>
          <w:szCs w:val="32"/>
        </w:rPr>
        <w:t>1.</w:t>
      </w:r>
      <w:r>
        <w:rPr>
          <w:rFonts w:hint="eastAsia" w:ascii="仿宋" w:hAnsi="仿宋" w:eastAsia="仿宋"/>
          <w:color w:val="000000" w:themeColor="text1"/>
          <w:sz w:val="32"/>
          <w:szCs w:val="32"/>
        </w:rPr>
        <w:t>我局全年组织</w:t>
      </w:r>
      <w:r>
        <w:rPr>
          <w:rFonts w:hint="eastAsia" w:ascii="仿宋" w:hAnsi="仿宋" w:eastAsia="仿宋"/>
          <w:bCs/>
          <w:color w:val="000000" w:themeColor="text1"/>
          <w:sz w:val="32"/>
          <w:szCs w:val="32"/>
        </w:rPr>
        <w:t>40家</w:t>
      </w:r>
      <w:r>
        <w:rPr>
          <w:rFonts w:hint="eastAsia" w:ascii="仿宋" w:hAnsi="仿宋" w:eastAsia="仿宋"/>
          <w:color w:val="000000" w:themeColor="text1"/>
          <w:sz w:val="32"/>
          <w:szCs w:val="32"/>
        </w:rPr>
        <w:t>企业开展科技型中小企业评价与入库工作，已全部通过评价入库，超额完成了市定目标</w:t>
      </w:r>
      <w:r>
        <w:rPr>
          <w:rFonts w:ascii="仿宋" w:hAnsi="仿宋" w:eastAsia="仿宋"/>
          <w:color w:val="000000" w:themeColor="text1"/>
          <w:sz w:val="32"/>
          <w:szCs w:val="32"/>
        </w:rPr>
        <w:t>32</w:t>
      </w:r>
      <w:r>
        <w:rPr>
          <w:rFonts w:hint="eastAsia" w:ascii="仿宋" w:hAnsi="仿宋" w:eastAsia="仿宋"/>
          <w:color w:val="000000" w:themeColor="text1"/>
          <w:sz w:val="32"/>
          <w:szCs w:val="32"/>
        </w:rPr>
        <w:t>家企业评价入库的工作任务；</w:t>
      </w:r>
      <w:r>
        <w:rPr>
          <w:rFonts w:ascii="仿宋" w:hAnsi="仿宋" w:eastAsia="仿宋"/>
          <w:color w:val="000000" w:themeColor="text1"/>
          <w:sz w:val="32"/>
          <w:szCs w:val="32"/>
        </w:rPr>
        <w:t>2.</w:t>
      </w:r>
      <w:r>
        <w:rPr>
          <w:rFonts w:hint="eastAsia" w:ascii="仿宋" w:hAnsi="仿宋" w:eastAsia="仿宋"/>
          <w:color w:val="000000" w:themeColor="text1"/>
          <w:sz w:val="32"/>
          <w:szCs w:val="32"/>
        </w:rPr>
        <w:t>针对我县高新技术后备企业基础薄弱的实际，四月，召开了高企申报专题培训会，组织22家企业进行2019年度研发费用准备金备案，今年，已组织两批8家企业申报高企，现均已通过认定，我县高新技术企业达</w:t>
      </w:r>
      <w:r>
        <w:rPr>
          <w:rFonts w:hint="eastAsia" w:ascii="仿宋" w:hAnsi="仿宋" w:eastAsia="仿宋"/>
          <w:bCs/>
          <w:color w:val="000000" w:themeColor="text1"/>
          <w:sz w:val="32"/>
          <w:szCs w:val="32"/>
        </w:rPr>
        <w:t>22家</w:t>
      </w:r>
      <w:r>
        <w:rPr>
          <w:rFonts w:hint="eastAsia" w:ascii="仿宋" w:hAnsi="仿宋" w:eastAsia="仿宋"/>
          <w:color w:val="000000" w:themeColor="text1"/>
          <w:sz w:val="32"/>
          <w:szCs w:val="32"/>
        </w:rPr>
        <w:t>，已超额完成全年认定6家以上的工作任务（已完成市定目标20家）。</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（四）加强惠企政策引领，助推企业高质量发展</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围绕企业是科技创新发展的主体，加大科技惠企政策支持，激发企业参与科技创新的潜能。</w:t>
      </w:r>
      <w:r>
        <w:rPr>
          <w:rFonts w:hint="eastAsia" w:ascii="仿宋" w:hAnsi="仿宋" w:eastAsia="仿宋"/>
          <w:bCs/>
          <w:color w:val="000000" w:themeColor="text1"/>
          <w:sz w:val="32"/>
          <w:szCs w:val="32"/>
        </w:rPr>
        <w:t>一是完善科技惠企政策。</w:t>
      </w:r>
      <w:r>
        <w:rPr>
          <w:rFonts w:hint="eastAsia" w:ascii="仿宋" w:hAnsi="仿宋" w:eastAsia="仿宋"/>
          <w:color w:val="000000" w:themeColor="text1"/>
          <w:sz w:val="32"/>
          <w:szCs w:val="32"/>
        </w:rPr>
        <w:t>围绕企业是科技创新发展的主体，加大科技惠企政策支持。我局参与制定了《关于进一步促进工业企业高质量发展暂行办法》（澧政发﹝2020﹞6号），丰富了科技金融和科技创新奖励等政策，进一步完善了科技创新政策支撑体系。</w:t>
      </w:r>
      <w:r>
        <w:rPr>
          <w:rFonts w:hint="eastAsia" w:ascii="仿宋" w:hAnsi="仿宋" w:eastAsia="仿宋"/>
          <w:bCs/>
          <w:color w:val="000000" w:themeColor="text1"/>
          <w:sz w:val="32"/>
          <w:szCs w:val="32"/>
        </w:rPr>
        <w:t>二是申报省研发财政奖补。</w:t>
      </w:r>
      <w:r>
        <w:rPr>
          <w:rFonts w:hint="eastAsia" w:ascii="仿宋" w:hAnsi="仿宋" w:eastAsia="仿宋"/>
          <w:color w:val="000000" w:themeColor="text1"/>
          <w:sz w:val="32"/>
          <w:szCs w:val="32"/>
        </w:rPr>
        <w:t>我局组织了12家企业申报2</w:t>
      </w:r>
      <w:r>
        <w:rPr>
          <w:rFonts w:ascii="仿宋" w:hAnsi="仿宋" w:eastAsia="仿宋"/>
          <w:color w:val="000000" w:themeColor="text1"/>
          <w:sz w:val="32"/>
          <w:szCs w:val="32"/>
        </w:rPr>
        <w:t>020</w:t>
      </w:r>
      <w:r>
        <w:rPr>
          <w:rFonts w:hint="eastAsia" w:ascii="仿宋" w:hAnsi="仿宋" w:eastAsia="仿宋"/>
          <w:color w:val="000000" w:themeColor="text1"/>
          <w:sz w:val="32"/>
          <w:szCs w:val="32"/>
        </w:rPr>
        <w:t>年省研发费用增量奖补资金，获奖补资金</w:t>
      </w:r>
      <w:r>
        <w:rPr>
          <w:rFonts w:ascii="仿宋" w:hAnsi="仿宋" w:eastAsia="仿宋"/>
          <w:color w:val="000000" w:themeColor="text1"/>
          <w:sz w:val="32"/>
          <w:szCs w:val="32"/>
        </w:rPr>
        <w:t>263.39</w:t>
      </w:r>
      <w:r>
        <w:rPr>
          <w:rFonts w:hint="eastAsia" w:ascii="仿宋" w:hAnsi="仿宋" w:eastAsia="仿宋"/>
          <w:color w:val="000000" w:themeColor="text1"/>
          <w:sz w:val="32"/>
          <w:szCs w:val="32"/>
        </w:rPr>
        <w:t>万元。（2020年我县拟获奖补资金较2019年获奖补资金</w:t>
      </w:r>
      <w:r>
        <w:rPr>
          <w:rFonts w:ascii="仿宋" w:hAnsi="仿宋" w:eastAsia="仿宋"/>
          <w:color w:val="000000" w:themeColor="text1"/>
          <w:sz w:val="32"/>
          <w:szCs w:val="32"/>
        </w:rPr>
        <w:t>&lt;</w:t>
      </w:r>
      <w:r>
        <w:rPr>
          <w:rFonts w:hint="eastAsia" w:ascii="仿宋" w:hAnsi="仿宋" w:eastAsia="仿宋"/>
          <w:color w:val="000000" w:themeColor="text1"/>
          <w:sz w:val="32"/>
          <w:szCs w:val="32"/>
        </w:rPr>
        <w:t>75.19万元</w:t>
      </w:r>
      <w:r>
        <w:rPr>
          <w:rFonts w:ascii="仿宋" w:hAnsi="仿宋" w:eastAsia="仿宋"/>
          <w:color w:val="000000" w:themeColor="text1"/>
          <w:sz w:val="32"/>
          <w:szCs w:val="32"/>
        </w:rPr>
        <w:t>&gt;</w:t>
      </w:r>
      <w:r>
        <w:rPr>
          <w:rFonts w:hint="eastAsia" w:ascii="仿宋" w:hAnsi="仿宋" w:eastAsia="仿宋"/>
          <w:color w:val="000000" w:themeColor="text1"/>
          <w:sz w:val="32"/>
          <w:szCs w:val="32"/>
        </w:rPr>
        <w:t>相比增长250.03%）。</w:t>
      </w:r>
      <w:r>
        <w:rPr>
          <w:rFonts w:hint="eastAsia" w:ascii="仿宋" w:hAnsi="仿宋" w:eastAsia="仿宋"/>
          <w:bCs/>
          <w:color w:val="000000" w:themeColor="text1"/>
          <w:sz w:val="32"/>
          <w:szCs w:val="32"/>
        </w:rPr>
        <w:t>三是积极争取专项资金扶持。</w:t>
      </w:r>
      <w:r>
        <w:rPr>
          <w:rFonts w:hint="eastAsia" w:ascii="仿宋" w:hAnsi="仿宋" w:eastAsia="仿宋"/>
          <w:color w:val="000000" w:themeColor="text1"/>
          <w:sz w:val="32"/>
          <w:szCs w:val="32"/>
        </w:rPr>
        <w:t>市科技局、市财政局发布了新冠疫情应急专项申报通知，我局积极组织企业申报该专项，其中，平安科技申报的项目获立项，获补助资金10万元。同月，县科技局也发布了县本级新冠疫情应急专项申报通知，对符合条件的平安科技和嘉业达电子申报的项目进行了立项，并通过后补助的形式给予每家企业5万元的经费支持。</w:t>
      </w:r>
      <w:r>
        <w:rPr>
          <w:rFonts w:hint="eastAsia" w:ascii="仿宋" w:hAnsi="仿宋" w:eastAsia="仿宋"/>
          <w:bCs/>
          <w:color w:val="000000" w:themeColor="text1"/>
          <w:sz w:val="32"/>
          <w:szCs w:val="32"/>
        </w:rPr>
        <w:t>四是加大企业融资贷款扶持。</w:t>
      </w:r>
      <w:r>
        <w:rPr>
          <w:rFonts w:hint="eastAsia" w:ascii="仿宋" w:hAnsi="仿宋" w:eastAsia="仿宋"/>
          <w:color w:val="000000" w:themeColor="text1"/>
          <w:sz w:val="32"/>
          <w:szCs w:val="32"/>
        </w:rPr>
        <w:t>为协调发展环境，帮助企业解决实际困难和问题，我局为有融资贷款需求的企业嘉业达电子给予专利质押融资资助优先支持，帮助益翔实业、诺雅蚕丝和嘉业达电子等三家企业获2019年省专利质押融资补助近5万元。按照市科技局疫情期间“稳十条”实施细则的精神，为恒邦建工、洞庭春米业、嘉业达电子、诺雅蚕丝、益翔实业等5家企业提供科技银行贷款，发放贷款2600万元。</w:t>
      </w:r>
      <w:r>
        <w:rPr>
          <w:rFonts w:hint="eastAsia" w:ascii="仿宋" w:hAnsi="仿宋" w:eastAsia="仿宋"/>
          <w:bCs/>
          <w:color w:val="000000" w:themeColor="text1"/>
          <w:sz w:val="32"/>
          <w:szCs w:val="32"/>
        </w:rPr>
        <w:t>五是切实减轻企业房租成本。</w:t>
      </w:r>
      <w:r>
        <w:rPr>
          <w:rFonts w:hint="eastAsia" w:ascii="仿宋" w:hAnsi="仿宋" w:eastAsia="仿宋"/>
          <w:color w:val="000000" w:themeColor="text1"/>
          <w:sz w:val="32"/>
          <w:szCs w:val="32"/>
        </w:rPr>
        <w:t>根据市科技局疫情期间“稳十条”实施细则的精神，我局第一时间对接市科技局，并积极组织澧州实业省级科技企业孵化器、众创空间进行租金减免补贴申报，市科技局对我县符合条件的19家企业给予了7万元的租金减免补贴。</w:t>
      </w:r>
      <w:r>
        <w:rPr>
          <w:rFonts w:hint="eastAsia" w:ascii="仿宋" w:hAnsi="仿宋" w:eastAsia="仿宋"/>
          <w:bCs/>
          <w:color w:val="000000" w:themeColor="text1"/>
          <w:sz w:val="32"/>
          <w:szCs w:val="32"/>
        </w:rPr>
        <w:t>六是高新企业新认定奖补。</w:t>
      </w:r>
      <w:r>
        <w:rPr>
          <w:rFonts w:hint="eastAsia" w:ascii="仿宋" w:hAnsi="仿宋" w:eastAsia="仿宋"/>
          <w:color w:val="000000" w:themeColor="text1"/>
          <w:sz w:val="32"/>
          <w:szCs w:val="32"/>
        </w:rPr>
        <w:t>积极对接市科技局，今年，市科技局对我县2019年新认定高新技术企业绿之源生态科技、鑫铃卫浴、界溪河林业、冠元生物等四家企业，给予每家10万元的奖补。</w:t>
      </w:r>
      <w:r>
        <w:rPr>
          <w:rFonts w:hint="eastAsia" w:ascii="仿宋" w:hAnsi="仿宋" w:eastAsia="仿宋"/>
          <w:bCs/>
          <w:color w:val="000000" w:themeColor="text1"/>
          <w:sz w:val="32"/>
          <w:szCs w:val="32"/>
        </w:rPr>
        <w:t>七是科学安排县级科技三项经费。</w:t>
      </w:r>
      <w:r>
        <w:rPr>
          <w:rFonts w:hint="eastAsia" w:ascii="仿宋" w:hAnsi="仿宋" w:eastAsia="仿宋"/>
          <w:color w:val="000000" w:themeColor="text1"/>
          <w:sz w:val="32"/>
          <w:szCs w:val="32"/>
        </w:rPr>
        <w:t>今年，我县科技三项经费财政预算是120万元，主要用于支持工业、农业和社会发展领域技术创新。同时，还安排了新型冠状病毒感染的肺炎疫情应急专项、科技成果转移转化专项、鼓励全社会加大研发投入专项、科技宣传专项和科技示范基地建设5个专项。</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（五）深入推进乡村振兴，科技助力农业发展</w:t>
      </w:r>
    </w:p>
    <w:p>
      <w:pPr>
        <w:spacing w:line="576"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bCs/>
          <w:color w:val="000000" w:themeColor="text1"/>
          <w:sz w:val="32"/>
          <w:szCs w:val="32"/>
        </w:rPr>
        <w:t>组建科技专家服务团。</w:t>
      </w:r>
      <w:r>
        <w:rPr>
          <w:rFonts w:hint="eastAsia" w:ascii="仿宋" w:hAnsi="仿宋" w:eastAsia="仿宋"/>
          <w:color w:val="000000" w:themeColor="text1"/>
          <w:sz w:val="32"/>
          <w:szCs w:val="32"/>
        </w:rPr>
        <w:t>为进一步发挥科技创新在脱贫攻坚和乡村振兴中的支撑引领作用，根据《澧县科技人员服务农业农村发展实施方案》，我局组建了澧县科技专家服务团，服务团由4名省派科技特派员、6名高校科研院所的专家和48名县本级科技人才组成。九月，我县科技专家服务团项目获省科技厅立项，获资金10万元。截至目前，已组织科技专家服务活动10余次，技术培训会3场，技术指导近50次。2.</w:t>
      </w:r>
      <w:r>
        <w:rPr>
          <w:rFonts w:hint="eastAsia" w:ascii="仿宋" w:hAnsi="仿宋" w:eastAsia="仿宋"/>
          <w:bCs/>
          <w:color w:val="000000" w:themeColor="text1"/>
          <w:sz w:val="32"/>
          <w:szCs w:val="32"/>
        </w:rPr>
        <w:t>推荐省、市科技特派员。</w:t>
      </w:r>
      <w:r>
        <w:rPr>
          <w:rFonts w:hint="eastAsia" w:ascii="仿宋" w:hAnsi="仿宋" w:eastAsia="仿宋"/>
          <w:color w:val="000000" w:themeColor="text1"/>
          <w:sz w:val="32"/>
          <w:szCs w:val="32"/>
        </w:rPr>
        <w:t>推荐了湖南农业大学聂明建教授、湖南省林业科学院陈隆升博士等4名省级科技特派员，为我县油茶、水产、林业、水果等相关产业提供技术服务。澧县农业农村局陈国等葡萄专家被认定为市级团队特派员，主要为葡萄产业发展提供技术服务；澧县华润水产的罗德军被选派为法人特派员，主要为全县及周边地区南美白对虾养殖提供技术服务。3.</w:t>
      </w:r>
      <w:r>
        <w:rPr>
          <w:rFonts w:hint="eastAsia" w:ascii="仿宋" w:hAnsi="仿宋" w:eastAsia="仿宋"/>
          <w:bCs/>
          <w:color w:val="000000" w:themeColor="text1"/>
          <w:sz w:val="32"/>
          <w:szCs w:val="32"/>
        </w:rPr>
        <w:t>选派县科技特派员。</w:t>
      </w:r>
      <w:r>
        <w:rPr>
          <w:rFonts w:hint="eastAsia" w:ascii="仿宋" w:hAnsi="仿宋" w:eastAsia="仿宋"/>
          <w:color w:val="000000" w:themeColor="text1"/>
          <w:sz w:val="32"/>
          <w:szCs w:val="32"/>
        </w:rPr>
        <w:t>今年选派了县级科技特派员28名，其中农业农村局15人，林业局7人，畜牧水产事务中心4人，葡萄产业和对虾产业带头人各1人。</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（六）加强平台建设，聚集创新要素</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olor w:val="000000" w:themeColor="text1"/>
          <w:sz w:val="32"/>
          <w:szCs w:val="32"/>
        </w:rPr>
        <w:t>优化创新创业平台建设，聚焦科技创新人才，整合创新资源。</w:t>
      </w:r>
      <w:r>
        <w:rPr>
          <w:rFonts w:hint="eastAsia" w:ascii="仿宋" w:hAnsi="仿宋" w:eastAsia="仿宋"/>
          <w:bCs/>
          <w:color w:val="000000" w:themeColor="text1"/>
          <w:sz w:val="32"/>
          <w:szCs w:val="32"/>
        </w:rPr>
        <w:t>一是全力支持平安科技创建医用高分子制品省级重点实验室</w:t>
      </w:r>
      <w:r>
        <w:rPr>
          <w:rFonts w:hint="eastAsia" w:ascii="仿宋" w:hAnsi="仿宋" w:eastAsia="仿宋"/>
          <w:color w:val="000000" w:themeColor="text1"/>
          <w:sz w:val="32"/>
          <w:szCs w:val="32"/>
        </w:rPr>
        <w:t>，11月20日，省科技厅已组织专家到平安科技进行现场考察。</w:t>
      </w:r>
      <w:r>
        <w:rPr>
          <w:rFonts w:hint="eastAsia" w:ascii="仿宋" w:hAnsi="仿宋" w:eastAsia="仿宋"/>
          <w:bCs/>
          <w:color w:val="000000" w:themeColor="text1"/>
          <w:sz w:val="32"/>
          <w:szCs w:val="32"/>
        </w:rPr>
        <w:t>二是加快创新创业园建设</w:t>
      </w:r>
      <w:r>
        <w:rPr>
          <w:rFonts w:hint="eastAsia" w:ascii="仿宋" w:hAnsi="仿宋" w:eastAsia="仿宋"/>
          <w:color w:val="000000" w:themeColor="text1"/>
          <w:sz w:val="32"/>
          <w:szCs w:val="32"/>
        </w:rPr>
        <w:t>，积极争取中央引导地方专项，打造澧县创新创业综合服务平台。11月，其线下服务平台开始试运营。</w:t>
      </w:r>
      <w:r>
        <w:rPr>
          <w:rFonts w:hint="eastAsia" w:ascii="仿宋" w:hAnsi="仿宋" w:eastAsia="仿宋"/>
          <w:bCs/>
          <w:color w:val="000000" w:themeColor="text1"/>
          <w:sz w:val="32"/>
          <w:szCs w:val="32"/>
        </w:rPr>
        <w:t>三是做好星创天地备案</w:t>
      </w:r>
      <w:r>
        <w:rPr>
          <w:rFonts w:hint="eastAsia" w:ascii="仿宋" w:hAnsi="仿宋" w:eastAsia="仿宋"/>
          <w:color w:val="000000" w:themeColor="text1"/>
          <w:sz w:val="32"/>
          <w:szCs w:val="32"/>
        </w:rPr>
        <w:t>。常德华诚依托彭山农旅打造省级星创天地，澧县民丰林业科技打造市级星创天地。</w:t>
      </w:r>
      <w:r>
        <w:rPr>
          <w:rFonts w:hint="eastAsia" w:ascii="仿宋" w:hAnsi="仿宋" w:eastAsia="仿宋"/>
          <w:bCs/>
          <w:color w:val="000000" w:themeColor="text1"/>
          <w:sz w:val="32"/>
          <w:szCs w:val="32"/>
        </w:rPr>
        <w:t>四是培育推荐市级工程技术研究中心</w:t>
      </w:r>
      <w:r>
        <w:rPr>
          <w:rFonts w:hint="eastAsia" w:ascii="仿宋" w:hAnsi="仿宋" w:eastAsia="仿宋"/>
          <w:color w:val="000000" w:themeColor="text1"/>
          <w:sz w:val="32"/>
          <w:szCs w:val="32"/>
        </w:rPr>
        <w:t>，津溥包装、城头山红薯食品和嘉业达电子等3家市级工程技术研究中心已通过验收。</w:t>
      </w:r>
      <w:r>
        <w:rPr>
          <w:rFonts w:hint="eastAsia" w:ascii="仿宋" w:hAnsi="仿宋" w:eastAsia="仿宋"/>
          <w:bCs/>
          <w:color w:val="000000" w:themeColor="text1"/>
          <w:sz w:val="32"/>
          <w:szCs w:val="32"/>
        </w:rPr>
        <w:t>五是申创科普基地</w:t>
      </w:r>
      <w:r>
        <w:rPr>
          <w:rFonts w:hint="eastAsia" w:ascii="仿宋" w:hAnsi="仿宋" w:eastAsia="仿宋"/>
          <w:color w:val="000000" w:themeColor="text1"/>
          <w:sz w:val="32"/>
          <w:szCs w:val="32"/>
        </w:rPr>
        <w:t>，澧县涔槐湿地公园成果申创市级科普基地。</w:t>
      </w:r>
      <w:r>
        <w:rPr>
          <w:rFonts w:hint="eastAsia" w:ascii="仿宋" w:hAnsi="仿宋" w:eastAsia="仿宋"/>
          <w:bCs/>
          <w:color w:val="000000" w:themeColor="text1"/>
          <w:sz w:val="32"/>
          <w:szCs w:val="32"/>
        </w:rPr>
        <w:t>六是积极组织“沅澧创新人才”申报</w:t>
      </w:r>
      <w:r>
        <w:rPr>
          <w:rFonts w:hint="eastAsia" w:ascii="仿宋" w:hAnsi="仿宋" w:eastAsia="仿宋"/>
          <w:color w:val="000000" w:themeColor="text1"/>
          <w:sz w:val="32"/>
          <w:szCs w:val="32"/>
        </w:rPr>
        <w:t>，已申报18人。</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（七）推动科技成果转移转化和区域创新</w:t>
      </w:r>
    </w:p>
    <w:p>
      <w:pPr>
        <w:spacing w:line="55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助推品牌活动，搭建校企研（院）交流合作平台。一是积极协助县高新区、联合金荣集团筹备常德市“智汇洞庭</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科创常德”科技成果转移转化系列活动——澧县专场和对接好湖南文理学院教授博士“沅澧行”活动；二是推动产学研合作，建立企业技术需求台账。促成俏佳人与湖南文理学院、湘枳生物与湖南中医药大学、民丰林业与中南林业科技大学、嘉业达电子与四川大学、平安科技与中南大学的产学研合作，均已签订科技成果转移合同。全年签订技术交易合同</w:t>
      </w:r>
      <w:r>
        <w:rPr>
          <w:rFonts w:ascii="仿宋" w:hAnsi="仿宋" w:eastAsia="仿宋"/>
          <w:color w:val="000000" w:themeColor="text1"/>
          <w:sz w:val="32"/>
          <w:szCs w:val="32"/>
        </w:rPr>
        <w:t>4</w:t>
      </w:r>
      <w:r>
        <w:rPr>
          <w:rFonts w:hint="eastAsia" w:ascii="仿宋" w:hAnsi="仿宋" w:eastAsia="仿宋"/>
          <w:color w:val="000000" w:themeColor="text1"/>
          <w:sz w:val="32"/>
          <w:szCs w:val="32"/>
        </w:rPr>
        <w:t>份，交易金额</w:t>
      </w:r>
      <w:r>
        <w:rPr>
          <w:rFonts w:ascii="仿宋" w:hAnsi="仿宋" w:eastAsia="仿宋"/>
          <w:color w:val="000000" w:themeColor="text1"/>
          <w:sz w:val="32"/>
          <w:szCs w:val="32"/>
        </w:rPr>
        <w:t>2.8</w:t>
      </w:r>
      <w:r>
        <w:rPr>
          <w:rFonts w:hint="eastAsia" w:ascii="仿宋" w:hAnsi="仿宋" w:eastAsia="仿宋"/>
          <w:color w:val="000000" w:themeColor="text1"/>
          <w:sz w:val="32"/>
          <w:szCs w:val="32"/>
        </w:rPr>
        <w:t>亿元。</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（八）促进社发科技发展</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s="仿宋"/>
          <w:color w:val="000000" w:themeColor="text1"/>
          <w:sz w:val="32"/>
          <w:szCs w:val="32"/>
        </w:rPr>
        <w:t>今年，我局围绕科技活动周“科技战疫</w:t>
      </w: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创新强国”主题，面向基层、面向民众宣传科普知识和科技方针政策，</w:t>
      </w:r>
      <w:r>
        <w:rPr>
          <w:rFonts w:ascii="仿宋" w:hAnsi="仿宋" w:eastAsia="仿宋" w:cs="仿宋"/>
          <w:bCs/>
          <w:color w:val="000000" w:themeColor="text1"/>
          <w:sz w:val="32"/>
          <w:szCs w:val="32"/>
        </w:rPr>
        <w:t>3月，</w:t>
      </w:r>
      <w:r>
        <w:rPr>
          <w:rFonts w:hint="eastAsia" w:ascii="仿宋" w:hAnsi="仿宋" w:eastAsia="仿宋"/>
          <w:color w:val="000000" w:themeColor="text1"/>
          <w:spacing w:val="-4"/>
          <w:sz w:val="32"/>
          <w:szCs w:val="32"/>
        </w:rPr>
        <w:t>积极组织干部职工成功申报市社科联课题一项；</w:t>
      </w:r>
      <w:r>
        <w:rPr>
          <w:rFonts w:ascii="仿宋" w:hAnsi="仿宋" w:eastAsia="仿宋" w:cs="仿宋"/>
          <w:bCs/>
          <w:color w:val="000000" w:themeColor="text1"/>
          <w:sz w:val="32"/>
          <w:szCs w:val="32"/>
        </w:rPr>
        <w:t>5月，</w:t>
      </w:r>
      <w:r>
        <w:rPr>
          <w:rFonts w:hint="eastAsia" w:ascii="仿宋" w:hAnsi="仿宋" w:eastAsia="仿宋" w:cs="仿宋"/>
          <w:color w:val="000000" w:themeColor="text1"/>
          <w:sz w:val="32"/>
          <w:szCs w:val="32"/>
        </w:rPr>
        <w:t>我局联合</w:t>
      </w:r>
      <w:r>
        <w:rPr>
          <w:rFonts w:hint="eastAsia" w:ascii="仿宋" w:hAnsi="仿宋" w:eastAsia="仿宋"/>
          <w:color w:val="000000" w:themeColor="text1"/>
          <w:spacing w:val="-4"/>
          <w:sz w:val="32"/>
          <w:szCs w:val="32"/>
        </w:rPr>
        <w:t>青少年活动中心等多单位举办科技辅导员培训班；</w:t>
      </w:r>
      <w:r>
        <w:rPr>
          <w:rFonts w:hint="eastAsia" w:ascii="仿宋" w:hAnsi="仿宋" w:eastAsia="仿宋"/>
          <w:bCs/>
          <w:color w:val="000000" w:themeColor="text1"/>
          <w:spacing w:val="-4"/>
          <w:sz w:val="32"/>
          <w:szCs w:val="32"/>
        </w:rPr>
        <w:t>7月，</w:t>
      </w:r>
      <w:r>
        <w:rPr>
          <w:rFonts w:hint="eastAsia" w:ascii="仿宋" w:hAnsi="仿宋" w:eastAsia="仿宋"/>
          <w:color w:val="000000" w:themeColor="text1"/>
          <w:spacing w:val="-4"/>
          <w:sz w:val="32"/>
          <w:szCs w:val="32"/>
        </w:rPr>
        <w:t>积极参加市局组织的“常德市科普讲解大赛”，我县推荐选手获优胜奖；</w:t>
      </w:r>
      <w:r>
        <w:rPr>
          <w:rFonts w:hint="eastAsia" w:ascii="仿宋" w:hAnsi="仿宋" w:eastAsia="仿宋"/>
          <w:bCs/>
          <w:color w:val="000000" w:themeColor="text1"/>
          <w:spacing w:val="-4"/>
          <w:sz w:val="32"/>
          <w:szCs w:val="32"/>
        </w:rPr>
        <w:t>9月初，</w:t>
      </w:r>
      <w:r>
        <w:rPr>
          <w:rFonts w:hint="eastAsia" w:ascii="仿宋" w:hAnsi="仿宋" w:eastAsia="仿宋"/>
          <w:color w:val="000000" w:themeColor="text1"/>
          <w:spacing w:val="-4"/>
          <w:sz w:val="32"/>
          <w:szCs w:val="32"/>
        </w:rPr>
        <w:t>联合县科协等多单位举办“澧县青少年新冠肺炎科普知识讲座”，</w:t>
      </w:r>
      <w:r>
        <w:rPr>
          <w:rFonts w:hint="eastAsia" w:ascii="仿宋" w:hAnsi="仿宋" w:eastAsia="仿宋"/>
          <w:bCs/>
          <w:color w:val="000000" w:themeColor="text1"/>
          <w:spacing w:val="-4"/>
          <w:sz w:val="32"/>
          <w:szCs w:val="32"/>
        </w:rPr>
        <w:t>9月底，</w:t>
      </w:r>
      <w:r>
        <w:rPr>
          <w:rFonts w:hint="eastAsia" w:ascii="仿宋" w:hAnsi="仿宋" w:eastAsia="仿宋"/>
          <w:color w:val="000000" w:themeColor="text1"/>
          <w:spacing w:val="-4"/>
          <w:sz w:val="32"/>
          <w:szCs w:val="32"/>
        </w:rPr>
        <w:t>联合县科协等多单位举办了“澧县第九届中小学生国学·科普知识大赛”；</w:t>
      </w:r>
      <w:r>
        <w:rPr>
          <w:rFonts w:hint="eastAsia" w:ascii="仿宋" w:hAnsi="仿宋" w:eastAsia="仿宋"/>
          <w:bCs/>
          <w:color w:val="000000" w:themeColor="text1"/>
          <w:spacing w:val="-4"/>
          <w:sz w:val="32"/>
          <w:szCs w:val="32"/>
        </w:rPr>
        <w:t>10月，</w:t>
      </w:r>
      <w:r>
        <w:rPr>
          <w:rFonts w:hint="eastAsia" w:ascii="仿宋" w:hAnsi="仿宋" w:eastAsia="仿宋"/>
          <w:color w:val="000000" w:themeColor="text1"/>
          <w:spacing w:val="-4"/>
          <w:sz w:val="32"/>
          <w:szCs w:val="32"/>
        </w:rPr>
        <w:t>联合青少年活动中心等多单位举办了“澧县第二届中小学生蚕桑文化研学实践活动”。</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二、2020年</w:t>
      </w:r>
      <w:r>
        <w:rPr>
          <w:rFonts w:hint="eastAsia" w:ascii="仿宋" w:hAnsi="仿宋" w:eastAsia="仿宋" w:cs="黑体"/>
          <w:color w:val="000000" w:themeColor="text1"/>
          <w:sz w:val="32"/>
          <w:szCs w:val="32"/>
        </w:rPr>
        <w:t>中心</w:t>
      </w:r>
      <w:r>
        <w:rPr>
          <w:rFonts w:hint="eastAsia" w:ascii="仿宋" w:hAnsi="仿宋" w:eastAsia="仿宋"/>
          <w:color w:val="000000" w:themeColor="text1"/>
          <w:sz w:val="32"/>
          <w:szCs w:val="32"/>
        </w:rPr>
        <w:t>工作情况</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（一）强化理论武装，深化思想认识</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bCs/>
          <w:color w:val="000000" w:themeColor="text1"/>
          <w:sz w:val="32"/>
          <w:szCs w:val="32"/>
        </w:rPr>
        <w:t>一是强基础抓学习。</w:t>
      </w:r>
      <w:r>
        <w:rPr>
          <w:rFonts w:hint="eastAsia" w:ascii="仿宋" w:hAnsi="仿宋" w:eastAsia="仿宋"/>
          <w:snapToGrid w:val="0"/>
          <w:color w:val="000000" w:themeColor="text1"/>
          <w:kern w:val="0"/>
          <w:sz w:val="32"/>
          <w:szCs w:val="32"/>
        </w:rPr>
        <w:t>全局将深入学习领会习近平新时代中国特色社会主义思想，深入贯彻落实党的十九大和十九届五中全会精神，以及</w:t>
      </w:r>
      <w:r>
        <w:rPr>
          <w:rFonts w:hint="eastAsia" w:ascii="仿宋" w:hAnsi="仿宋" w:eastAsia="仿宋"/>
          <w:color w:val="000000" w:themeColor="text1"/>
          <w:sz w:val="32"/>
          <w:szCs w:val="32"/>
        </w:rPr>
        <w:t>习近平总书记在湖南考察时的重要讲话精神作为</w:t>
      </w:r>
      <w:r>
        <w:rPr>
          <w:rFonts w:hint="eastAsia" w:ascii="仿宋" w:hAnsi="仿宋" w:eastAsia="仿宋"/>
          <w:snapToGrid w:val="0"/>
          <w:color w:val="000000" w:themeColor="text1"/>
          <w:kern w:val="0"/>
          <w:sz w:val="32"/>
          <w:szCs w:val="32"/>
        </w:rPr>
        <w:t>中心组学习内容。</w:t>
      </w:r>
      <w:r>
        <w:rPr>
          <w:rFonts w:hint="eastAsia" w:ascii="仿宋" w:hAnsi="仿宋" w:eastAsia="仿宋"/>
          <w:bCs/>
          <w:color w:val="000000" w:themeColor="text1"/>
          <w:sz w:val="32"/>
          <w:szCs w:val="32"/>
        </w:rPr>
        <w:t>二是用好“学习强国”平台</w:t>
      </w:r>
      <w:r>
        <w:rPr>
          <w:rFonts w:hint="eastAsia" w:ascii="仿宋" w:hAnsi="仿宋" w:eastAsia="仿宋"/>
          <w:color w:val="000000" w:themeColor="text1"/>
          <w:sz w:val="32"/>
          <w:szCs w:val="32"/>
        </w:rPr>
        <w:t>。切实抓好“学习强国”学习平台建设推广使用管理工作，持续营造学习宣传贯彻党的创新理论浓厚氛围。学习情况做到月统计月通报，目前，我局活跃度达95%以上，积分达两万的有3人，平均积分达15000分。</w:t>
      </w:r>
      <w:r>
        <w:rPr>
          <w:rFonts w:hint="eastAsia" w:ascii="仿宋" w:hAnsi="仿宋" w:eastAsia="仿宋"/>
          <w:bCs/>
          <w:color w:val="000000" w:themeColor="text1"/>
          <w:sz w:val="32"/>
          <w:szCs w:val="32"/>
        </w:rPr>
        <w:t>三是加强科技业务工作理论学习</w:t>
      </w:r>
      <w:r>
        <w:rPr>
          <w:rFonts w:hint="eastAsia" w:ascii="仿宋" w:hAnsi="仿宋" w:eastAsia="仿宋"/>
          <w:color w:val="000000" w:themeColor="text1"/>
          <w:sz w:val="32"/>
          <w:szCs w:val="32"/>
        </w:rPr>
        <w:t>。通过召开会议、举办和参加活动等形式，加强业务交流，由分管负责人组织全体干部职工进行业务知识学习</w:t>
      </w:r>
      <w:r>
        <w:rPr>
          <w:rFonts w:ascii="仿宋" w:hAnsi="仿宋" w:eastAsia="仿宋"/>
          <w:color w:val="000000" w:themeColor="text1"/>
          <w:sz w:val="32"/>
          <w:szCs w:val="32"/>
        </w:rPr>
        <w:t>8</w:t>
      </w:r>
      <w:r>
        <w:rPr>
          <w:rFonts w:hint="eastAsia" w:ascii="仿宋" w:hAnsi="仿宋" w:eastAsia="仿宋"/>
          <w:color w:val="000000" w:themeColor="text1"/>
          <w:sz w:val="32"/>
          <w:szCs w:val="32"/>
        </w:rPr>
        <w:t>次。</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（二）增强政治意识，落实意识形态工作</w:t>
      </w:r>
    </w:p>
    <w:p>
      <w:pPr>
        <w:spacing w:line="576"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按照分级负责和谁主管谁负责的原则，局党组对本单位意识形态工作负主体责任</w:t>
      </w:r>
      <w:r>
        <w:rPr>
          <w:rFonts w:hint="eastAsia" w:ascii="仿宋" w:hAnsi="仿宋" w:eastAsia="仿宋"/>
          <w:color w:val="000000" w:themeColor="text1"/>
          <w:sz w:val="32"/>
          <w:szCs w:val="32"/>
        </w:rPr>
        <w:t>，党组书记履行意识形态工作第一责任人责任，带头抓意识形态工作，班子成员将意识形态建设作为民主生活会和述职报告的重要内容。</w:t>
      </w:r>
      <w:r>
        <w:rPr>
          <w:rFonts w:ascii="仿宋" w:hAnsi="仿宋" w:eastAsia="仿宋"/>
          <w:color w:val="000000" w:themeColor="text1"/>
          <w:sz w:val="32"/>
          <w:szCs w:val="32"/>
        </w:rPr>
        <w:t>局党组认真安排意识形态的专题学习，多次召开班子成员、党员干部参加意识形态领域分析会议，将意识形态</w:t>
      </w:r>
      <w:r>
        <w:rPr>
          <w:rFonts w:hint="eastAsia" w:ascii="仿宋" w:hAnsi="仿宋" w:eastAsia="仿宋"/>
          <w:color w:val="000000" w:themeColor="text1"/>
          <w:sz w:val="32"/>
          <w:szCs w:val="32"/>
        </w:rPr>
        <w:t>建设</w:t>
      </w:r>
      <w:r>
        <w:rPr>
          <w:rFonts w:ascii="仿宋" w:hAnsi="仿宋" w:eastAsia="仿宋"/>
          <w:color w:val="000000" w:themeColor="text1"/>
          <w:sz w:val="32"/>
          <w:szCs w:val="32"/>
        </w:rPr>
        <w:t>纳入综合目标考评，与业务工作同部署、同落实、同检查、同考核</w:t>
      </w:r>
      <w:r>
        <w:rPr>
          <w:rFonts w:hint="eastAsia" w:ascii="仿宋" w:hAnsi="仿宋" w:eastAsia="仿宋"/>
          <w:color w:val="000000" w:themeColor="text1"/>
          <w:sz w:val="32"/>
          <w:szCs w:val="32"/>
        </w:rPr>
        <w:t>，始终把意识形态工作摆在极端重要位置。</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（三）深化精神文明建设，丰富宣传手段</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以创市级文明单位为契机，抓实抓细文明建设。</w:t>
      </w:r>
      <w:r>
        <w:rPr>
          <w:rFonts w:hint="eastAsia" w:ascii="仿宋" w:hAnsi="仿宋" w:eastAsia="仿宋"/>
          <w:bCs/>
          <w:color w:val="000000" w:themeColor="text1"/>
          <w:sz w:val="32"/>
          <w:szCs w:val="32"/>
        </w:rPr>
        <w:t>一是持续开展社会主义核心价值观践行活动</w:t>
      </w:r>
      <w:r>
        <w:rPr>
          <w:rFonts w:hint="eastAsia" w:ascii="仿宋" w:hAnsi="仿宋" w:eastAsia="仿宋"/>
          <w:color w:val="000000" w:themeColor="text1"/>
          <w:sz w:val="32"/>
          <w:szCs w:val="32"/>
        </w:rPr>
        <w:t>，通过加强阵地建设和社会宣传，全面宣传和培育社会主义核心价值观，提升公民道德文化素养和文明程度；</w:t>
      </w:r>
      <w:r>
        <w:rPr>
          <w:rFonts w:hint="eastAsia" w:ascii="仿宋" w:hAnsi="仿宋" w:eastAsia="仿宋"/>
          <w:bCs/>
          <w:color w:val="000000" w:themeColor="text1"/>
          <w:sz w:val="32"/>
          <w:szCs w:val="32"/>
        </w:rPr>
        <w:t>二是以“我们的节日”为主题扎实开展传统节日活动。</w:t>
      </w:r>
      <w:r>
        <w:rPr>
          <w:rFonts w:hint="eastAsia" w:ascii="仿宋" w:hAnsi="仿宋" w:eastAsia="仿宋"/>
          <w:color w:val="000000" w:themeColor="text1"/>
          <w:sz w:val="32"/>
          <w:szCs w:val="32"/>
        </w:rPr>
        <w:t>深挖节日内涵，引导传承优秀文化。</w:t>
      </w:r>
      <w:r>
        <w:rPr>
          <w:rFonts w:hint="eastAsia" w:ascii="仿宋" w:hAnsi="仿宋" w:eastAsia="仿宋"/>
          <w:bCs/>
          <w:color w:val="000000" w:themeColor="text1"/>
          <w:sz w:val="32"/>
          <w:szCs w:val="32"/>
        </w:rPr>
        <w:t>三是推动志愿服务制度化、规范化、信息化建设。</w:t>
      </w:r>
      <w:r>
        <w:rPr>
          <w:rFonts w:hint="eastAsia" w:ascii="仿宋" w:hAnsi="仿宋" w:eastAsia="仿宋"/>
          <w:color w:val="000000" w:themeColor="text1"/>
          <w:sz w:val="32"/>
          <w:szCs w:val="32"/>
        </w:rPr>
        <w:t>一方面是制定志愿服务实施方案，积极开展志愿服务活动，联系结对帮扶社区（水德庙）和点村（枞杨村），参与社区共建、城市环境整治和疫情防控等志愿者服务活动，助力省级文明城市建设；一方面是积极开展社会宣传活动。组织全体干职开展“安全生产”、扫黑除恶</w:t>
      </w:r>
      <w:bookmarkStart w:id="0" w:name="_GoBack"/>
      <w:bookmarkEnd w:id="0"/>
      <w:r>
        <w:rPr>
          <w:rFonts w:hint="eastAsia" w:ascii="仿宋" w:hAnsi="仿宋" w:eastAsia="仿宋"/>
          <w:color w:val="000000" w:themeColor="text1"/>
          <w:sz w:val="32"/>
          <w:szCs w:val="32"/>
        </w:rPr>
        <w:t>、“防灾减灾”以及“公筷公勺倡议”等一系列志愿服务宣传活动，在提升干部职工综合素质的同时，增强干部职工社会责任感。</w:t>
      </w:r>
      <w:r>
        <w:rPr>
          <w:rFonts w:hint="eastAsia" w:ascii="仿宋" w:hAnsi="仿宋" w:eastAsia="仿宋"/>
          <w:bCs/>
          <w:color w:val="000000" w:themeColor="text1"/>
          <w:sz w:val="32"/>
          <w:szCs w:val="32"/>
        </w:rPr>
        <w:t>四是积极宣传、学习、推介身边榜样。</w:t>
      </w:r>
      <w:r>
        <w:rPr>
          <w:rFonts w:hint="eastAsia" w:ascii="仿宋" w:hAnsi="仿宋" w:eastAsia="仿宋"/>
          <w:color w:val="000000" w:themeColor="text1"/>
          <w:sz w:val="32"/>
          <w:szCs w:val="32"/>
        </w:rPr>
        <w:t>积极推介身边好人好事，弘扬社会正能量。我局陈云同志在全省科技统计工作中</w:t>
      </w:r>
      <w:r>
        <w:rPr>
          <w:rFonts w:hint="eastAsia" w:ascii="仿宋" w:hAnsi="仿宋" w:eastAsia="仿宋"/>
          <w:bCs/>
          <w:color w:val="000000" w:themeColor="text1"/>
          <w:sz w:val="32"/>
          <w:szCs w:val="32"/>
        </w:rPr>
        <w:t>获省科技厅表彰</w:t>
      </w:r>
      <w:r>
        <w:rPr>
          <w:rFonts w:hint="eastAsia" w:ascii="仿宋" w:hAnsi="仿宋" w:eastAsia="仿宋"/>
          <w:color w:val="000000" w:themeColor="text1"/>
          <w:sz w:val="32"/>
          <w:szCs w:val="32"/>
        </w:rPr>
        <w:t>，荣获先进工作者称号；组织优秀企业家参与“五四青年奖章”评选，其中一企业家获评县级五四青年奖章。</w:t>
      </w:r>
    </w:p>
    <w:p>
      <w:pPr>
        <w:spacing w:line="576" w:lineRule="exact"/>
        <w:ind w:firstLine="640" w:firstLineChars="200"/>
        <w:rPr>
          <w:rFonts w:ascii="仿宋" w:hAnsi="仿宋" w:eastAsia="仿宋" w:cs="楷体"/>
          <w:color w:val="000000" w:themeColor="text1"/>
          <w:sz w:val="32"/>
          <w:szCs w:val="32"/>
        </w:rPr>
      </w:pPr>
      <w:r>
        <w:rPr>
          <w:rFonts w:hint="eastAsia" w:ascii="仿宋" w:hAnsi="仿宋" w:eastAsia="仿宋" w:cs="楷体"/>
          <w:color w:val="000000" w:themeColor="text1"/>
          <w:sz w:val="32"/>
          <w:szCs w:val="32"/>
        </w:rPr>
        <w:t>（四）履行帮扶责任，打好脱贫攻坚战</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扎实推进脱贫攻坚结对帮扶工作，一是已组织三次扶贫知识学习培训会和组织近20次走访入户工作，积极主动落实责任；二是干部职工通过购买农户土鸡蛋、蜂蜜、葛根粉和蔬菜等农产品抓好抓实消费扶贫，消费近2000余元；三是干部职工自掏腰包近6000余元购置牛奶、水果和火炉等，帮助帮扶对象改善生活条件；四是利用六一儿童节，局班子成员赴盐井镇白莲小学和宜万中学慰问困境儿童，并送上1000元慰问金。我局作为王家厂枞杨村的后盾单位，11月在迎省市扶贫工作检查中，取得反响较好。</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（五）抓实抓细平安建设，全力维护社会和谐稳定</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始终将综治维稳平安建设工作作为一项重要政治任务来抓，一是自发生新冠疫情以来，县科技局始终坚持“疫情就是命令，防控就是责任”第一要义，按照防控工作要求和部署，做好人员管控、机关管控、宣传引导以及驻企帮扶等工作；二是抓好众创平安活动，积极参与社区环境整治、无偿献血、扫黑除恶和综治民调等工作。</w:t>
      </w:r>
    </w:p>
    <w:p>
      <w:pPr>
        <w:widowControl/>
        <w:ind w:firstLine="640" w:firstLineChars="200"/>
        <w:rPr>
          <w:rFonts w:ascii="仿宋" w:hAnsi="仿宋" w:eastAsia="仿宋" w:cs="黑体"/>
          <w:color w:val="00000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hint="eastAsia" w:ascii="仿宋" w:hAnsi="仿宋" w:eastAsia="仿宋" w:cs="宋体"/>
          <w:b/>
          <w:bCs/>
          <w:kern w:val="0"/>
          <w:sz w:val="32"/>
          <w:szCs w:val="32"/>
        </w:rPr>
      </w:pPr>
    </w:p>
    <w:p>
      <w:pPr>
        <w:spacing w:line="560" w:lineRule="exact"/>
        <w:ind w:firstLine="3360" w:firstLineChars="1046"/>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1</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95</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7710"/>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澧县科学技术局</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12</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12</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100%</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3.62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3.4</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3.62</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3.4</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12.87</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29.64</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4.67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1.378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4.8</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1.58</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0.5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1.2</w:t>
            </w: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9D465-AD8D-4367-9CE9-7694895728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003B9D9-9E39-48DB-97E8-8FF82CB4CB45}"/>
  </w:font>
  <w:font w:name="方正小标宋_GBK">
    <w:panose1 w:val="02000000000000000000"/>
    <w:charset w:val="86"/>
    <w:family w:val="script"/>
    <w:pitch w:val="default"/>
    <w:sig w:usb0="A00002BF" w:usb1="38CF7CFA" w:usb2="00082016" w:usb3="00000000" w:csb0="00040001" w:csb1="00000000"/>
    <w:embedRegular r:id="rId3" w:fontKey="{E3437B27-FBBA-480D-BA77-7FB650020D94}"/>
  </w:font>
  <w:font w:name="仿宋">
    <w:panose1 w:val="02010609060101010101"/>
    <w:charset w:val="86"/>
    <w:family w:val="modern"/>
    <w:pitch w:val="default"/>
    <w:sig w:usb0="800002BF" w:usb1="38CF7CFA" w:usb2="00000016" w:usb3="00000000" w:csb0="00040001" w:csb1="00000000"/>
    <w:embedRegular r:id="rId4" w:fontKey="{FE68905E-94F7-479F-B857-131497A1C2A9}"/>
  </w:font>
  <w:font w:name="楷体">
    <w:panose1 w:val="02010609060101010101"/>
    <w:charset w:val="86"/>
    <w:family w:val="modern"/>
    <w:pitch w:val="default"/>
    <w:sig w:usb0="800002BF" w:usb1="38CF7CFA" w:usb2="00000016" w:usb3="00000000" w:csb0="00040001" w:csb1="00000000"/>
    <w:embedRegular r:id="rId5" w:fontKey="{53BC0B49-DFE2-46C5-B278-23E636ABD9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15</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a160d7b1-4cba-462e-8f76-a42f4f4a372c"/>
  </w:docVars>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B09F8"/>
    <w:rsid w:val="004B4B8D"/>
    <w:rsid w:val="004C10B1"/>
    <w:rsid w:val="004C2AEE"/>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E72"/>
    <w:rsid w:val="00536A21"/>
    <w:rsid w:val="005377C3"/>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485"/>
    <w:rsid w:val="00700CD4"/>
    <w:rsid w:val="00701DF4"/>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7E67"/>
    <w:rsid w:val="00832102"/>
    <w:rsid w:val="00833FA8"/>
    <w:rsid w:val="0084564C"/>
    <w:rsid w:val="00850144"/>
    <w:rsid w:val="00851F1E"/>
    <w:rsid w:val="00853362"/>
    <w:rsid w:val="008662AB"/>
    <w:rsid w:val="00867DE4"/>
    <w:rsid w:val="00885497"/>
    <w:rsid w:val="008862A7"/>
    <w:rsid w:val="00892869"/>
    <w:rsid w:val="008A3FCC"/>
    <w:rsid w:val="008B03AA"/>
    <w:rsid w:val="008B1FF5"/>
    <w:rsid w:val="008B33CC"/>
    <w:rsid w:val="008B3530"/>
    <w:rsid w:val="008D36D8"/>
    <w:rsid w:val="008D5806"/>
    <w:rsid w:val="008D614F"/>
    <w:rsid w:val="008D7CE8"/>
    <w:rsid w:val="008E6AF7"/>
    <w:rsid w:val="008E7DED"/>
    <w:rsid w:val="008E7F9D"/>
    <w:rsid w:val="008F0E86"/>
    <w:rsid w:val="0090366D"/>
    <w:rsid w:val="00905011"/>
    <w:rsid w:val="00911DD8"/>
    <w:rsid w:val="00917770"/>
    <w:rsid w:val="00917BD6"/>
    <w:rsid w:val="00921D22"/>
    <w:rsid w:val="00921EF0"/>
    <w:rsid w:val="00931AA0"/>
    <w:rsid w:val="00940031"/>
    <w:rsid w:val="0094137E"/>
    <w:rsid w:val="00943B87"/>
    <w:rsid w:val="009442C5"/>
    <w:rsid w:val="0094685F"/>
    <w:rsid w:val="00954435"/>
    <w:rsid w:val="0095529F"/>
    <w:rsid w:val="00956048"/>
    <w:rsid w:val="00961BF1"/>
    <w:rsid w:val="0096338E"/>
    <w:rsid w:val="009709F2"/>
    <w:rsid w:val="00971562"/>
    <w:rsid w:val="0097377E"/>
    <w:rsid w:val="0097487E"/>
    <w:rsid w:val="00977060"/>
    <w:rsid w:val="00980482"/>
    <w:rsid w:val="0098378E"/>
    <w:rsid w:val="00986F29"/>
    <w:rsid w:val="009901AD"/>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12151"/>
    <w:rsid w:val="00B13B33"/>
    <w:rsid w:val="00B13F7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579B"/>
    <w:rsid w:val="00B85D54"/>
    <w:rsid w:val="00B86E61"/>
    <w:rsid w:val="00B90483"/>
    <w:rsid w:val="00B90FCE"/>
    <w:rsid w:val="00B9269A"/>
    <w:rsid w:val="00B93DBC"/>
    <w:rsid w:val="00B97A2C"/>
    <w:rsid w:val="00BA21E0"/>
    <w:rsid w:val="00BA3557"/>
    <w:rsid w:val="00BB02A3"/>
    <w:rsid w:val="00BB0D8B"/>
    <w:rsid w:val="00BB7153"/>
    <w:rsid w:val="00BD1277"/>
    <w:rsid w:val="00BD600A"/>
    <w:rsid w:val="00BD7C07"/>
    <w:rsid w:val="00BE2E9A"/>
    <w:rsid w:val="00BE6894"/>
    <w:rsid w:val="00BF20DB"/>
    <w:rsid w:val="00BF73DD"/>
    <w:rsid w:val="00C0088E"/>
    <w:rsid w:val="00C0218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921CA"/>
    <w:rsid w:val="00FA27F4"/>
    <w:rsid w:val="00FA5A76"/>
    <w:rsid w:val="00FB0000"/>
    <w:rsid w:val="00FB5CB5"/>
    <w:rsid w:val="00FD0185"/>
    <w:rsid w:val="00FD0186"/>
    <w:rsid w:val="00FD03F6"/>
    <w:rsid w:val="00FD1260"/>
    <w:rsid w:val="00FD4154"/>
    <w:rsid w:val="00FD47E3"/>
    <w:rsid w:val="00FE15F4"/>
    <w:rsid w:val="00FF2FCA"/>
    <w:rsid w:val="00FF5CAC"/>
    <w:rsid w:val="0B5B5A73"/>
    <w:rsid w:val="17203872"/>
    <w:rsid w:val="20C51591"/>
    <w:rsid w:val="3B1C521F"/>
    <w:rsid w:val="57E714CD"/>
    <w:rsid w:val="64CC7F22"/>
    <w:rsid w:val="739F07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16</Pages>
  <Words>8095</Words>
  <Characters>8584</Characters>
  <Lines>8</Lines>
  <Paragraphs>18</Paragraphs>
  <TotalTime>199</TotalTime>
  <ScaleCrop>false</ScaleCrop>
  <LinksUpToDate>false</LinksUpToDate>
  <CharactersWithSpaces>8676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2020-10-15T03:47:00Z</dcterms:created>
  <dc:creator>ASUS</dc:creator>
  <cp:lastModifiedBy>陈木沐</cp:lastModifiedBy>
  <cp:lastPrinted>2020-10-15T05:26:00Z</cp:lastPrinted>
  <dcterms:modified xsi:type="dcterms:W3CDTF">2025-02-19T09:03:04Z</dcterms:modified>
  <dc:title>2014年度常德市社会劳动保险处</dc:title>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30E3623F605E41B7AC10181B0F77A29C_12</vt:lpwstr>
  </property>
</Properties>
</file>