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left"/>
        <w:rPr>
          <w:rFonts w:ascii="Times New Roman" w:hAnsi="Times New Roman" w:eastAsiaTheme="minorEastAsia"/>
          <w:b w:val="0"/>
        </w:rPr>
      </w:pPr>
      <w:r>
        <w:rPr>
          <w:rFonts w:ascii="Times New Roman" w:hAnsi="Times New Roman" w:eastAsiaTheme="minorEastAsia"/>
          <w:b w:val="0"/>
        </w:rPr>
        <w:t>附件</w:t>
      </w:r>
      <w:r>
        <w:rPr>
          <w:rFonts w:hint="eastAsia" w:ascii="Times New Roman" w:hAnsi="Times New Roman" w:eastAsiaTheme="minorEastAsia"/>
          <w:b w:val="0"/>
        </w:rPr>
        <w:t>3：</w:t>
      </w:r>
    </w:p>
    <w:p>
      <w:pPr>
        <w:pStyle w:val="2"/>
        <w:adjustRightInd w:val="0"/>
        <w:snapToGrid w:val="0"/>
        <w:spacing w:before="0" w:after="0" w:line="600" w:lineRule="exact"/>
        <w:jc w:val="center"/>
        <w:rPr>
          <w:rFonts w:hint="eastAsia" w:ascii="Times New Roman" w:hAnsi="Times New Roman" w:eastAsiaTheme="minorEastAsia"/>
          <w:sz w:val="44"/>
          <w:szCs w:val="44"/>
        </w:rPr>
      </w:pP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20</w:t>
      </w:r>
      <w:r>
        <w:rPr>
          <w:rFonts w:ascii="Times New Roman" w:hAnsi="Times New Roman" w:eastAsiaTheme="minorEastAsia"/>
          <w:sz w:val="44"/>
          <w:szCs w:val="44"/>
        </w:rPr>
        <w:t>年度</w:t>
      </w:r>
      <w:r>
        <w:rPr>
          <w:rFonts w:hint="eastAsia" w:ascii="Times New Roman" w:hAnsi="Times New Roman" w:eastAsiaTheme="minorEastAsia"/>
          <w:sz w:val="44"/>
          <w:szCs w:val="44"/>
        </w:rPr>
        <w:t>统计业务</w:t>
      </w:r>
      <w:r>
        <w:rPr>
          <w:rFonts w:ascii="Times New Roman" w:hAnsi="Times New Roman" w:eastAsiaTheme="minorEastAsia"/>
          <w:sz w:val="44"/>
          <w:szCs w:val="44"/>
        </w:rPr>
        <w:t>专项</w:t>
      </w:r>
      <w:r>
        <w:rPr>
          <w:rFonts w:hint="eastAsia" w:ascii="Times New Roman" w:hAnsi="Times New Roman" w:eastAsiaTheme="minorEastAsia"/>
          <w:sz w:val="44"/>
          <w:szCs w:val="44"/>
        </w:rPr>
        <w:t>经费</w:t>
      </w:r>
      <w:r>
        <w:rPr>
          <w:rFonts w:ascii="Times New Roman" w:hAnsi="Times New Roman" w:eastAsiaTheme="minorEastAsia"/>
          <w:sz w:val="44"/>
          <w:szCs w:val="44"/>
        </w:rPr>
        <w:t>绩效评价报告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600" w:lineRule="exact"/>
        <w:ind w:firstLine="640" w:firstLineChars="200"/>
        <w:rPr>
          <w:rFonts w:eastAsia="仿宋_GB2312"/>
          <w:sz w:val="32"/>
          <w:szCs w:val="32"/>
        </w:rPr>
      </w:pPr>
      <w:r>
        <w:rPr>
          <w:rFonts w:hint="eastAsia" w:eastAsia="仿宋_GB2312"/>
          <w:sz w:val="32"/>
          <w:szCs w:val="32"/>
        </w:rPr>
        <w:t>1、机构设置：澧县统计局为独立核算的行政单位，属一级预算单位。根据编委核定，我单位内设股室3个，所属事业单位2个。</w:t>
      </w:r>
    </w:p>
    <w:p>
      <w:pPr>
        <w:spacing w:line="60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澧县统计局有个内设机构，分别为办公室、统计股、法制股；所属事业单位2个，为澧县电子计算站和澧县统计普查中心。2020年编制20人，在职人员20人。退休1人。</w:t>
      </w:r>
    </w:p>
    <w:p>
      <w:pPr>
        <w:spacing w:line="600" w:lineRule="exact"/>
        <w:ind w:firstLine="640" w:firstLineChars="200"/>
        <w:rPr>
          <w:rFonts w:eastAsia="仿宋_GB2312"/>
          <w:sz w:val="32"/>
          <w:szCs w:val="32"/>
        </w:rPr>
      </w:pPr>
      <w:r>
        <w:rPr>
          <w:rFonts w:hint="eastAsia" w:eastAsia="仿宋_GB2312"/>
          <w:sz w:val="32"/>
          <w:szCs w:val="32"/>
        </w:rPr>
        <w:t>2、主要职能：贯彻执行国家有关统计法律、法规、规章和方针政策，按照国家统计制度制定全县统计工作规划、规章和统计调查计划，并组织实施；承担组织、领导、协调全县统计工作，对全县统计资料实行统一管理。</w:t>
      </w:r>
    </w:p>
    <w:p>
      <w:pPr>
        <w:spacing w:line="600" w:lineRule="exact"/>
        <w:ind w:firstLine="640" w:firstLineChars="200"/>
        <w:rPr>
          <w:rFonts w:eastAsia="仿宋_GB2312"/>
          <w:sz w:val="32"/>
          <w:szCs w:val="32"/>
        </w:rPr>
      </w:pPr>
      <w:r>
        <w:rPr>
          <w:rFonts w:eastAsia="仿宋_GB2312"/>
          <w:sz w:val="32"/>
          <w:szCs w:val="32"/>
        </w:rPr>
        <w:t>（二）项目基本情况简介，包括项目基本性质、用途和主要内容、涉及范围等。</w:t>
      </w:r>
    </w:p>
    <w:p>
      <w:pPr>
        <w:spacing w:line="600" w:lineRule="exact"/>
        <w:rPr>
          <w:rFonts w:eastAsia="仿宋_GB2312"/>
          <w:sz w:val="32"/>
          <w:szCs w:val="32"/>
        </w:rPr>
      </w:pPr>
      <w:r>
        <w:rPr>
          <w:rFonts w:hint="eastAsia" w:eastAsia="仿宋_GB2312"/>
          <w:sz w:val="32"/>
          <w:szCs w:val="32"/>
        </w:rPr>
        <w:t xml:space="preserve">    根据《澧县人民政府办公室关于印发澧县统计局主要职责内设机构和人员编制规定的通知》（澧政办改[2016]10号）文件规定的职责，结合《中华人民共和国统计法》规定与实际工作需要开展各项统计调查工作。</w:t>
      </w:r>
    </w:p>
    <w:p>
      <w:pPr>
        <w:spacing w:line="600" w:lineRule="exact"/>
        <w:ind w:firstLine="640" w:firstLineChars="200"/>
        <w:rPr>
          <w:rFonts w:eastAsia="仿宋_GB2312"/>
          <w:sz w:val="32"/>
          <w:szCs w:val="32"/>
        </w:rPr>
      </w:pPr>
      <w:r>
        <w:rPr>
          <w:rFonts w:hint="eastAsia" w:eastAsia="仿宋_GB2312"/>
          <w:sz w:val="32"/>
          <w:szCs w:val="32"/>
        </w:rPr>
        <w:t>1、项目基本性质：统计业务专项经费为经常性统计调查工作业务费。</w:t>
      </w:r>
    </w:p>
    <w:p>
      <w:pPr>
        <w:spacing w:line="600" w:lineRule="exact"/>
        <w:ind w:firstLine="640" w:firstLineChars="200"/>
        <w:rPr>
          <w:rFonts w:eastAsia="仿宋_GB2312"/>
          <w:sz w:val="32"/>
          <w:szCs w:val="32"/>
        </w:rPr>
      </w:pPr>
      <w:r>
        <w:rPr>
          <w:rFonts w:hint="eastAsia" w:eastAsia="仿宋_GB2312"/>
          <w:sz w:val="32"/>
          <w:szCs w:val="32"/>
        </w:rPr>
        <w:t>2、项目用途：用于保障各项统计业务工作正常进行。</w:t>
      </w:r>
    </w:p>
    <w:p>
      <w:pPr>
        <w:spacing w:line="600" w:lineRule="exact"/>
        <w:ind w:firstLine="640" w:firstLineChars="200"/>
        <w:rPr>
          <w:rFonts w:eastAsia="仿宋_GB2312"/>
          <w:sz w:val="32"/>
          <w:szCs w:val="32"/>
        </w:rPr>
      </w:pPr>
      <w:r>
        <w:rPr>
          <w:rFonts w:hint="eastAsia" w:eastAsia="仿宋_GB2312"/>
          <w:sz w:val="32"/>
          <w:szCs w:val="32"/>
        </w:rPr>
        <w:t>3、项目主要内容：开展农业、工业、能源、投资、建筑业、房地产业、商贸、服务业、小康监测等统计业务工作。</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eastAsia="仿宋_GB2312"/>
          <w:sz w:val="32"/>
          <w:szCs w:val="32"/>
        </w:rPr>
      </w:pPr>
      <w:r>
        <w:rPr>
          <w:rFonts w:hint="eastAsia" w:eastAsia="仿宋_GB2312"/>
          <w:sz w:val="32"/>
          <w:szCs w:val="32"/>
        </w:rPr>
        <w:t>完成2020年各项统计业务工作。</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rPr>
        <w:t>20</w:t>
      </w:r>
      <w:r>
        <w:rPr>
          <w:rFonts w:eastAsia="仿宋_GB2312"/>
          <w:sz w:val="32"/>
          <w:szCs w:val="32"/>
        </w:rPr>
        <w:t>年绩效目标。</w:t>
      </w:r>
    </w:p>
    <w:p>
      <w:pPr>
        <w:spacing w:line="600" w:lineRule="exact"/>
        <w:ind w:firstLine="640" w:firstLineChars="200"/>
        <w:rPr>
          <w:rFonts w:eastAsia="仿宋_GB2312"/>
          <w:bCs/>
          <w:sz w:val="32"/>
          <w:szCs w:val="32"/>
        </w:rPr>
      </w:pPr>
      <w:r>
        <w:rPr>
          <w:rFonts w:hint="eastAsia" w:eastAsia="仿宋_GB2312"/>
          <w:bCs/>
          <w:sz w:val="32"/>
          <w:szCs w:val="32"/>
        </w:rPr>
        <w:t>完成2020年全县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工作；综合整理和提供旅游、交通运输、邮政、教育、卫生、社会保障、公用事业等全市性基本统计数据；统一核定、管理、公布全县基本统计资料，定期发布全县国民经济和社会发展情况的统计信息。</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hint="eastAsia" w:eastAsia="仿宋_GB2312"/>
          <w:sz w:val="32"/>
          <w:szCs w:val="32"/>
        </w:rPr>
        <w:t>2020年县财政安排统计业务专项资金29万元。该项目资金用于保障全县各项统计业务工作正常进行。所有支出按照《澧县统计局专项资金管理办法》和《澧县统计局财务管理制度》实行，经领导批准后执行，做到专款专用，无挤占、截留挪用、专项资金现象。</w:t>
      </w:r>
    </w:p>
    <w:p>
      <w:pPr>
        <w:spacing w:line="600" w:lineRule="exact"/>
        <w:ind w:firstLine="640" w:firstLineChars="200"/>
        <w:rPr>
          <w:rFonts w:eastAsia="仿宋_GB2312"/>
          <w:sz w:val="32"/>
          <w:szCs w:val="32"/>
        </w:rPr>
      </w:pPr>
      <w:r>
        <w:rPr>
          <w:rFonts w:hint="eastAsia" w:eastAsia="仿宋_GB2312"/>
          <w:sz w:val="32"/>
          <w:szCs w:val="32"/>
        </w:rPr>
        <w:t>项目资金单独建账进行会计核算，资金使用效率高，财务资料完善。</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黑体"/>
          <w:sz w:val="32"/>
          <w:szCs w:val="32"/>
        </w:rPr>
      </w:pPr>
      <w:r>
        <w:rPr>
          <w:rFonts w:eastAsia="黑体"/>
          <w:sz w:val="32"/>
          <w:szCs w:val="32"/>
        </w:rPr>
        <w:t>专项资金使用严格遵守国家财经纪律、各级财务管理制度规定和财务核算规定，不存在扩大</w:t>
      </w:r>
      <w:r>
        <w:rPr>
          <w:rFonts w:hint="eastAsia" w:eastAsia="黑体"/>
          <w:sz w:val="32"/>
          <w:szCs w:val="32"/>
        </w:rPr>
        <w:t>项目资金</w:t>
      </w:r>
      <w:r>
        <w:rPr>
          <w:rFonts w:eastAsia="黑体"/>
          <w:sz w:val="32"/>
          <w:szCs w:val="32"/>
        </w:rPr>
        <w:t>使用范围, 改变资金用途现象</w:t>
      </w:r>
      <w:r>
        <w:rPr>
          <w:rFonts w:hint="eastAsia" w:eastAsia="黑体"/>
          <w:sz w:val="32"/>
          <w:szCs w:val="32"/>
        </w:rPr>
        <w:t>。</w:t>
      </w: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20年，澧县统计局紧紧围绕县委、</w:t>
      </w:r>
      <w:r>
        <w:rPr>
          <w:rFonts w:hint="eastAsia" w:eastAsia="仿宋_GB2312"/>
          <w:sz w:val="32"/>
          <w:szCs w:val="32"/>
          <w:lang w:val="en-US" w:eastAsia="zh-CN"/>
        </w:rPr>
        <w:t>县</w:t>
      </w:r>
      <w:r>
        <w:rPr>
          <w:rFonts w:hint="eastAsia" w:eastAsia="仿宋_GB2312"/>
          <w:sz w:val="32"/>
          <w:szCs w:val="32"/>
        </w:rPr>
        <w:t>政府确定的重点工作任务，为领导决策当好参谋，提供优质统计服务，使我县统计事业取得了较好成效。</w:t>
      </w:r>
    </w:p>
    <w:p>
      <w:pPr>
        <w:spacing w:line="600" w:lineRule="exact"/>
        <w:ind w:firstLine="640" w:firstLineChars="200"/>
        <w:rPr>
          <w:rFonts w:eastAsia="仿宋_GB2312"/>
          <w:sz w:val="32"/>
          <w:szCs w:val="32"/>
        </w:rPr>
      </w:pPr>
      <w:r>
        <w:rPr>
          <w:rFonts w:hint="eastAsia" w:eastAsia="仿宋_GB2312"/>
          <w:bCs/>
          <w:sz w:val="32"/>
          <w:szCs w:val="32"/>
        </w:rPr>
        <w:t>2020年，全县实现地区生产总值386亿元，增长4</w:t>
      </w:r>
      <w:r>
        <w:rPr>
          <w:rFonts w:eastAsia="仿宋_GB2312"/>
          <w:bCs/>
          <w:sz w:val="32"/>
          <w:szCs w:val="32"/>
        </w:rPr>
        <w:t>%</w:t>
      </w:r>
      <w:r>
        <w:rPr>
          <w:rFonts w:hint="eastAsia" w:eastAsia="仿宋_GB2312"/>
          <w:bCs/>
          <w:sz w:val="32"/>
          <w:szCs w:val="32"/>
        </w:rPr>
        <w:t>。实现规模工业增加值55.4亿元，增长6.5</w:t>
      </w:r>
      <w:r>
        <w:rPr>
          <w:rFonts w:eastAsia="仿宋_GB2312"/>
          <w:bCs/>
          <w:sz w:val="32"/>
          <w:szCs w:val="32"/>
        </w:rPr>
        <w:t>%</w:t>
      </w:r>
      <w:r>
        <w:rPr>
          <w:rFonts w:hint="eastAsia" w:eastAsia="仿宋_GB2312"/>
          <w:bCs/>
          <w:sz w:val="32"/>
          <w:szCs w:val="32"/>
        </w:rPr>
        <w:t>；完成固定资产投资260.4亿元，增长17.8%；完成社会消费品零售总额178.98亿元，下降15.1%。城镇居民人均可支配收入33262元，增长4.7</w:t>
      </w:r>
      <w:r>
        <w:rPr>
          <w:rFonts w:eastAsia="仿宋_GB2312"/>
          <w:bCs/>
          <w:sz w:val="32"/>
          <w:szCs w:val="32"/>
        </w:rPr>
        <w:t>%</w:t>
      </w:r>
      <w:r>
        <w:rPr>
          <w:rFonts w:hint="eastAsia" w:eastAsia="仿宋_GB2312"/>
          <w:bCs/>
          <w:sz w:val="32"/>
          <w:szCs w:val="32"/>
        </w:rPr>
        <w:t>，农村居民人均可支配收入19588元，增长8.7</w:t>
      </w:r>
      <w:r>
        <w:rPr>
          <w:rFonts w:eastAsia="仿宋_GB2312"/>
          <w:bCs/>
          <w:sz w:val="32"/>
          <w:szCs w:val="32"/>
        </w:rPr>
        <w:t>%</w:t>
      </w:r>
      <w:r>
        <w:rPr>
          <w:rFonts w:hint="eastAsia" w:eastAsia="仿宋_GB2312"/>
          <w:bCs/>
          <w:sz w:val="32"/>
          <w:szCs w:val="32"/>
        </w:rPr>
        <w:t>。</w:t>
      </w:r>
    </w:p>
    <w:p>
      <w:pPr>
        <w:spacing w:line="600" w:lineRule="exact"/>
        <w:ind w:firstLine="640" w:firstLineChars="200"/>
        <w:rPr>
          <w:rFonts w:eastAsia="仿宋_GB2312"/>
          <w:bCs/>
          <w:sz w:val="32"/>
          <w:szCs w:val="32"/>
        </w:rPr>
      </w:pPr>
      <w:r>
        <w:rPr>
          <w:rFonts w:hint="eastAsia" w:eastAsia="仿宋_GB2312"/>
          <w:bCs/>
          <w:sz w:val="32"/>
          <w:szCs w:val="32"/>
        </w:rPr>
        <w:t>2020年，围绕全面建成小康社会“争先夺牌”的工作目标，全力实施“扬长补短“战略，</w:t>
      </w:r>
      <w:r>
        <w:rPr>
          <w:rFonts w:hint="eastAsia" w:eastAsia="仿宋_GB2312"/>
          <w:bCs/>
          <w:sz w:val="32"/>
          <w:szCs w:val="32"/>
          <w:lang w:val="en-US" w:eastAsia="zh-CN"/>
        </w:rPr>
        <w:t>精准施策</w:t>
      </w:r>
      <w:bookmarkStart w:id="0" w:name="_GoBack"/>
      <w:bookmarkEnd w:id="0"/>
      <w:r>
        <w:rPr>
          <w:rFonts w:hint="eastAsia" w:eastAsia="仿宋_GB2312"/>
          <w:bCs/>
          <w:sz w:val="32"/>
          <w:szCs w:val="32"/>
        </w:rPr>
        <w:t>，攻坚克难，成功荣获全省“全面小康补短板推进工作先进县”奖项。重点民生实事项目数据评估和“两纲”监测效果明显。</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hint="eastAsia" w:eastAsia="仿宋_GB2312"/>
          <w:sz w:val="32"/>
          <w:szCs w:val="32"/>
        </w:rPr>
        <w:t>围绕绩效评价指标体系，我局绩效评价小组通过数据采集、资料翻阅等方式，对该项目绩效进行了客观、公正的评价，最终评分95分。</w:t>
      </w:r>
    </w:p>
    <w:p>
      <w:pPr>
        <w:spacing w:line="600" w:lineRule="exact"/>
        <w:jc w:val="center"/>
        <w:rPr>
          <w:rFonts w:eastAsia="仿宋_GB2312"/>
          <w:sz w:val="32"/>
          <w:szCs w:val="32"/>
        </w:rPr>
      </w:pPr>
      <w:r>
        <w:rPr>
          <w:rFonts w:hint="eastAsia" w:eastAsia="仿宋_GB2312"/>
          <w:sz w:val="32"/>
          <w:szCs w:val="32"/>
        </w:rPr>
        <w:t>2020年统计业务专项资金绩效评分表</w:t>
      </w:r>
    </w:p>
    <w:tbl>
      <w:tblPr>
        <w:tblStyle w:val="8"/>
        <w:tblW w:w="7813" w:type="dxa"/>
        <w:jc w:val="center"/>
        <w:tblLayout w:type="fixed"/>
        <w:tblCellMar>
          <w:top w:w="0" w:type="dxa"/>
          <w:left w:w="0" w:type="dxa"/>
          <w:bottom w:w="0" w:type="dxa"/>
          <w:right w:w="0" w:type="dxa"/>
        </w:tblCellMar>
      </w:tblPr>
      <w:tblGrid>
        <w:gridCol w:w="809"/>
        <w:gridCol w:w="494"/>
        <w:gridCol w:w="704"/>
        <w:gridCol w:w="1155"/>
        <w:gridCol w:w="517"/>
        <w:gridCol w:w="3727"/>
        <w:gridCol w:w="407"/>
      </w:tblGrid>
      <w:tr>
        <w:tblPrEx>
          <w:tblCellMar>
            <w:top w:w="0" w:type="dxa"/>
            <w:left w:w="0" w:type="dxa"/>
            <w:bottom w:w="0" w:type="dxa"/>
            <w:right w:w="0" w:type="dxa"/>
          </w:tblCellMar>
        </w:tblPrEx>
        <w:trPr>
          <w:trHeight w:val="76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一级</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分值</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二级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三级指标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分值</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rPr>
              <w:t>指标解释</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b/>
                <w:bCs/>
                <w:color w:val="000000"/>
                <w:kern w:val="0"/>
                <w:sz w:val="24"/>
              </w:rPr>
              <w:t>得分</w:t>
            </w:r>
          </w:p>
        </w:tc>
      </w:tr>
      <w:tr>
        <w:tblPrEx>
          <w:tblCellMar>
            <w:top w:w="0" w:type="dxa"/>
            <w:left w:w="0" w:type="dxa"/>
            <w:bottom w:w="0" w:type="dxa"/>
            <w:right w:w="0" w:type="dxa"/>
          </w:tblCellMar>
        </w:tblPrEx>
        <w:trPr>
          <w:trHeight w:val="1001"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投入</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20分</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项目立项（12分）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项目立项规范性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3</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项目的申请、设立过程是否符合相关要求，用以反映和考核项目立项的規范情况。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 </w:t>
            </w:r>
          </w:p>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3 </w:t>
            </w:r>
          </w:p>
          <w:p>
            <w:pPr>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 </w:t>
            </w:r>
          </w:p>
        </w:tc>
      </w:tr>
      <w:tr>
        <w:tblPrEx>
          <w:tblCellMar>
            <w:top w:w="0" w:type="dxa"/>
            <w:left w:w="0" w:type="dxa"/>
            <w:bottom w:w="0" w:type="dxa"/>
            <w:right w:w="0" w:type="dxa"/>
          </w:tblCellMar>
        </w:tblPrEx>
        <w:trPr>
          <w:trHeight w:val="959"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绩效目标合理性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项目所设定的绩效目标是否依椐充分，是否符合客观实际，用以反映和考核项目绩效目标与项目实施的相符情况。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4 </w:t>
            </w:r>
          </w:p>
        </w:tc>
      </w:tr>
      <w:tr>
        <w:tblPrEx>
          <w:tblCellMar>
            <w:top w:w="0" w:type="dxa"/>
            <w:left w:w="0" w:type="dxa"/>
            <w:bottom w:w="0" w:type="dxa"/>
            <w:right w:w="0" w:type="dxa"/>
          </w:tblCellMar>
        </w:tblPrEx>
        <w:trPr>
          <w:trHeight w:val="1121"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绩效指标明确性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5</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依椐绩效目标设定的绩效指标是否清晰、细化、可衡量等，用以反映和考核项目绩效目标的明细化情况。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5 </w:t>
            </w:r>
          </w:p>
        </w:tc>
      </w:tr>
      <w:tr>
        <w:tblPrEx>
          <w:tblCellMar>
            <w:top w:w="0" w:type="dxa"/>
            <w:left w:w="0" w:type="dxa"/>
            <w:bottom w:w="0" w:type="dxa"/>
            <w:right w:w="0" w:type="dxa"/>
          </w:tblCellMar>
        </w:tblPrEx>
        <w:trPr>
          <w:trHeight w:val="983"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资金落实（8分）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资金到位率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实际到位资金与计划投入资金的比率，用以反映和考核资金落实情况对项目实施的总体保障程度。</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4 </w:t>
            </w:r>
          </w:p>
        </w:tc>
      </w:tr>
      <w:tr>
        <w:tblPrEx>
          <w:tblCellMar>
            <w:top w:w="0" w:type="dxa"/>
            <w:left w:w="0" w:type="dxa"/>
            <w:bottom w:w="0" w:type="dxa"/>
            <w:right w:w="0" w:type="dxa"/>
          </w:tblCellMar>
        </w:tblPrEx>
        <w:trPr>
          <w:trHeight w:val="82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到位及时率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及时到位资金与应到位资金的比率，用以反映和考核项目资金落实的及时性程度。</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4 </w:t>
            </w:r>
          </w:p>
        </w:tc>
      </w:tr>
      <w:tr>
        <w:tblPrEx>
          <w:tblCellMar>
            <w:top w:w="0" w:type="dxa"/>
            <w:left w:w="0" w:type="dxa"/>
            <w:bottom w:w="0" w:type="dxa"/>
            <w:right w:w="0" w:type="dxa"/>
          </w:tblCellMar>
        </w:tblPrEx>
        <w:trPr>
          <w:trHeight w:val="1055" w:hRule="atLeast"/>
          <w:jc w:val="center"/>
        </w:trPr>
        <w:tc>
          <w:tcPr>
            <w:tcW w:w="80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过程</w:t>
            </w:r>
          </w:p>
        </w:tc>
        <w:tc>
          <w:tcPr>
            <w:tcW w:w="49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30分</w:t>
            </w:r>
          </w:p>
        </w:tc>
        <w:tc>
          <w:tcPr>
            <w:tcW w:w="7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业务管理（20分）</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管理制度健全性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6</w:t>
            </w:r>
          </w:p>
        </w:tc>
        <w:tc>
          <w:tcPr>
            <w:tcW w:w="3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项目实施单位的业务管理制度是否健全，用以反映和考核业务管理制度对项目顺利实施的保障情况。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Cs w:val="21"/>
              </w:rPr>
            </w:pPr>
            <w:r>
              <w:rPr>
                <w:rFonts w:hint="eastAsia" w:ascii="仿宋" w:hAnsi="仿宋" w:eastAsia="仿宋" w:cs="宋体"/>
                <w:szCs w:val="21"/>
              </w:rPr>
              <w:t>5</w:t>
            </w:r>
          </w:p>
        </w:tc>
      </w:tr>
      <w:tr>
        <w:tblPrEx>
          <w:tblCellMar>
            <w:top w:w="0" w:type="dxa"/>
            <w:left w:w="0" w:type="dxa"/>
            <w:bottom w:w="0" w:type="dxa"/>
            <w:right w:w="0" w:type="dxa"/>
          </w:tblCellMar>
        </w:tblPrEx>
        <w:trPr>
          <w:trHeight w:val="89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制度执行有效性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8</w:t>
            </w:r>
          </w:p>
        </w:tc>
        <w:tc>
          <w:tcPr>
            <w:tcW w:w="37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项目实施是否符合相关业务管理规定，用以反映和考核业务管理制度的有效执行情况。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Cs w:val="21"/>
              </w:rPr>
            </w:pPr>
            <w:r>
              <w:rPr>
                <w:rFonts w:hint="eastAsia" w:ascii="仿宋" w:hAnsi="仿宋" w:eastAsia="仿宋" w:cs="宋体"/>
                <w:szCs w:val="21"/>
              </w:rPr>
              <w:t>7</w:t>
            </w:r>
          </w:p>
        </w:tc>
      </w:tr>
      <w:tr>
        <w:tblPrEx>
          <w:tblCellMar>
            <w:top w:w="0" w:type="dxa"/>
            <w:left w:w="0" w:type="dxa"/>
            <w:bottom w:w="0" w:type="dxa"/>
            <w:right w:w="0" w:type="dxa"/>
          </w:tblCellMar>
        </w:tblPrEx>
        <w:trPr>
          <w:trHeight w:val="1031"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项目质量可控性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6</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项目实施单位是否为达到项目质量要求而采取了必需的措施，用以反映和考核项目实施单位对项目质量的控制情况。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szCs w:val="21"/>
              </w:rPr>
            </w:pPr>
            <w:r>
              <w:rPr>
                <w:rFonts w:hint="eastAsia" w:ascii="仿宋" w:hAnsi="仿宋" w:eastAsia="仿宋" w:cs="宋体"/>
                <w:szCs w:val="21"/>
              </w:rPr>
              <w:t>5</w:t>
            </w:r>
          </w:p>
        </w:tc>
      </w:tr>
      <w:tr>
        <w:tblPrEx>
          <w:tblCellMar>
            <w:top w:w="0" w:type="dxa"/>
            <w:left w:w="0" w:type="dxa"/>
            <w:bottom w:w="0" w:type="dxa"/>
            <w:right w:w="0" w:type="dxa"/>
          </w:tblCellMar>
        </w:tblPrEx>
        <w:trPr>
          <w:trHeight w:val="104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财务管理（10分）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财务管理制度健全性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2</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项目实施单位的财务制度是否健全，用以反映和考核财务管理制度对资金规范安全运行的保障情况。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2</w:t>
            </w:r>
          </w:p>
        </w:tc>
      </w:tr>
      <w:tr>
        <w:tblPrEx>
          <w:tblCellMar>
            <w:top w:w="0" w:type="dxa"/>
            <w:left w:w="0" w:type="dxa"/>
            <w:bottom w:w="0" w:type="dxa"/>
            <w:right w:w="0" w:type="dxa"/>
          </w:tblCellMar>
        </w:tblPrEx>
        <w:trPr>
          <w:trHeight w:val="904"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资金使用合规性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5</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项目资金使用是否符合相关的财务管理制度规定，用以反映和考核项目资金的规范运行情况。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szCs w:val="21"/>
              </w:rPr>
              <w:t>5</w:t>
            </w:r>
          </w:p>
        </w:tc>
      </w:tr>
      <w:tr>
        <w:tblPrEx>
          <w:tblCellMar>
            <w:top w:w="0" w:type="dxa"/>
            <w:left w:w="0" w:type="dxa"/>
            <w:bottom w:w="0" w:type="dxa"/>
            <w:right w:w="0" w:type="dxa"/>
          </w:tblCellMar>
        </w:tblPrEx>
        <w:trPr>
          <w:trHeight w:val="1248"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财务监控有效性</w:t>
            </w:r>
          </w:p>
        </w:tc>
        <w:tc>
          <w:tcPr>
            <w:tcW w:w="51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项目实施单位是否为保障资金的安全、规范运行而采取了必要的监控措施，用以反映和考核项目实施单位对资金运行的控制情况。</w:t>
            </w:r>
          </w:p>
        </w:tc>
        <w:tc>
          <w:tcPr>
            <w:tcW w:w="40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r>
      <w:tr>
        <w:tblPrEx>
          <w:tblCellMar>
            <w:top w:w="0" w:type="dxa"/>
            <w:left w:w="0" w:type="dxa"/>
            <w:bottom w:w="0" w:type="dxa"/>
            <w:right w:w="0" w:type="dxa"/>
          </w:tblCellMar>
        </w:tblPrEx>
        <w:trPr>
          <w:trHeight w:val="42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产出</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30分</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项目产出（30分）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项目完成率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3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_GB2312"/>
                <w:color w:val="000000"/>
                <w:szCs w:val="21"/>
              </w:rPr>
            </w:pPr>
            <w:r>
              <w:rPr>
                <w:rFonts w:hint="eastAsia" w:ascii="仿宋" w:hAnsi="仿宋" w:eastAsia="仿宋" w:cs="仿宋_GB2312"/>
                <w:color w:val="000000"/>
                <w:szCs w:val="21"/>
              </w:rPr>
              <w:t>完成了《澧县统计月报》12期、《统计分析报告》50篇；编印了《澧县统计年鉴2019》；发布了《澧县统计年鉴2019》、《澧县2019年国民经济和社会发展统计公报》、《澧县统计月报》；“四上”企业联网直报报送率100%</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FF0000"/>
                <w:szCs w:val="21"/>
              </w:rPr>
            </w:pPr>
            <w:r>
              <w:rPr>
                <w:rFonts w:hint="eastAsia" w:ascii="仿宋" w:hAnsi="仿宋" w:eastAsia="仿宋" w:cs="宋体"/>
                <w:color w:val="FF0000"/>
                <w:szCs w:val="21"/>
              </w:rPr>
              <w:t>9</w:t>
            </w:r>
          </w:p>
        </w:tc>
      </w:tr>
      <w:tr>
        <w:tblPrEx>
          <w:tblCellMar>
            <w:top w:w="0" w:type="dxa"/>
            <w:left w:w="0" w:type="dxa"/>
            <w:bottom w:w="0" w:type="dxa"/>
            <w:right w:w="0" w:type="dxa"/>
          </w:tblCellMar>
        </w:tblPrEx>
        <w:trPr>
          <w:trHeight w:val="312"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12"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项目及时率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3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_GB2312"/>
                <w:color w:val="000000"/>
                <w:szCs w:val="21"/>
              </w:rPr>
            </w:pPr>
            <w:r>
              <w:rPr>
                <w:rFonts w:hint="eastAsia" w:ascii="仿宋" w:hAnsi="仿宋" w:eastAsia="仿宋" w:cs="仿宋_GB2312"/>
                <w:color w:val="000000"/>
                <w:kern w:val="0"/>
                <w:szCs w:val="21"/>
              </w:rPr>
              <w:t>项目实际提前完成时间与计划完成时间的比率，用以反映和考核项目产出时效目标的实现程度。</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szCs w:val="21"/>
              </w:rPr>
            </w:pPr>
            <w:r>
              <w:rPr>
                <w:rFonts w:hint="eastAsia" w:ascii="仿宋" w:hAnsi="仿宋" w:eastAsia="仿宋" w:cs="宋体"/>
                <w:szCs w:val="21"/>
              </w:rPr>
              <w:t>4</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12"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质量达标率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3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_GB2312"/>
                <w:color w:val="000000"/>
                <w:szCs w:val="21"/>
              </w:rPr>
            </w:pPr>
            <w:r>
              <w:rPr>
                <w:rFonts w:hint="eastAsia" w:ascii="仿宋" w:hAnsi="仿宋" w:eastAsia="仿宋" w:cs="仿宋_GB2312"/>
                <w:color w:val="000000"/>
                <w:kern w:val="0"/>
                <w:szCs w:val="21"/>
              </w:rPr>
              <w:t>项目完成的质量达标产出数与实际产出数的比率，用以反映和考核项目产出质量目标的实现程度。</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szCs w:val="21"/>
              </w:rPr>
            </w:pPr>
            <w:r>
              <w:rPr>
                <w:rFonts w:hint="eastAsia" w:ascii="仿宋" w:hAnsi="仿宋" w:eastAsia="仿宋" w:cs="宋体"/>
                <w:szCs w:val="21"/>
              </w:rPr>
              <w:t>10</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12"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成本控制率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3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_GB2312"/>
                <w:color w:val="000000"/>
                <w:szCs w:val="21"/>
              </w:rPr>
            </w:pPr>
            <w:r>
              <w:rPr>
                <w:rFonts w:hint="eastAsia" w:ascii="仿宋" w:hAnsi="仿宋" w:eastAsia="仿宋" w:cs="仿宋_GB2312"/>
                <w:color w:val="000000"/>
                <w:kern w:val="0"/>
                <w:szCs w:val="21"/>
              </w:rPr>
              <w:t>统计业务专项经费在年初预算29万元以内</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5</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312"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_GB2312"/>
                <w:color w:val="000000"/>
                <w:szCs w:val="21"/>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trHeight w:val="78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效果</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20分</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项目效益（20分）</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社会效益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8</w:t>
            </w:r>
          </w:p>
        </w:tc>
        <w:tc>
          <w:tcPr>
            <w:tcW w:w="37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szCs w:val="21"/>
              </w:rPr>
              <w:t>为县委、县政府及社会、部门提供统计资料</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8 </w:t>
            </w:r>
          </w:p>
        </w:tc>
      </w:tr>
      <w:tr>
        <w:tblPrEx>
          <w:tblCellMar>
            <w:top w:w="0" w:type="dxa"/>
            <w:left w:w="0" w:type="dxa"/>
            <w:bottom w:w="0" w:type="dxa"/>
            <w:right w:w="0" w:type="dxa"/>
          </w:tblCellMar>
        </w:tblPrEx>
        <w:trPr>
          <w:trHeight w:val="8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可持续影响</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8</w:t>
            </w:r>
          </w:p>
        </w:tc>
        <w:tc>
          <w:tcPr>
            <w:tcW w:w="37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szCs w:val="21"/>
              </w:rPr>
              <w:t>进一步提升统计服务能力和水平，加强统计基础建设</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8</w:t>
            </w:r>
          </w:p>
        </w:tc>
      </w:tr>
      <w:tr>
        <w:tblPrEx>
          <w:tblCellMar>
            <w:top w:w="0" w:type="dxa"/>
            <w:left w:w="0" w:type="dxa"/>
            <w:bottom w:w="0" w:type="dxa"/>
            <w:right w:w="0" w:type="dxa"/>
          </w:tblCellMar>
        </w:tblPrEx>
        <w:trPr>
          <w:trHeight w:val="7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Cs w:val="21"/>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社会公众或服务对象满意度</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w:t>
            </w:r>
          </w:p>
        </w:tc>
        <w:tc>
          <w:tcPr>
            <w:tcW w:w="37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szCs w:val="21"/>
              </w:rPr>
              <w:t>县委、县政府及社会各界对统计工作的的满意程度</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w:t>
            </w:r>
          </w:p>
        </w:tc>
      </w:tr>
      <w:tr>
        <w:tblPrEx>
          <w:tblCellMar>
            <w:top w:w="0" w:type="dxa"/>
            <w:left w:w="0" w:type="dxa"/>
            <w:bottom w:w="0" w:type="dxa"/>
            <w:right w:w="0" w:type="dxa"/>
          </w:tblCellMar>
        </w:tblPrEx>
        <w:trPr>
          <w:trHeight w:val="525" w:hRule="atLeast"/>
          <w:jc w:val="center"/>
        </w:trPr>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100</w:t>
            </w:r>
          </w:p>
        </w:tc>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95</w:t>
            </w:r>
          </w:p>
        </w:tc>
      </w:tr>
    </w:tbl>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40" w:firstLineChars="200"/>
        <w:rPr>
          <w:rFonts w:eastAsia="黑体"/>
          <w:sz w:val="32"/>
          <w:szCs w:val="32"/>
        </w:rPr>
      </w:pPr>
      <w:r>
        <w:rPr>
          <w:rFonts w:hint="eastAsia" w:eastAsia="黑体"/>
          <w:sz w:val="32"/>
          <w:szCs w:val="32"/>
        </w:rPr>
        <w:t>进一步健全和完善财务管理制度及内部控制制度，创新管理手段，用新思路、新方法，改进完善财务管理方法；进一步建立和完善统计业务培训机制，加大对镇（街）、企（事）业单位的统计业务指导力度，定期或不定期地召开统计工作业务培训会，规范统计部门基础工作，提高全县统计人员业务水平。</w:t>
      </w:r>
    </w:p>
    <w:p>
      <w:pPr>
        <w:spacing w:line="600" w:lineRule="exact"/>
        <w:ind w:firstLine="640" w:firstLineChars="200"/>
        <w:rPr>
          <w:rFonts w:eastAsia="黑体"/>
          <w:sz w:val="32"/>
          <w:szCs w:val="32"/>
        </w:rPr>
      </w:pPr>
      <w:r>
        <w:rPr>
          <w:rFonts w:hint="eastAsia" w:eastAsia="黑体"/>
          <w:sz w:val="32"/>
          <w:szCs w:val="32"/>
        </w:rPr>
        <w:t xml:space="preserve">                              </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 w:name="KSO_WPS_MARK_KEY" w:val="d037b193-f343-404c-ac27-aaec5649f05d"/>
  </w:docVars>
  <w:rsids>
    <w:rsidRoot w:val="00E64DE2"/>
    <w:rsid w:val="00016793"/>
    <w:rsid w:val="000417E4"/>
    <w:rsid w:val="000613E7"/>
    <w:rsid w:val="00061D78"/>
    <w:rsid w:val="00073081"/>
    <w:rsid w:val="00086316"/>
    <w:rsid w:val="00090A2A"/>
    <w:rsid w:val="000C16C5"/>
    <w:rsid w:val="000D2353"/>
    <w:rsid w:val="000D36B1"/>
    <w:rsid w:val="00105639"/>
    <w:rsid w:val="001073B3"/>
    <w:rsid w:val="00113BFD"/>
    <w:rsid w:val="00120D36"/>
    <w:rsid w:val="00164A35"/>
    <w:rsid w:val="001A4E12"/>
    <w:rsid w:val="001A5DD1"/>
    <w:rsid w:val="001C5B59"/>
    <w:rsid w:val="001D5F82"/>
    <w:rsid w:val="001E725D"/>
    <w:rsid w:val="00240C57"/>
    <w:rsid w:val="00242F11"/>
    <w:rsid w:val="0026042E"/>
    <w:rsid w:val="00266857"/>
    <w:rsid w:val="002865AF"/>
    <w:rsid w:val="00297EEE"/>
    <w:rsid w:val="002A426C"/>
    <w:rsid w:val="002A4890"/>
    <w:rsid w:val="002D25E0"/>
    <w:rsid w:val="002E55D7"/>
    <w:rsid w:val="00304A03"/>
    <w:rsid w:val="00375DC5"/>
    <w:rsid w:val="00385044"/>
    <w:rsid w:val="003B363D"/>
    <w:rsid w:val="003C5384"/>
    <w:rsid w:val="003E6C8E"/>
    <w:rsid w:val="003F3FCC"/>
    <w:rsid w:val="00414C33"/>
    <w:rsid w:val="004348F1"/>
    <w:rsid w:val="00444B2F"/>
    <w:rsid w:val="00461E6C"/>
    <w:rsid w:val="00477533"/>
    <w:rsid w:val="00496474"/>
    <w:rsid w:val="004A53A1"/>
    <w:rsid w:val="004C12D6"/>
    <w:rsid w:val="004C5027"/>
    <w:rsid w:val="004C62BC"/>
    <w:rsid w:val="004E3501"/>
    <w:rsid w:val="00503F48"/>
    <w:rsid w:val="00510176"/>
    <w:rsid w:val="00517D78"/>
    <w:rsid w:val="005412B5"/>
    <w:rsid w:val="00541B5C"/>
    <w:rsid w:val="00561701"/>
    <w:rsid w:val="00562238"/>
    <w:rsid w:val="00570A97"/>
    <w:rsid w:val="00576342"/>
    <w:rsid w:val="00590BBC"/>
    <w:rsid w:val="00591E86"/>
    <w:rsid w:val="005931A7"/>
    <w:rsid w:val="005A085E"/>
    <w:rsid w:val="005A1105"/>
    <w:rsid w:val="005A42DD"/>
    <w:rsid w:val="005C42E8"/>
    <w:rsid w:val="005D0E27"/>
    <w:rsid w:val="005E12D3"/>
    <w:rsid w:val="005E2612"/>
    <w:rsid w:val="00625CA9"/>
    <w:rsid w:val="0065442E"/>
    <w:rsid w:val="00657CF1"/>
    <w:rsid w:val="006A1F13"/>
    <w:rsid w:val="006E0CEB"/>
    <w:rsid w:val="006F293C"/>
    <w:rsid w:val="007024A3"/>
    <w:rsid w:val="00717B2F"/>
    <w:rsid w:val="00727977"/>
    <w:rsid w:val="00737E99"/>
    <w:rsid w:val="00746AE9"/>
    <w:rsid w:val="007477FA"/>
    <w:rsid w:val="00764CCD"/>
    <w:rsid w:val="00764FD9"/>
    <w:rsid w:val="00770F3C"/>
    <w:rsid w:val="00771A92"/>
    <w:rsid w:val="00773F50"/>
    <w:rsid w:val="007B0F90"/>
    <w:rsid w:val="007B6467"/>
    <w:rsid w:val="00806D75"/>
    <w:rsid w:val="0081120F"/>
    <w:rsid w:val="00814AFE"/>
    <w:rsid w:val="00822044"/>
    <w:rsid w:val="008367F5"/>
    <w:rsid w:val="00841538"/>
    <w:rsid w:val="00864453"/>
    <w:rsid w:val="008B3C5D"/>
    <w:rsid w:val="008E75DA"/>
    <w:rsid w:val="00901588"/>
    <w:rsid w:val="009108B9"/>
    <w:rsid w:val="00932C1E"/>
    <w:rsid w:val="0094322D"/>
    <w:rsid w:val="0095304C"/>
    <w:rsid w:val="00953094"/>
    <w:rsid w:val="00955193"/>
    <w:rsid w:val="009C2DBB"/>
    <w:rsid w:val="009D6914"/>
    <w:rsid w:val="00A2039C"/>
    <w:rsid w:val="00A300D1"/>
    <w:rsid w:val="00A32113"/>
    <w:rsid w:val="00A4250A"/>
    <w:rsid w:val="00A50D4E"/>
    <w:rsid w:val="00A62B79"/>
    <w:rsid w:val="00A84C70"/>
    <w:rsid w:val="00AB60F0"/>
    <w:rsid w:val="00AB715B"/>
    <w:rsid w:val="00AC03A7"/>
    <w:rsid w:val="00AE4390"/>
    <w:rsid w:val="00AE5BC1"/>
    <w:rsid w:val="00B56FD5"/>
    <w:rsid w:val="00B66D8E"/>
    <w:rsid w:val="00B741B6"/>
    <w:rsid w:val="00B75FF7"/>
    <w:rsid w:val="00B8007C"/>
    <w:rsid w:val="00B81C83"/>
    <w:rsid w:val="00B929EF"/>
    <w:rsid w:val="00C16983"/>
    <w:rsid w:val="00C60501"/>
    <w:rsid w:val="00C661E5"/>
    <w:rsid w:val="00C755F6"/>
    <w:rsid w:val="00C913B0"/>
    <w:rsid w:val="00C91D97"/>
    <w:rsid w:val="00CE19C1"/>
    <w:rsid w:val="00CF24E0"/>
    <w:rsid w:val="00D36058"/>
    <w:rsid w:val="00D51E40"/>
    <w:rsid w:val="00D77C91"/>
    <w:rsid w:val="00D82DA2"/>
    <w:rsid w:val="00DB179C"/>
    <w:rsid w:val="00DD0396"/>
    <w:rsid w:val="00DD32A3"/>
    <w:rsid w:val="00DD7DA1"/>
    <w:rsid w:val="00E02387"/>
    <w:rsid w:val="00E12B9F"/>
    <w:rsid w:val="00E15A85"/>
    <w:rsid w:val="00E342BD"/>
    <w:rsid w:val="00E35932"/>
    <w:rsid w:val="00E40501"/>
    <w:rsid w:val="00E4559D"/>
    <w:rsid w:val="00E64DE2"/>
    <w:rsid w:val="00E8469D"/>
    <w:rsid w:val="00E8496B"/>
    <w:rsid w:val="00EA39EA"/>
    <w:rsid w:val="00EC53F0"/>
    <w:rsid w:val="00ED5E61"/>
    <w:rsid w:val="00F37EB3"/>
    <w:rsid w:val="00F726F9"/>
    <w:rsid w:val="00F728A2"/>
    <w:rsid w:val="00F75A61"/>
    <w:rsid w:val="00FC32B9"/>
    <w:rsid w:val="00FF5750"/>
    <w:rsid w:val="06C93B2F"/>
    <w:rsid w:val="23EC7F8C"/>
    <w:rsid w:val="7F6D2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qFormat/>
    <w:uiPriority w:val="99"/>
    <w:pPr>
      <w:shd w:val="clear" w:color="auto" w:fill="000080"/>
    </w:pPr>
  </w:style>
  <w:style w:type="paragraph" w:styleId="4">
    <w:name w:val="Balloon Text"/>
    <w:basedOn w:val="1"/>
    <w:link w:val="14"/>
    <w:semiHidden/>
    <w:unhideWhenUsed/>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10">
    <w:name w:val="标题 2 Char"/>
    <w:basedOn w:val="9"/>
    <w:link w:val="2"/>
    <w:locked/>
    <w:uiPriority w:val="99"/>
    <w:rPr>
      <w:rFonts w:ascii="Cambria" w:hAnsi="Cambria" w:eastAsia="宋体" w:cs="Times New Roman"/>
      <w:b/>
      <w:bCs/>
    </w:rPr>
  </w:style>
  <w:style w:type="character" w:customStyle="1" w:styleId="11">
    <w:name w:val="页眉 Char"/>
    <w:basedOn w:val="9"/>
    <w:link w:val="6"/>
    <w:semiHidden/>
    <w:qFormat/>
    <w:locked/>
    <w:uiPriority w:val="99"/>
    <w:rPr>
      <w:rFonts w:eastAsia="宋体" w:cs="Times New Roman"/>
      <w:sz w:val="18"/>
      <w:szCs w:val="18"/>
    </w:rPr>
  </w:style>
  <w:style w:type="character" w:customStyle="1" w:styleId="12">
    <w:name w:val="页脚 Char"/>
    <w:basedOn w:val="9"/>
    <w:link w:val="5"/>
    <w:semiHidden/>
    <w:qFormat/>
    <w:locked/>
    <w:uiPriority w:val="99"/>
    <w:rPr>
      <w:rFonts w:eastAsia="宋体" w:cs="Times New Roman"/>
      <w:sz w:val="18"/>
      <w:szCs w:val="18"/>
    </w:rPr>
  </w:style>
  <w:style w:type="character" w:customStyle="1" w:styleId="13">
    <w:name w:val="文档结构图 Char"/>
    <w:basedOn w:val="9"/>
    <w:link w:val="3"/>
    <w:semiHidden/>
    <w:qFormat/>
    <w:locked/>
    <w:uiPriority w:val="99"/>
    <w:rPr>
      <w:rFonts w:eastAsia="宋体" w:cs="Times New Roman"/>
      <w:sz w:val="2"/>
    </w:rPr>
  </w:style>
  <w:style w:type="character" w:customStyle="1" w:styleId="14">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5</Pages>
  <Words>2478</Words>
  <Characters>2589</Characters>
  <Lines>20</Lines>
  <Paragraphs>5</Paragraphs>
  <TotalTime>271</TotalTime>
  <ScaleCrop>false</ScaleCrop>
  <LinksUpToDate>false</LinksUpToDate>
  <CharactersWithSpaces>2633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2021-08-16T07:18:00Z</dcterms:created>
  <dc:creator>Lenovo</dc:creator>
  <cp:lastModifiedBy>陈木沐</cp:lastModifiedBy>
  <cp:lastPrinted>2021-08-30T01:55:00Z</cp:lastPrinted>
  <dcterms:modified xsi:type="dcterms:W3CDTF">2025-03-11T08:16:16Z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DEA12D004A7B456CA5367A4C556CE128_12</vt:lpwstr>
  </property>
</Properties>
</file>