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hAnsi="黑体" w:eastAsia="黑体"/>
          <w:sz w:val="32"/>
          <w:szCs w:val="32"/>
        </w:rPr>
        <w:t>附件</w:t>
      </w:r>
      <w:r>
        <w:rPr>
          <w:rFonts w:eastAsia="黑体"/>
          <w:sz w:val="32"/>
          <w:szCs w:val="32"/>
        </w:rPr>
        <w:t>2</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2024年澧县涉企行政事业性收费目录清单</w:t>
      </w:r>
    </w:p>
    <w:p>
      <w:pPr>
        <w:spacing w:line="600" w:lineRule="exact"/>
        <w:jc w:val="center"/>
        <w:rPr>
          <w:rFonts w:hint="eastAsia" w:eastAsia="楷体_GB2312"/>
          <w:sz w:val="30"/>
          <w:szCs w:val="30"/>
        </w:rPr>
      </w:pPr>
      <w:r>
        <w:rPr>
          <w:rFonts w:eastAsia="楷体_GB2312"/>
          <w:sz w:val="30"/>
          <w:szCs w:val="30"/>
        </w:rPr>
        <w:t>（截至2024年1</w:t>
      </w:r>
      <w:r>
        <w:rPr>
          <w:rFonts w:hint="eastAsia" w:eastAsia="楷体_GB2312"/>
          <w:sz w:val="30"/>
          <w:szCs w:val="30"/>
        </w:rPr>
        <w:t>2</w:t>
      </w:r>
      <w:r>
        <w:rPr>
          <w:rFonts w:eastAsia="楷体_GB2312"/>
          <w:sz w:val="30"/>
          <w:szCs w:val="30"/>
        </w:rPr>
        <w:t>月）</w:t>
      </w:r>
    </w:p>
    <w:tbl>
      <w:tblPr>
        <w:tblStyle w:val="4"/>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683"/>
        <w:gridCol w:w="699"/>
        <w:gridCol w:w="1028"/>
        <w:gridCol w:w="683"/>
        <w:gridCol w:w="2694"/>
        <w:gridCol w:w="4219"/>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547" w:type="dxa"/>
            <w:noWrap w:val="0"/>
            <w:tcMar>
              <w:left w:w="51" w:type="dxa"/>
              <w:right w:w="51" w:type="dxa"/>
            </w:tcMar>
            <w:vAlign w:val="center"/>
          </w:tcPr>
          <w:p>
            <w:pPr>
              <w:widowControl/>
              <w:spacing w:line="260" w:lineRule="exact"/>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683" w:type="dxa"/>
            <w:noWrap w:val="0"/>
            <w:vAlign w:val="center"/>
          </w:tcPr>
          <w:p>
            <w:pPr>
              <w:widowControl/>
              <w:spacing w:line="260" w:lineRule="exact"/>
              <w:jc w:val="center"/>
              <w:rPr>
                <w:rFonts w:hint="eastAsia" w:ascii="黑体" w:hAnsi="黑体" w:eastAsia="黑体" w:cs="黑体"/>
                <w:kern w:val="0"/>
                <w:szCs w:val="21"/>
              </w:rPr>
            </w:pPr>
            <w:r>
              <w:rPr>
                <w:rFonts w:hint="eastAsia" w:ascii="黑体" w:hAnsi="黑体" w:eastAsia="黑体" w:cs="黑体"/>
                <w:kern w:val="0"/>
                <w:szCs w:val="21"/>
              </w:rPr>
              <w:t>部门</w:t>
            </w:r>
          </w:p>
        </w:tc>
        <w:tc>
          <w:tcPr>
            <w:tcW w:w="699" w:type="dxa"/>
            <w:noWrap w:val="0"/>
            <w:vAlign w:val="center"/>
          </w:tcPr>
          <w:p>
            <w:pPr>
              <w:widowControl/>
              <w:spacing w:line="260" w:lineRule="exact"/>
              <w:jc w:val="center"/>
              <w:rPr>
                <w:rFonts w:hint="eastAsia" w:ascii="黑体" w:hAnsi="黑体" w:eastAsia="黑体" w:cs="黑体"/>
                <w:kern w:val="0"/>
                <w:szCs w:val="21"/>
              </w:rPr>
            </w:pPr>
            <w:r>
              <w:rPr>
                <w:rFonts w:hint="eastAsia" w:ascii="黑体" w:hAnsi="黑体" w:eastAsia="黑体" w:cs="黑体"/>
                <w:kern w:val="0"/>
                <w:szCs w:val="21"/>
              </w:rPr>
              <w:t>项目</w:t>
            </w:r>
            <w:r>
              <w:rPr>
                <w:rFonts w:hint="eastAsia" w:ascii="黑体" w:hAnsi="黑体" w:eastAsia="黑体" w:cs="黑体"/>
                <w:kern w:val="0"/>
                <w:szCs w:val="21"/>
              </w:rPr>
              <w:br w:type="textWrapping"/>
            </w:r>
            <w:r>
              <w:rPr>
                <w:rFonts w:hint="eastAsia" w:ascii="黑体" w:hAnsi="黑体" w:eastAsia="黑体" w:cs="黑体"/>
                <w:kern w:val="0"/>
                <w:szCs w:val="21"/>
              </w:rPr>
              <w:t>序号</w:t>
            </w:r>
          </w:p>
        </w:tc>
        <w:tc>
          <w:tcPr>
            <w:tcW w:w="1028" w:type="dxa"/>
            <w:noWrap w:val="0"/>
            <w:vAlign w:val="center"/>
          </w:tcPr>
          <w:p>
            <w:pPr>
              <w:widowControl/>
              <w:spacing w:line="260" w:lineRule="exact"/>
              <w:jc w:val="center"/>
              <w:rPr>
                <w:rFonts w:hint="eastAsia" w:ascii="黑体" w:hAnsi="黑体" w:eastAsia="黑体" w:cs="黑体"/>
                <w:kern w:val="0"/>
                <w:szCs w:val="21"/>
              </w:rPr>
            </w:pPr>
            <w:r>
              <w:rPr>
                <w:rFonts w:hint="eastAsia" w:ascii="黑体" w:hAnsi="黑体" w:eastAsia="黑体" w:cs="黑体"/>
                <w:kern w:val="0"/>
                <w:szCs w:val="21"/>
              </w:rPr>
              <w:t>项目名称</w:t>
            </w:r>
          </w:p>
        </w:tc>
        <w:tc>
          <w:tcPr>
            <w:tcW w:w="683" w:type="dxa"/>
            <w:noWrap w:val="0"/>
            <w:vAlign w:val="center"/>
          </w:tcPr>
          <w:p>
            <w:pPr>
              <w:widowControl/>
              <w:spacing w:line="260" w:lineRule="exact"/>
              <w:jc w:val="center"/>
              <w:rPr>
                <w:rFonts w:hint="eastAsia" w:ascii="黑体" w:hAnsi="黑体" w:eastAsia="黑体" w:cs="黑体"/>
                <w:kern w:val="0"/>
                <w:szCs w:val="21"/>
              </w:rPr>
            </w:pPr>
            <w:r>
              <w:rPr>
                <w:rFonts w:hint="eastAsia" w:ascii="黑体" w:hAnsi="黑体" w:eastAsia="黑体" w:cs="黑体"/>
                <w:kern w:val="0"/>
                <w:szCs w:val="21"/>
              </w:rPr>
              <w:t>立项</w:t>
            </w:r>
            <w:r>
              <w:rPr>
                <w:rFonts w:hint="eastAsia" w:ascii="黑体" w:hAnsi="黑体" w:eastAsia="黑体" w:cs="黑体"/>
                <w:kern w:val="0"/>
                <w:szCs w:val="21"/>
              </w:rPr>
              <w:br w:type="textWrapping"/>
            </w:r>
            <w:r>
              <w:rPr>
                <w:rFonts w:hint="eastAsia" w:ascii="黑体" w:hAnsi="黑体" w:eastAsia="黑体" w:cs="黑体"/>
                <w:kern w:val="0"/>
                <w:szCs w:val="21"/>
              </w:rPr>
              <w:t>级次</w:t>
            </w:r>
          </w:p>
        </w:tc>
        <w:tc>
          <w:tcPr>
            <w:tcW w:w="2694" w:type="dxa"/>
            <w:noWrap w:val="0"/>
            <w:vAlign w:val="center"/>
          </w:tcPr>
          <w:p>
            <w:pPr>
              <w:widowControl/>
              <w:spacing w:line="260" w:lineRule="exact"/>
              <w:jc w:val="center"/>
              <w:rPr>
                <w:rFonts w:hint="eastAsia" w:ascii="黑体" w:hAnsi="黑体" w:eastAsia="黑体" w:cs="黑体"/>
                <w:kern w:val="0"/>
                <w:szCs w:val="21"/>
              </w:rPr>
            </w:pPr>
            <w:r>
              <w:rPr>
                <w:rFonts w:hint="eastAsia" w:ascii="黑体" w:hAnsi="黑体" w:eastAsia="黑体" w:cs="黑体"/>
                <w:kern w:val="0"/>
                <w:szCs w:val="21"/>
              </w:rPr>
              <w:t>政策依据</w:t>
            </w:r>
          </w:p>
        </w:tc>
        <w:tc>
          <w:tcPr>
            <w:tcW w:w="4219" w:type="dxa"/>
            <w:noWrap w:val="0"/>
            <w:vAlign w:val="center"/>
          </w:tcPr>
          <w:p>
            <w:pPr>
              <w:widowControl/>
              <w:spacing w:line="260" w:lineRule="exact"/>
              <w:jc w:val="center"/>
              <w:rPr>
                <w:rFonts w:hint="eastAsia" w:ascii="黑体" w:hAnsi="黑体" w:eastAsia="黑体" w:cs="黑体"/>
                <w:kern w:val="0"/>
                <w:szCs w:val="21"/>
              </w:rPr>
            </w:pPr>
            <w:r>
              <w:rPr>
                <w:rFonts w:hint="eastAsia" w:ascii="黑体" w:hAnsi="黑体" w:eastAsia="黑体" w:cs="黑体"/>
                <w:kern w:val="0"/>
                <w:szCs w:val="21"/>
              </w:rPr>
              <w:t>收费标准</w:t>
            </w:r>
          </w:p>
        </w:tc>
        <w:tc>
          <w:tcPr>
            <w:tcW w:w="3496" w:type="dxa"/>
            <w:noWrap w:val="0"/>
            <w:vAlign w:val="center"/>
          </w:tcPr>
          <w:p>
            <w:pPr>
              <w:widowControl/>
              <w:spacing w:line="260" w:lineRule="exact"/>
              <w:jc w:val="center"/>
              <w:rPr>
                <w:rFonts w:hint="eastAsia" w:ascii="黑体" w:hAnsi="黑体" w:eastAsia="黑体" w:cs="黑体"/>
                <w:kern w:val="0"/>
                <w:szCs w:val="21"/>
              </w:rPr>
            </w:pPr>
            <w:r>
              <w:rPr>
                <w:rFonts w:hint="eastAsia" w:ascii="黑体" w:hAnsi="黑体" w:eastAsia="黑体" w:cs="黑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47" w:type="dxa"/>
            <w:vMerge w:val="restart"/>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一</w:t>
            </w:r>
          </w:p>
        </w:tc>
        <w:tc>
          <w:tcPr>
            <w:tcW w:w="683"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公安</w:t>
            </w:r>
          </w:p>
        </w:tc>
        <w:tc>
          <w:tcPr>
            <w:tcW w:w="699"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1</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1、证照费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湘财综〔2010〕15号，湘发改价费规〔2021〕226号</w:t>
            </w:r>
          </w:p>
        </w:tc>
        <w:tc>
          <w:tcPr>
            <w:tcW w:w="4219" w:type="dxa"/>
            <w:noWrap w:val="0"/>
            <w:vAlign w:val="top"/>
          </w:tcPr>
          <w:p>
            <w:pPr>
              <w:spacing w:line="260" w:lineRule="exact"/>
              <w:rPr>
                <w:rFonts w:eastAsia="仿宋_GB2312"/>
                <w:szCs w:val="21"/>
              </w:rPr>
            </w:pPr>
          </w:p>
        </w:tc>
        <w:tc>
          <w:tcPr>
            <w:tcW w:w="3496" w:type="dxa"/>
            <w:noWrap w:val="0"/>
            <w:vAlign w:val="top"/>
          </w:tcPr>
          <w:p>
            <w:pPr>
              <w:spacing w:line="2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547" w:type="dxa"/>
            <w:vMerge w:val="continue"/>
            <w:noWrap w:val="0"/>
            <w:tcMar>
              <w:left w:w="51" w:type="dxa"/>
              <w:right w:w="51" w:type="dxa"/>
            </w:tcMar>
            <w:vAlign w:val="top"/>
          </w:tcPr>
          <w:p>
            <w:pPr>
              <w:spacing w:line="260" w:lineRule="exact"/>
              <w:rPr>
                <w:rFonts w:eastAsia="仿宋_GB2312"/>
                <w:szCs w:val="21"/>
              </w:rPr>
            </w:pPr>
          </w:p>
        </w:tc>
        <w:tc>
          <w:tcPr>
            <w:tcW w:w="683" w:type="dxa"/>
            <w:vMerge w:val="continue"/>
            <w:noWrap w:val="0"/>
            <w:vAlign w:val="top"/>
          </w:tcPr>
          <w:p>
            <w:pPr>
              <w:spacing w:line="260" w:lineRule="exact"/>
              <w:rPr>
                <w:rFonts w:eastAsia="仿宋_GB2312"/>
                <w:szCs w:val="21"/>
              </w:rPr>
            </w:pPr>
          </w:p>
        </w:tc>
        <w:tc>
          <w:tcPr>
            <w:tcW w:w="699" w:type="dxa"/>
            <w:vMerge w:val="continue"/>
            <w:noWrap w:val="0"/>
            <w:vAlign w:val="top"/>
          </w:tcPr>
          <w:p>
            <w:pPr>
              <w:spacing w:line="260" w:lineRule="exact"/>
              <w:rPr>
                <w:rFonts w:eastAsia="仿宋_GB2312"/>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(1)机动车号牌工本费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　</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《中华人民共和国道路交通安全法》，发改价格〔2004〕2831号，计价格〔1994〕783号，价费字〔1992〕240号，行业标准GA36-2014，发改价格规〔2019〕1931号，湘发改价费规〔2021〕226号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①反光号牌：汽车100元/副；摩托车35元/副；挂车50元/副；三轮汽车、低速货车、拖拉机（含联合收割机）40元/副。</w:t>
            </w:r>
            <w:r>
              <w:rPr>
                <w:rFonts w:eastAsia="仿宋_GB2312"/>
                <w:kern w:val="0"/>
                <w:szCs w:val="21"/>
              </w:rPr>
              <w:br w:type="textWrapping"/>
            </w:r>
            <w:r>
              <w:rPr>
                <w:rFonts w:eastAsia="仿宋_GB2312"/>
                <w:kern w:val="0"/>
                <w:szCs w:val="21"/>
              </w:rPr>
              <w:t>②临时号牌（纸质）5元/证；③临时入境机动车号牌10元/证。</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临时号牌（纸质）有效期不超过30天，补发证10元/证。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exact"/>
          <w:jc w:val="center"/>
        </w:trPr>
        <w:tc>
          <w:tcPr>
            <w:tcW w:w="547" w:type="dxa"/>
            <w:vMerge w:val="continue"/>
            <w:noWrap w:val="0"/>
            <w:tcMar>
              <w:left w:w="51" w:type="dxa"/>
              <w:right w:w="51" w:type="dxa"/>
            </w:tcMar>
            <w:vAlign w:val="top"/>
          </w:tcPr>
          <w:p>
            <w:pPr>
              <w:spacing w:line="260" w:lineRule="exact"/>
              <w:rPr>
                <w:rFonts w:eastAsia="仿宋_GB2312"/>
                <w:szCs w:val="21"/>
              </w:rPr>
            </w:pPr>
          </w:p>
        </w:tc>
        <w:tc>
          <w:tcPr>
            <w:tcW w:w="683" w:type="dxa"/>
            <w:vMerge w:val="continue"/>
            <w:noWrap w:val="0"/>
            <w:vAlign w:val="top"/>
          </w:tcPr>
          <w:p>
            <w:pPr>
              <w:spacing w:line="260" w:lineRule="exact"/>
              <w:rPr>
                <w:rFonts w:eastAsia="仿宋_GB2312"/>
                <w:szCs w:val="21"/>
              </w:rPr>
            </w:pPr>
          </w:p>
        </w:tc>
        <w:tc>
          <w:tcPr>
            <w:tcW w:w="699" w:type="dxa"/>
            <w:vMerge w:val="continue"/>
            <w:noWrap w:val="0"/>
            <w:vAlign w:val="top"/>
          </w:tcPr>
          <w:p>
            <w:pPr>
              <w:spacing w:line="260" w:lineRule="exact"/>
              <w:rPr>
                <w:rFonts w:eastAsia="仿宋_GB2312"/>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(2)机动车行驶证、登记证、驾驶证工本费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　</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《中华人民共和国道路交通安全法》，发改价格〔2004〕2831号,财综〔2001〕67号,计价格〔2001〕1979号,计价格〔1994〕783号,价费字〔1992〕240号，湘发改价费规〔2021〕226号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机动车行驶证工本费10元/证，机动车登记证工本费10元/证，机动车驾驶证工本费10元/证。</w:t>
            </w:r>
          </w:p>
        </w:tc>
        <w:tc>
          <w:tcPr>
            <w:tcW w:w="3496" w:type="dxa"/>
            <w:noWrap w:val="0"/>
            <w:vAlign w:val="center"/>
          </w:tcPr>
          <w:p>
            <w:pPr>
              <w:spacing w:line="260" w:lineRule="exact"/>
              <w:rPr>
                <w:rFonts w:eastAsia="仿宋_GB2312"/>
                <w:szCs w:val="21"/>
              </w:rPr>
            </w:pPr>
            <w:r>
              <w:rPr>
                <w:rFonts w:eastAsia="仿宋_GB2312"/>
                <w:szCs w:val="21"/>
              </w:rPr>
              <w:t>机动车行驶证工本费包括所附照片的拍摄和照片塑封费，补发证10元/证；机动车登记证补发证10元/证；机动车驾驶证补发证10元/证。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exact"/>
          <w:jc w:val="center"/>
        </w:trPr>
        <w:tc>
          <w:tcPr>
            <w:tcW w:w="547" w:type="dxa"/>
            <w:vMerge w:val="restart"/>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二</w:t>
            </w:r>
          </w:p>
        </w:tc>
        <w:tc>
          <w:tcPr>
            <w:tcW w:w="683"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自然</w:t>
            </w:r>
            <w:r>
              <w:rPr>
                <w:rFonts w:eastAsia="仿宋_GB2312"/>
                <w:kern w:val="0"/>
                <w:szCs w:val="21"/>
              </w:rPr>
              <w:br w:type="textWrapping"/>
            </w:r>
            <w:r>
              <w:rPr>
                <w:rFonts w:eastAsia="仿宋_GB2312"/>
                <w:kern w:val="0"/>
                <w:szCs w:val="21"/>
              </w:rPr>
              <w:t>资源</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2</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1、土地复垦费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40" w:lineRule="exact"/>
              <w:jc w:val="left"/>
              <w:rPr>
                <w:rFonts w:eastAsia="仿宋_GB2312"/>
                <w:kern w:val="0"/>
                <w:szCs w:val="21"/>
              </w:rPr>
            </w:pPr>
            <w:r>
              <w:rPr>
                <w:rFonts w:eastAsia="仿宋_GB2312"/>
                <w:kern w:val="0"/>
                <w:szCs w:val="21"/>
              </w:rPr>
              <w:t>《中华人民共和国土地管理法》，《土地复垦条例》，财税〔2014〕77号，财政部 税务总局 发展改革委 民政部 商务部 卫生健康委公告2019年第76号，湘财综〔2008〕68号，湘财综〔2015〕5号，湘发改价费〔2019〕597号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根据土地破坏程度和复垦工作量确定。</w:t>
            </w:r>
          </w:p>
        </w:tc>
        <w:tc>
          <w:tcPr>
            <w:tcW w:w="3496" w:type="dxa"/>
            <w:noWrap w:val="0"/>
            <w:vAlign w:val="top"/>
          </w:tcPr>
          <w:p>
            <w:pPr>
              <w:spacing w:line="2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3</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2、土地闲置费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40" w:lineRule="exact"/>
              <w:jc w:val="left"/>
              <w:rPr>
                <w:rFonts w:eastAsia="仿宋_GB2312"/>
                <w:kern w:val="0"/>
                <w:szCs w:val="21"/>
              </w:rPr>
            </w:pPr>
            <w:r>
              <w:rPr>
                <w:rFonts w:eastAsia="仿宋_GB2312"/>
                <w:kern w:val="0"/>
                <w:szCs w:val="21"/>
              </w:rPr>
              <w:t>《中华人民共和国土地管理法》，《中华人民共和国城市房地产管理法》，国发〔2008〕3号，财税〔2014〕77号，财税〔2021〕8号，财政部 税务总局 发展改革委 民政部 商务部 卫生健康委公告2019年第76号，国家税务总局 财政部 自然资源部 住建部 中国人民银行公告2021年第12号，湘财综〔2015〕5号，湘发改价费〔2019〕597号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土地成交价款的20%.</w:t>
            </w:r>
          </w:p>
        </w:tc>
        <w:tc>
          <w:tcPr>
            <w:tcW w:w="3496" w:type="dxa"/>
            <w:noWrap w:val="0"/>
            <w:vAlign w:val="top"/>
          </w:tcPr>
          <w:p>
            <w:pPr>
              <w:spacing w:line="2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4</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3、不动产登记费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40" w:lineRule="exact"/>
              <w:jc w:val="left"/>
              <w:rPr>
                <w:rFonts w:eastAsia="仿宋_GB2312"/>
                <w:kern w:val="0"/>
                <w:szCs w:val="21"/>
              </w:rPr>
            </w:pPr>
            <w:r>
              <w:rPr>
                <w:rFonts w:eastAsia="仿宋_GB2312"/>
                <w:kern w:val="0"/>
                <w:szCs w:val="21"/>
              </w:rPr>
              <w:t>《中华人民共和国民法典》，国办发〔2020〕23号，财税〔2014〕77号，财税〔2016〕79号，发改价格规〔2016〕2559号，财税〔2019〕45号，财税〔2019〕53号，财政部 税务总局 发展改革委 民政部 商务部 卫生健康委公告2019年第76号，湘中小组〔2019〕1号，湘发改价费〔2019〕597号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住宅类80元/件，非住宅类550元/件，证书工本费10元/证。</w:t>
            </w:r>
          </w:p>
        </w:tc>
        <w:tc>
          <w:tcPr>
            <w:tcW w:w="3496" w:type="dxa"/>
            <w:noWrap w:val="0"/>
            <w:vAlign w:val="top"/>
          </w:tcPr>
          <w:p>
            <w:pPr>
              <w:spacing w:line="2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exact"/>
          <w:jc w:val="center"/>
        </w:trPr>
        <w:tc>
          <w:tcPr>
            <w:tcW w:w="547" w:type="dxa"/>
            <w:noWrap w:val="0"/>
            <w:tcMar>
              <w:left w:w="51" w:type="dxa"/>
              <w:right w:w="51" w:type="dxa"/>
            </w:tcMar>
            <w:vAlign w:val="center"/>
          </w:tcPr>
          <w:p>
            <w:pPr>
              <w:widowControl/>
              <w:spacing w:line="260" w:lineRule="exact"/>
              <w:jc w:val="center"/>
              <w:rPr>
                <w:rFonts w:hint="eastAsia" w:eastAsia="仿宋_GB2312"/>
                <w:kern w:val="0"/>
                <w:szCs w:val="21"/>
              </w:rPr>
            </w:pPr>
            <w:r>
              <w:rPr>
                <w:rFonts w:hint="eastAsia" w:eastAsia="仿宋_GB2312"/>
                <w:kern w:val="0"/>
                <w:szCs w:val="21"/>
              </w:rPr>
              <w:t>二</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自然</w:t>
            </w:r>
            <w:r>
              <w:rPr>
                <w:rFonts w:eastAsia="仿宋_GB2312"/>
                <w:kern w:val="0"/>
                <w:szCs w:val="21"/>
              </w:rPr>
              <w:br w:type="textWrapping"/>
            </w:r>
            <w:r>
              <w:rPr>
                <w:rFonts w:eastAsia="仿宋_GB2312"/>
                <w:kern w:val="0"/>
                <w:szCs w:val="21"/>
              </w:rPr>
              <w:t>资源</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5</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4、耕地开垦费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《中华人民共和国土地管理法》，《中华人民共和国土地管理法实施条例》，财税〔2014〕77号，财政部 税务总局 发展改革委 民政部 商务部 卫生健康委公告2019年第76号，湘政办发〔2019〕38号，湘财综〔2015〕5号，湘发改价费〔2019〕597号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优等：水田78000元/亩，旱地52000元/亩</w:t>
            </w:r>
            <w:r>
              <w:rPr>
                <w:rFonts w:eastAsia="仿宋_GB2312"/>
                <w:kern w:val="0"/>
                <w:szCs w:val="21"/>
              </w:rPr>
              <w:br w:type="textWrapping"/>
            </w:r>
            <w:r>
              <w:rPr>
                <w:rFonts w:eastAsia="仿宋_GB2312"/>
                <w:kern w:val="0"/>
                <w:szCs w:val="21"/>
              </w:rPr>
              <w:t>高等：水田74000元/亩，旱地46000元/亩</w:t>
            </w:r>
            <w:r>
              <w:rPr>
                <w:rFonts w:eastAsia="仿宋_GB2312"/>
                <w:kern w:val="0"/>
                <w:szCs w:val="21"/>
              </w:rPr>
              <w:br w:type="textWrapping"/>
            </w:r>
            <w:r>
              <w:rPr>
                <w:rFonts w:eastAsia="仿宋_GB2312"/>
                <w:kern w:val="0"/>
                <w:szCs w:val="21"/>
              </w:rPr>
              <w:t>中等：水田66000元/亩，旱地38000元/亩</w:t>
            </w:r>
            <w:r>
              <w:rPr>
                <w:rFonts w:eastAsia="仿宋_GB2312"/>
                <w:kern w:val="0"/>
                <w:szCs w:val="21"/>
              </w:rPr>
              <w:br w:type="textWrapping"/>
            </w:r>
            <w:r>
              <w:rPr>
                <w:rFonts w:eastAsia="仿宋_GB2312"/>
                <w:kern w:val="0"/>
                <w:szCs w:val="21"/>
              </w:rPr>
              <w:t>低等：水田59000元/亩，旱地37000元/亩</w:t>
            </w:r>
          </w:p>
        </w:tc>
        <w:tc>
          <w:tcPr>
            <w:tcW w:w="3496" w:type="dxa"/>
            <w:noWrap w:val="0"/>
            <w:vAlign w:val="top"/>
          </w:tcPr>
          <w:p>
            <w:pPr>
              <w:spacing w:line="2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exact"/>
          <w:jc w:val="center"/>
        </w:trPr>
        <w:tc>
          <w:tcPr>
            <w:tcW w:w="547" w:type="dxa"/>
            <w:vMerge w:val="restart"/>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三</w:t>
            </w:r>
          </w:p>
        </w:tc>
        <w:tc>
          <w:tcPr>
            <w:tcW w:w="683"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住房城</w:t>
            </w:r>
            <w:r>
              <w:rPr>
                <w:rFonts w:eastAsia="仿宋_GB2312"/>
                <w:kern w:val="0"/>
                <w:szCs w:val="21"/>
              </w:rPr>
              <w:br w:type="textWrapping"/>
            </w:r>
            <w:r>
              <w:rPr>
                <w:rFonts w:eastAsia="仿宋_GB2312"/>
                <w:kern w:val="0"/>
                <w:szCs w:val="21"/>
              </w:rPr>
              <w:t>乡建设</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6</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1、污水处理费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《中华人民共和国水污染防治法》，《</w:t>
            </w:r>
            <w:bookmarkStart w:id="0" w:name="_GoBack"/>
            <w:bookmarkEnd w:id="0"/>
            <w:r>
              <w:rPr>
                <w:rFonts w:eastAsia="仿宋_GB2312"/>
                <w:kern w:val="0"/>
                <w:szCs w:val="21"/>
              </w:rPr>
              <w:t>城镇排水</w:t>
            </w:r>
            <w:r>
              <w:rPr>
                <w:rFonts w:hint="eastAsia" w:eastAsia="仿宋_GB2312"/>
                <w:kern w:val="0"/>
                <w:szCs w:val="21"/>
                <w:lang w:val="en-US" w:eastAsia="zh-CN"/>
              </w:rPr>
              <w:t>与</w:t>
            </w:r>
            <w:r>
              <w:rPr>
                <w:rFonts w:eastAsia="仿宋_GB2312"/>
                <w:kern w:val="0"/>
                <w:szCs w:val="21"/>
              </w:rPr>
              <w:t>污水处理条例》，财税〔2014〕151号，发改价格〔2015〕119号，湘财综〔2015〕19号，湘发改价费〔2020〕29号、湘发改价费〔2020〕517号、常价服〔2015〕54号</w:t>
            </w:r>
          </w:p>
        </w:tc>
        <w:tc>
          <w:tcPr>
            <w:tcW w:w="4219" w:type="dxa"/>
            <w:noWrap w:val="0"/>
            <w:vAlign w:val="center"/>
          </w:tcPr>
          <w:p>
            <w:pPr>
              <w:widowControl/>
              <w:spacing w:line="260" w:lineRule="exact"/>
              <w:jc w:val="left"/>
              <w:rPr>
                <w:rFonts w:eastAsia="仿宋_GB2312"/>
                <w:kern w:val="0"/>
                <w:szCs w:val="21"/>
              </w:rPr>
            </w:pPr>
            <w:r>
              <w:rPr>
                <w:rFonts w:hint="eastAsia" w:eastAsia="仿宋_GB2312"/>
                <w:kern w:val="0"/>
                <w:szCs w:val="21"/>
                <w:lang w:eastAsia="zh-CN"/>
              </w:rPr>
              <w:t>县</w:t>
            </w:r>
            <w:r>
              <w:rPr>
                <w:rFonts w:eastAsia="仿宋_GB2312"/>
                <w:kern w:val="0"/>
                <w:szCs w:val="21"/>
              </w:rPr>
              <w:t>城区污水处理费随水计征，收费标准为居民用水0.</w:t>
            </w:r>
            <w:r>
              <w:rPr>
                <w:rFonts w:hint="eastAsia" w:eastAsia="仿宋_GB2312"/>
                <w:kern w:val="0"/>
                <w:szCs w:val="21"/>
                <w:lang w:val="en-US" w:eastAsia="zh-CN"/>
              </w:rPr>
              <w:t>8</w:t>
            </w:r>
            <w:r>
              <w:rPr>
                <w:rFonts w:eastAsia="仿宋_GB2312"/>
                <w:kern w:val="0"/>
                <w:szCs w:val="21"/>
              </w:rPr>
              <w:t>5元/吨，非居民用水1.</w:t>
            </w:r>
            <w:r>
              <w:rPr>
                <w:rFonts w:hint="eastAsia" w:eastAsia="仿宋_GB2312"/>
                <w:kern w:val="0"/>
                <w:szCs w:val="21"/>
                <w:lang w:val="en-US" w:eastAsia="zh-CN"/>
              </w:rPr>
              <w:t>2</w:t>
            </w:r>
            <w:r>
              <w:rPr>
                <w:rFonts w:eastAsia="仿宋_GB2312"/>
                <w:kern w:val="0"/>
                <w:szCs w:val="21"/>
              </w:rPr>
              <w:t>元/吨。</w:t>
            </w:r>
          </w:p>
        </w:tc>
        <w:tc>
          <w:tcPr>
            <w:tcW w:w="3496" w:type="dxa"/>
            <w:noWrap w:val="0"/>
            <w:vAlign w:val="top"/>
          </w:tcPr>
          <w:p>
            <w:pPr>
              <w:spacing w:line="2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7</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2、城市道路占用、挖掘修复费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《城市道路管理条例》，建城〔1993〕410号，财税〔2015〕68号，财办税〔2020〕13号，湘发改价费规〔2021〕48号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　</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收取了城市道路挖掘修复费的，不得再收取城市道路占用费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exact"/>
          <w:jc w:val="center"/>
        </w:trPr>
        <w:tc>
          <w:tcPr>
            <w:tcW w:w="547" w:type="dxa"/>
            <w:vMerge w:val="restart"/>
            <w:noWrap w:val="0"/>
            <w:tcMar>
              <w:left w:w="51" w:type="dxa"/>
              <w:right w:w="51" w:type="dxa"/>
            </w:tcMar>
            <w:vAlign w:val="center"/>
          </w:tcPr>
          <w:p>
            <w:pPr>
              <w:widowControl/>
              <w:spacing w:line="260" w:lineRule="exact"/>
              <w:jc w:val="center"/>
              <w:rPr>
                <w:rFonts w:hint="eastAsia" w:eastAsia="仿宋_GB2312"/>
                <w:kern w:val="0"/>
                <w:szCs w:val="21"/>
              </w:rPr>
            </w:pPr>
            <w:r>
              <w:rPr>
                <w:rFonts w:hint="eastAsia" w:eastAsia="仿宋_GB2312"/>
                <w:kern w:val="0"/>
                <w:szCs w:val="21"/>
              </w:rPr>
              <w:t>三</w:t>
            </w:r>
          </w:p>
        </w:tc>
        <w:tc>
          <w:tcPr>
            <w:tcW w:w="683"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自然</w:t>
            </w:r>
            <w:r>
              <w:rPr>
                <w:rFonts w:eastAsia="仿宋_GB2312"/>
                <w:kern w:val="0"/>
                <w:szCs w:val="21"/>
              </w:rPr>
              <w:br w:type="textWrapping"/>
            </w:r>
            <w:r>
              <w:rPr>
                <w:rFonts w:eastAsia="仿宋_GB2312"/>
                <w:kern w:val="0"/>
                <w:szCs w:val="21"/>
              </w:rPr>
              <w:t>资源</w:t>
            </w:r>
          </w:p>
        </w:tc>
        <w:tc>
          <w:tcPr>
            <w:tcW w:w="699" w:type="dxa"/>
            <w:vMerge w:val="restart"/>
            <w:noWrap w:val="0"/>
            <w:vAlign w:val="center"/>
          </w:tcPr>
          <w:p>
            <w:pPr>
              <w:widowControl/>
              <w:spacing w:line="260" w:lineRule="exact"/>
              <w:jc w:val="center"/>
              <w:rPr>
                <w:rFonts w:hint="eastAsia" w:eastAsia="仿宋_GB2312"/>
                <w:kern w:val="0"/>
                <w:szCs w:val="21"/>
              </w:rPr>
            </w:pPr>
            <w:r>
              <w:rPr>
                <w:rFonts w:hint="eastAsia" w:eastAsia="仿宋_GB2312"/>
                <w:kern w:val="0"/>
                <w:szCs w:val="21"/>
              </w:rPr>
              <w:t>7</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①城市道路占用费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　</w:t>
            </w:r>
          </w:p>
        </w:tc>
        <w:tc>
          <w:tcPr>
            <w:tcW w:w="2694" w:type="dxa"/>
            <w:noWrap w:val="0"/>
            <w:vAlign w:val="center"/>
          </w:tcPr>
          <w:p>
            <w:pPr>
              <w:widowControl/>
              <w:spacing w:line="260" w:lineRule="exact"/>
              <w:jc w:val="center"/>
              <w:rPr>
                <w:rFonts w:eastAsia="仿宋_GB2312"/>
                <w:kern w:val="0"/>
                <w:szCs w:val="21"/>
              </w:rPr>
            </w:pPr>
            <w:r>
              <w:rPr>
                <w:rFonts w:eastAsia="仿宋_GB2312"/>
                <w:kern w:val="0"/>
                <w:szCs w:val="21"/>
              </w:rPr>
              <w:t>湘发改价费规〔2021〕48号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县（市）0.5元/平方米·日。</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对经批准占用城市规划区内道路设置停车位、搭建棚亭、摆设摊点、设置广告标志等进行经营、涉及灵活就业的免征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②城市道路挖掘修复费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　</w:t>
            </w:r>
          </w:p>
        </w:tc>
        <w:tc>
          <w:tcPr>
            <w:tcW w:w="2694" w:type="dxa"/>
            <w:noWrap w:val="0"/>
            <w:vAlign w:val="center"/>
          </w:tcPr>
          <w:p>
            <w:pPr>
              <w:widowControl/>
              <w:spacing w:line="260" w:lineRule="exact"/>
              <w:jc w:val="center"/>
              <w:rPr>
                <w:rFonts w:eastAsia="仿宋_GB2312"/>
                <w:kern w:val="0"/>
                <w:szCs w:val="21"/>
              </w:rPr>
            </w:pPr>
            <w:r>
              <w:rPr>
                <w:rFonts w:eastAsia="仿宋_GB2312"/>
                <w:kern w:val="0"/>
                <w:szCs w:val="21"/>
              </w:rPr>
              <w:t>湘发改价费规〔2021〕48号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按破损面积实时造价的150%。</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城市道路挖掘和损毁后，原则上由城市建设管理部门进行修复。对挖掘和损毁城市道路的单位及个人自行修复并经城市建设主管部门验收合格的不得收费。新建、改建的城市道路两年内对其开挖的，按道路修复成本的两倍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exact"/>
          <w:jc w:val="center"/>
        </w:trPr>
        <w:tc>
          <w:tcPr>
            <w:tcW w:w="547" w:type="dxa"/>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四</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交通</w:t>
            </w:r>
            <w:r>
              <w:rPr>
                <w:rFonts w:eastAsia="仿宋_GB2312"/>
                <w:kern w:val="0"/>
                <w:szCs w:val="21"/>
              </w:rPr>
              <w:br w:type="textWrapping"/>
            </w:r>
            <w:r>
              <w:rPr>
                <w:rFonts w:eastAsia="仿宋_GB2312"/>
                <w:kern w:val="0"/>
                <w:szCs w:val="21"/>
              </w:rPr>
              <w:t>运输</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8</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1、车辆通行费(限于政府还贷)</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《中华人民共和国公路法》，</w:t>
            </w:r>
            <w:r>
              <w:rPr>
                <w:rFonts w:eastAsia="仿宋_GB2312"/>
                <w:kern w:val="0"/>
                <w:szCs w:val="21"/>
                <w:highlight w:val="none"/>
              </w:rPr>
              <w:t>《中华人民共和国收费公路管理条例》</w:t>
            </w:r>
            <w:r>
              <w:rPr>
                <w:rFonts w:eastAsia="仿宋_GB2312"/>
                <w:kern w:val="0"/>
                <w:szCs w:val="21"/>
              </w:rPr>
              <w:t>，交公路发〔1994〕686号，湘政办函〔2013〕150号，湘政办函〔2021〕4号，湘发改价费规〔2022〕397号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基准收费标准：造价6000万元／公里以下的四车道高速公路按车型收费的0.4元/车·公里，计重收费的0.08元／吨·公里；造价6000万元／公里以上的四车道高速公路按车型收费的0.5元/车·公里，计重收费的0.09元／吨·公里;六车道高速公路 按车型收费的0.5元/车·公里，计重收费的0.10元／吨·公里</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3" w:hRule="exact"/>
          <w:jc w:val="center"/>
        </w:trPr>
        <w:tc>
          <w:tcPr>
            <w:tcW w:w="547" w:type="dxa"/>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五</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工业和</w:t>
            </w:r>
            <w:r>
              <w:rPr>
                <w:rFonts w:eastAsia="仿宋_GB2312"/>
                <w:kern w:val="0"/>
                <w:szCs w:val="21"/>
              </w:rPr>
              <w:br w:type="textWrapping"/>
            </w:r>
            <w:r>
              <w:rPr>
                <w:rFonts w:eastAsia="仿宋_GB2312"/>
                <w:kern w:val="0"/>
                <w:szCs w:val="21"/>
              </w:rPr>
              <w:t>信息化</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9</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1、无线电频率占用费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无线电管理条例》，计价格〔2000〕1015号，发改价格〔2013〕2396号，发改价格〔2011〕749号，发改价格〔2005〕2812号，发改价格〔2003〕2300号，计价费〔1998〕218号，发改价格〔2018〕601号，发改价格〔2019〕914号，湘发改价费〔2022〕552号，湘财税〔2024〕2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1、集群无线调度系统:全省范围内使用的，8000元/每频点·年；市州范围内使用1600</w:t>
            </w:r>
            <w:r>
              <w:rPr>
                <w:rFonts w:hint="eastAsia" w:eastAsia="仿宋_GB2312"/>
                <w:kern w:val="0"/>
                <w:szCs w:val="21"/>
                <w:lang w:eastAsia="zh-CN"/>
              </w:rPr>
              <w:t>元</w:t>
            </w:r>
            <w:r>
              <w:rPr>
                <w:rFonts w:eastAsia="仿宋_GB2312"/>
                <w:kern w:val="0"/>
                <w:szCs w:val="21"/>
              </w:rPr>
              <w:t>/每频点·年。　　　　　　　　　　　　　　　　　　　　　　　　　　　　　　　　　　2、无绳电话系统120元/每频点·年。　　　　　　　　　　　　　　　　　　　　　　　3、电视台，省级台40000元/每套节目·年；市州级台8000元/每套节目·年;县级台4000元/每套节目·年。　　　　　　　　　　　　　　　　　　　　　　　　　　　　　　　4、广播电台，省级台4000元/每套节目·年；市州级台400元/每套节目·年;县级台80元/每套节目·年。　　　　　　　　　　　　　　　　　　　　　　　　　　　　　　  5、以上项目外1000MHz以下的无线电台，固定电台（含陆地电台）800元/每频点·年;移动电台（含无中心电台）80元/每频点·年。　　　　　　　　　　　　　　　　　　                     　</w:t>
            </w:r>
            <w:r>
              <w:rPr>
                <w:rFonts w:eastAsia="仿宋_GB2312"/>
                <w:kern w:val="0"/>
                <w:szCs w:val="21"/>
              </w:rPr>
              <w:br w:type="textWrapping"/>
            </w:r>
            <w:r>
              <w:rPr>
                <w:rFonts w:eastAsia="仿宋_GB2312"/>
                <w:kern w:val="0"/>
                <w:szCs w:val="21"/>
              </w:rPr>
              <w:t xml:space="preserve">6、微波站（发射），工作频率10GHz以下32元/每站每兆赫·年;工作频率10GHz以上16元/每站每兆赫·年；有线电视传输（MMDS）480元/每站每兆赫·年。　　　　　　　　　                                                         </w:t>
            </w:r>
            <w:r>
              <w:rPr>
                <w:rFonts w:eastAsia="仿宋_GB2312"/>
                <w:kern w:val="0"/>
                <w:szCs w:val="21"/>
              </w:rPr>
              <w:br w:type="textWrapping"/>
            </w:r>
            <w:r>
              <w:rPr>
                <w:rFonts w:eastAsia="仿宋_GB2312"/>
                <w:kern w:val="0"/>
                <w:szCs w:val="21"/>
              </w:rPr>
              <w:t>7、地球站，200元/每站每兆赫·年。　　　　　　　　　　　　　　　　　　　　　　8、无线接入系统，1.8GHz-1.9GHz频段（FDD、TDD方式）120元/每基站·年；450MHz频段400元/每站每频点·年。　　　　　　　　　　　　　　　　　　　　　　             9、扩频系统2.4GHz、5.8GHz频段32 元/每站每兆赫·年。　　　　　　　　　　　　                                             10、无线数据频段，640元/每站每频点·年。　　　　　　　　　　　　　　　　　   11、边远地区“村村通工程”SCDMA无线接入基站（406.5MHz-409.5MHz频段）60元/每站·年。</w:t>
            </w:r>
            <w:r>
              <w:rPr>
                <w:rFonts w:eastAsia="仿宋_GB2312"/>
                <w:kern w:val="0"/>
                <w:szCs w:val="21"/>
              </w:rPr>
              <w:br w:type="textWrapping"/>
            </w:r>
            <w:r>
              <w:rPr>
                <w:rFonts w:eastAsia="仿宋_GB2312"/>
                <w:kern w:val="0"/>
                <w:szCs w:val="21"/>
              </w:rPr>
              <w:t>12、5905-5925MHz频段车联网直连通信系统收费标准按现行相关规定执行。</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1</w:t>
            </w:r>
            <w:r>
              <w:rPr>
                <w:rFonts w:eastAsia="仿宋_GB2312"/>
                <w:kern w:val="0"/>
                <w:sz w:val="18"/>
                <w:szCs w:val="18"/>
              </w:rPr>
              <w:t>、频率占用费自频率分配或指配之日起按年度计收。不足三个月的按四分之一年计收，超过三个月不足半年的按半年计收，超过半年不足一年的按一年计收。</w:t>
            </w:r>
            <w:r>
              <w:rPr>
                <w:rFonts w:eastAsia="仿宋_GB2312"/>
                <w:kern w:val="0"/>
                <w:sz w:val="18"/>
                <w:szCs w:val="18"/>
              </w:rPr>
              <w:br w:type="textWrapping"/>
            </w:r>
            <w:r>
              <w:rPr>
                <w:rFonts w:eastAsia="仿宋_GB2312"/>
                <w:kern w:val="0"/>
                <w:sz w:val="18"/>
                <w:szCs w:val="18"/>
              </w:rPr>
              <w:t>2、免收频率占用费的电台：党政领导机关设置的专用公务电台；国防用于军事、战备的专用电台；公安、武警、国家安全、检察、法院、监狱、渔政部门设置的专用公务电台；防火、防汛、防震、防台风、航空营救等抢险救灾专用电台和水上遇险值守、安全信息发播和安全导航电台；广播电视部门设置的实验台及对外广播电台、电视台；业余无线电台；农民集资办的电视差转台。上述部门和单位的电台用于从事经营活动的部分，要按规定足额缴纳频率占用费。国家另有减免政策的，按国家有关规定执行。</w:t>
            </w:r>
            <w:r>
              <w:rPr>
                <w:rFonts w:eastAsia="仿宋_GB2312"/>
                <w:kern w:val="0"/>
                <w:sz w:val="18"/>
                <w:szCs w:val="18"/>
              </w:rPr>
              <w:br w:type="textWrapping"/>
            </w:r>
            <w:r>
              <w:rPr>
                <w:rFonts w:eastAsia="仿宋_GB2312"/>
                <w:kern w:val="0"/>
                <w:sz w:val="18"/>
                <w:szCs w:val="18"/>
              </w:rPr>
              <w:t xml:space="preserve">3、用于卫生急救、气象服务、新闻、水上和航空无线电导航的专用电台及教育电视台减缴50%频率占用费。 国家另有减免政策的，按国家有关规定执行。 </w:t>
            </w:r>
            <w:r>
              <w:rPr>
                <w:rFonts w:eastAsia="仿宋_GB2312"/>
                <w:kern w:val="0"/>
                <w:sz w:val="18"/>
                <w:szCs w:val="18"/>
              </w:rPr>
              <w:br w:type="textWrapping"/>
            </w:r>
            <w:r>
              <w:rPr>
                <w:rFonts w:eastAsia="仿宋_GB2312"/>
                <w:kern w:val="0"/>
                <w:sz w:val="18"/>
                <w:szCs w:val="18"/>
              </w:rPr>
              <w:t>4、无线数据频段按核准带宽收，不足1MHZ按1MHZ计收。</w:t>
            </w:r>
            <w:r>
              <w:rPr>
                <w:rFonts w:eastAsia="仿宋_GB2312"/>
                <w:kern w:val="0"/>
                <w:sz w:val="18"/>
                <w:szCs w:val="18"/>
              </w:rPr>
              <w:br w:type="textWrapping"/>
            </w:r>
            <w:r>
              <w:rPr>
                <w:rFonts w:eastAsia="仿宋_GB2312"/>
                <w:kern w:val="0"/>
                <w:sz w:val="18"/>
                <w:szCs w:val="18"/>
              </w:rPr>
              <w:t>5、为鼓励新技术新业务的发展，对5905-5925MHz频段车联网直连通信系统频率占用费实行“头三年免收”的优惠政策，即自频率使用许可证发放之日起，第一年至第三年（按财务年度计算）免收无线电频率占用费，第四年及以后按照现行相关规定标准收取无线电频率占用费。</w:t>
            </w:r>
          </w:p>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6" w:hRule="exact"/>
          <w:jc w:val="center"/>
        </w:trPr>
        <w:tc>
          <w:tcPr>
            <w:tcW w:w="547" w:type="dxa"/>
            <w:vMerge w:val="restart"/>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六</w:t>
            </w:r>
          </w:p>
        </w:tc>
        <w:tc>
          <w:tcPr>
            <w:tcW w:w="683"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水利</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10</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1、水资源费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水法》，《取水许可和水资源费征收管理条例》，《湖南省取水许可和水资源费征收管理办法》，财税〔2016〕2号，发改价格〔2014〕1959号，发改价格〔2013〕29号，发改价格〔2009〕1779号，财综〔2011〕19号，财综〔2008〕79号，财综〔2003〕89号，价费字〔1992〕181号，财税〔2020〕15号，湘发改价费规〔2020〕647号，湘发改价费规〔2021〕473号，湘财税〔2024〕6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地表水：工业用水0.1元/立方米，生活取水0.1元/立方米，公共供水取水0.08元/立方米，水力发电取水0.003元/千瓦时，火力发电贯流式冷却取水0.003元/千瓦时，火力发电闭式循环取水0.6元/立方米，特种行业取水0.2元/立方米。</w:t>
            </w:r>
            <w:r>
              <w:rPr>
                <w:rFonts w:eastAsia="仿宋_GB2312"/>
                <w:kern w:val="0"/>
                <w:szCs w:val="21"/>
              </w:rPr>
              <w:br w:type="textWrapping"/>
            </w:r>
            <w:r>
              <w:rPr>
                <w:rFonts w:eastAsia="仿宋_GB2312"/>
                <w:kern w:val="0"/>
                <w:szCs w:val="21"/>
              </w:rPr>
              <w:t>地下水：公共供水取水0.15元/立方米；用于制作纯净水取水1元/立方米；其他取水，供水管网覆盖区0.7元/立方米，未覆盖区0.2元/立方米。</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1、在开征水资源税前，火力发电贯流式冷却取水暂按0.0015元/千瓦时标准执行；火力发电闭式循环取水暂按0.3元/立方米标准执行。2、因采矿和工程建设过程中破坏地下水层、发生地下水涌水而疏干排水的，按地下水水源中取水用途为其他取水的城市供水管网未覆盖区征收标准的20%征收。3、漂流取用水，按其年营业收入的1%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11</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2、水土保持补偿费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《中华人民共和国水土保持法》，财综〔2014〕8号，湘发改价费规〔2021〕473号，财税〔2023〕9号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1、一般性建设项目1.0元/平方米。2、开采矿产资源的：建设期间1.0元/平方米； 开采期间0.7元/吨。3、取土、挖砂、采石及烧制砖、瓦、瓷和石灰，1.0元/立方米。4、排放废弃土、石、渣，1.0元/立方米。</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exact"/>
          <w:jc w:val="center"/>
        </w:trPr>
        <w:tc>
          <w:tcPr>
            <w:tcW w:w="547" w:type="dxa"/>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七</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人防</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12</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1、防空地下室易地建设费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中发〔2001〕9号，国发〔2008〕4号，计价格〔2000〕474号，财税〔2019〕53号，财税〔2020〕58号，财政部 税务总局 发展改革委 民政部 商务部 卫生健康委2019年第76号，湘财综〔2015〕5号，湘发改价费规〔2022〕843号，财政部 税务总局 住房城乡建设部公告2023年第70号</w:t>
            </w: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计费面积按地面总建筑面积的 4%，512元/m</w:t>
            </w:r>
            <w:r>
              <w:rPr>
                <w:rFonts w:eastAsia="仿宋_GB2312"/>
                <w:kern w:val="0"/>
                <w:szCs w:val="21"/>
                <w:vertAlign w:val="superscript"/>
              </w:rPr>
              <w:t>2</w:t>
            </w:r>
            <w:r>
              <w:rPr>
                <w:rFonts w:eastAsia="仿宋_GB2312"/>
                <w:kern w:val="0"/>
                <w:szCs w:val="21"/>
              </w:rPr>
              <w:t>。</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exact"/>
          <w:jc w:val="center"/>
        </w:trPr>
        <w:tc>
          <w:tcPr>
            <w:tcW w:w="547" w:type="dxa"/>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八</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法院</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13</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1、诉讼费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《中华人民共和国民事诉讼法》，《中华人民共和国行政诉讼法》，《诉讼费用交纳办法》（国务院令481号），财行〔2003〕275号，湘发改价费规〔2021〕754号</w:t>
            </w:r>
          </w:p>
        </w:tc>
        <w:tc>
          <w:tcPr>
            <w:tcW w:w="4219" w:type="dxa"/>
            <w:noWrap w:val="0"/>
            <w:vAlign w:val="center"/>
          </w:tcPr>
          <w:p>
            <w:pPr>
              <w:widowControl/>
              <w:spacing w:line="260" w:lineRule="exact"/>
              <w:jc w:val="left"/>
              <w:rPr>
                <w:rFonts w:eastAsia="仿宋_GB2312"/>
                <w:kern w:val="0"/>
                <w:szCs w:val="21"/>
              </w:rPr>
            </w:pP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6" w:hRule="exact"/>
          <w:jc w:val="center"/>
        </w:trPr>
        <w:tc>
          <w:tcPr>
            <w:tcW w:w="547" w:type="dxa"/>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八</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法院</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13</w:t>
            </w:r>
          </w:p>
        </w:tc>
        <w:tc>
          <w:tcPr>
            <w:tcW w:w="1028" w:type="dxa"/>
            <w:noWrap w:val="0"/>
            <w:vAlign w:val="center"/>
          </w:tcPr>
          <w:p>
            <w:pPr>
              <w:widowControl/>
              <w:spacing w:line="260" w:lineRule="exact"/>
              <w:rPr>
                <w:rFonts w:eastAsia="仿宋_GB2312"/>
                <w:kern w:val="0"/>
                <w:szCs w:val="21"/>
              </w:rPr>
            </w:pPr>
            <w:r>
              <w:rPr>
                <w:rFonts w:eastAsia="仿宋_GB2312"/>
                <w:kern w:val="0"/>
                <w:szCs w:val="21"/>
              </w:rPr>
              <w:t>(1)案件受理费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　</w:t>
            </w:r>
          </w:p>
        </w:tc>
        <w:tc>
          <w:tcPr>
            <w:tcW w:w="2694" w:type="dxa"/>
            <w:noWrap w:val="0"/>
            <w:vAlign w:val="center"/>
          </w:tcPr>
          <w:p>
            <w:pPr>
              <w:widowControl/>
              <w:spacing w:line="260" w:lineRule="exact"/>
              <w:jc w:val="center"/>
              <w:rPr>
                <w:rFonts w:eastAsia="仿宋_GB2312"/>
                <w:kern w:val="0"/>
                <w:szCs w:val="21"/>
              </w:rPr>
            </w:pPr>
            <w:r>
              <w:rPr>
                <w:rFonts w:eastAsia="仿宋_GB2312"/>
                <w:kern w:val="0"/>
                <w:szCs w:val="21"/>
              </w:rPr>
              <w:t>　</w:t>
            </w:r>
          </w:p>
        </w:tc>
        <w:tc>
          <w:tcPr>
            <w:tcW w:w="4219" w:type="dxa"/>
            <w:noWrap w:val="0"/>
            <w:vAlign w:val="center"/>
          </w:tcPr>
          <w:p>
            <w:pPr>
              <w:widowControl/>
              <w:spacing w:line="220" w:lineRule="exact"/>
              <w:jc w:val="left"/>
              <w:rPr>
                <w:rFonts w:eastAsia="仿宋_GB2312"/>
                <w:kern w:val="0"/>
                <w:szCs w:val="21"/>
              </w:rPr>
            </w:pPr>
            <w:r>
              <w:rPr>
                <w:rFonts w:eastAsia="仿宋_GB2312"/>
                <w:kern w:val="0"/>
                <w:szCs w:val="21"/>
              </w:rPr>
              <w:t>1、财产案件：不超过1万元（含1万元）的 每件 50元。超过1万元的部分按诉讼请求的金额或者价额一定比例收取，其中超过1万元至10万元（含10万元）的部分收费比例为2.5％；10万元至20万元（含20万元）的部分收费比例为2％；超过20万元至50万元（含50万元）的部分收费比例为1.5％；超过50万元至100万元（含100万元）的部分收费比例为1％；超过100万元至200万元（含200万元）的部分收费比例为0.9％；超过200万元至500万元（含500万元）的部分收费比例为0.8％；超过500万元至1000万元（含1000万元）的部分收费比例为0.7％；超过1000万元至2000万元（含2000万元）的部分收费比例为0.6％；超过2000万元的部分收费比例为 0.5％。　　　　　　　　                                              　　　　　   　　2、非财产案件：（1）离婚案件，不涉及财产分割或涉及财产总额不超过20万</w:t>
            </w:r>
            <w:r>
              <w:rPr>
                <w:rFonts w:hint="eastAsia" w:eastAsia="仿宋_GB2312"/>
                <w:kern w:val="0"/>
                <w:szCs w:val="21"/>
                <w:lang w:eastAsia="zh-CN"/>
              </w:rPr>
              <w:t>元</w:t>
            </w:r>
            <w:r>
              <w:rPr>
                <w:rFonts w:eastAsia="仿宋_GB2312"/>
                <w:kern w:val="0"/>
                <w:szCs w:val="21"/>
              </w:rPr>
              <w:t>（含20万元）的，每件200元；涉及财产总额超过20万元的部分按涉及财产金额0.5%收取。（2）侵害姓名权、名称权、肖像权、名誉权、荣誉权以及其他人格权的案件，赔偿金额不超过5万元（含5万元）的，每件300元；超过5万元至10万元（含10万元）的部分按赔偿金额1%收取；超过10万元的部分按赔偿金额0.5%收取。（3）其他非财产案件，每件80元。　　　                               　　　　  　         3、知识产权民事案件：没有争议金额或者价额的，每件800元；有争议金额或者价额的，按照财产案件的标准交纳。　　　　　　　　　　　　　　　　　　　　　　　　　　4、劳动争议案件：每件10元。</w:t>
            </w:r>
            <w:r>
              <w:rPr>
                <w:rFonts w:eastAsia="仿宋_GB2312"/>
                <w:kern w:val="0"/>
                <w:szCs w:val="21"/>
              </w:rPr>
              <w:br w:type="textWrapping"/>
            </w:r>
            <w:r>
              <w:rPr>
                <w:rFonts w:eastAsia="仿宋_GB2312"/>
                <w:kern w:val="0"/>
                <w:szCs w:val="21"/>
              </w:rPr>
              <w:t>5、行政案件：商标、专利、海事行政案件每件100元；其他行政案件每件50元。</w:t>
            </w:r>
            <w:r>
              <w:rPr>
                <w:rFonts w:eastAsia="仿宋_GB2312"/>
                <w:kern w:val="0"/>
                <w:szCs w:val="21"/>
              </w:rPr>
              <w:br w:type="textWrapping"/>
            </w:r>
            <w:r>
              <w:rPr>
                <w:rFonts w:eastAsia="仿宋_GB2312"/>
                <w:kern w:val="0"/>
                <w:szCs w:val="21"/>
              </w:rPr>
              <w:t>6、当事人提出案件管辖权异议，异议不成立的案件，每件70元。</w:t>
            </w:r>
          </w:p>
          <w:p>
            <w:pPr>
              <w:widowControl/>
              <w:spacing w:line="260" w:lineRule="exact"/>
              <w:jc w:val="left"/>
              <w:rPr>
                <w:rFonts w:eastAsia="仿宋_GB2312"/>
                <w:kern w:val="0"/>
                <w:szCs w:val="21"/>
              </w:rPr>
            </w:pP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5" w:hRule="exact"/>
          <w:jc w:val="center"/>
        </w:trPr>
        <w:tc>
          <w:tcPr>
            <w:tcW w:w="547" w:type="dxa"/>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八</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法院</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13</w:t>
            </w:r>
          </w:p>
        </w:tc>
        <w:tc>
          <w:tcPr>
            <w:tcW w:w="1028" w:type="dxa"/>
            <w:noWrap w:val="0"/>
            <w:vAlign w:val="center"/>
          </w:tcPr>
          <w:p>
            <w:pPr>
              <w:widowControl/>
              <w:spacing w:line="260" w:lineRule="exact"/>
              <w:rPr>
                <w:rFonts w:eastAsia="仿宋_GB2312"/>
                <w:kern w:val="0"/>
                <w:szCs w:val="21"/>
              </w:rPr>
            </w:pPr>
            <w:r>
              <w:rPr>
                <w:rFonts w:eastAsia="仿宋_GB2312"/>
                <w:kern w:val="0"/>
                <w:szCs w:val="21"/>
              </w:rPr>
              <w:t>(2)案件申请费</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center"/>
              <w:rPr>
                <w:rFonts w:eastAsia="仿宋_GB2312"/>
                <w:kern w:val="0"/>
                <w:szCs w:val="21"/>
              </w:rPr>
            </w:pPr>
          </w:p>
        </w:tc>
        <w:tc>
          <w:tcPr>
            <w:tcW w:w="4219" w:type="dxa"/>
            <w:noWrap w:val="0"/>
            <w:vAlign w:val="center"/>
          </w:tcPr>
          <w:p>
            <w:pPr>
              <w:widowControl/>
              <w:spacing w:line="240" w:lineRule="exact"/>
              <w:jc w:val="left"/>
              <w:rPr>
                <w:rFonts w:eastAsia="仿宋_GB2312"/>
                <w:kern w:val="0"/>
                <w:szCs w:val="21"/>
              </w:rPr>
            </w:pPr>
            <w:r>
              <w:rPr>
                <w:rFonts w:eastAsia="仿宋_GB2312"/>
                <w:kern w:val="0"/>
                <w:szCs w:val="21"/>
              </w:rPr>
              <w:t>1、依法向人民法院申请执行人民法院发生法律效力的判决、裁定、调解书，仲裁机构依法作出的裁决和调解书，公证机关依法赋予强制执行效力的债权文书，申请承认和执行外国法院判决、裁定以及国外仲裁机构裁决的，（1）没有执行金额或者价额的每件 50元至500元。（2）有执行金额或者价额的，不超过1万元（含1万元）的每件50元。超过1万</w:t>
            </w:r>
            <w:r>
              <w:rPr>
                <w:rFonts w:hint="eastAsia" w:eastAsia="仿宋_GB2312"/>
                <w:kern w:val="0"/>
                <w:szCs w:val="21"/>
                <w:lang w:eastAsia="zh-CN"/>
              </w:rPr>
              <w:t>元</w:t>
            </w:r>
            <w:r>
              <w:rPr>
                <w:rFonts w:eastAsia="仿宋_GB2312"/>
                <w:kern w:val="0"/>
                <w:szCs w:val="21"/>
              </w:rPr>
              <w:t>的部分按执行金额或者价额的比例收费，超过1万元至50万元（含50万元）的部分收费比例为 1.5％；超过50万元至500万元（含500万元）的部分收费比例为 1％：超过500万元至1000万元（含1000万元）的部分收费比例为 0.5％；超过1000万元的部分收费比例为 0.1％。　　　　　　　　　　　　　　　　　　　　　　　　　　　　　　　2、申请保全措施的，财产数额不超过1000元（含1000元）或者不涉及财产数额的每件 30元；超过1000元至10万元（含10万元）的部分按保全财产数额 1%；超过10万元的部分 保全财产数额0.5％。　　　　　　　　　　　　　　　　　　　　　　　　　3、依法申请支付令的 比照财产案件受理费标准 1/3。</w:t>
            </w:r>
            <w:r>
              <w:rPr>
                <w:rFonts w:eastAsia="仿宋_GB2312"/>
                <w:kern w:val="0"/>
                <w:szCs w:val="21"/>
              </w:rPr>
              <w:br w:type="textWrapping"/>
            </w:r>
            <w:r>
              <w:rPr>
                <w:rFonts w:eastAsia="仿宋_GB2312"/>
                <w:kern w:val="0"/>
                <w:szCs w:val="21"/>
              </w:rPr>
              <w:t>4、依法申请公示催告的每件100元。</w:t>
            </w:r>
            <w:r>
              <w:rPr>
                <w:rFonts w:eastAsia="仿宋_GB2312"/>
                <w:kern w:val="0"/>
                <w:szCs w:val="21"/>
              </w:rPr>
              <w:br w:type="textWrapping"/>
            </w:r>
            <w:r>
              <w:rPr>
                <w:rFonts w:eastAsia="仿宋_GB2312"/>
                <w:kern w:val="0"/>
                <w:szCs w:val="21"/>
              </w:rPr>
              <w:t>5、申请撤销仲裁裁决或者认定仲裁协议效力的每件400元</w:t>
            </w:r>
            <w:r>
              <w:rPr>
                <w:rFonts w:hint="eastAsia" w:eastAsia="仿宋_GB2312"/>
                <w:kern w:val="0"/>
                <w:szCs w:val="21"/>
              </w:rPr>
              <w:t>。</w:t>
            </w:r>
            <w:r>
              <w:rPr>
                <w:rFonts w:eastAsia="仿宋_GB2312"/>
                <w:kern w:val="0"/>
                <w:szCs w:val="21"/>
              </w:rPr>
              <w:br w:type="textWrapping"/>
            </w:r>
            <w:r>
              <w:rPr>
                <w:rFonts w:eastAsia="仿宋_GB2312"/>
                <w:kern w:val="0"/>
                <w:szCs w:val="21"/>
              </w:rPr>
              <w:t>6、破产案件比照财产案件受理费标准50%</w:t>
            </w:r>
            <w:r>
              <w:rPr>
                <w:rFonts w:hint="eastAsia" w:eastAsia="仿宋_GB2312"/>
                <w:kern w:val="0"/>
                <w:szCs w:val="21"/>
              </w:rPr>
              <w:t>。</w:t>
            </w:r>
            <w:r>
              <w:rPr>
                <w:rFonts w:eastAsia="仿宋_GB2312"/>
                <w:kern w:val="0"/>
                <w:szCs w:val="21"/>
              </w:rPr>
              <w:br w:type="textWrapping"/>
            </w:r>
            <w:r>
              <w:rPr>
                <w:rFonts w:eastAsia="仿宋_GB2312"/>
                <w:kern w:val="0"/>
                <w:szCs w:val="21"/>
              </w:rPr>
              <w:t>7、海事案件，申请设立海事赔偿责任限制基金的每件1000元至1万元；申请海事强制令的每件1000元至5000元；申请船舶优先权催告的每件1000元至5000元；申请海事债权登记的每件1000元；申请共同海损理算的，每件1000元。</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9" w:hRule="exact"/>
          <w:jc w:val="center"/>
        </w:trPr>
        <w:tc>
          <w:tcPr>
            <w:tcW w:w="547" w:type="dxa"/>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九</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市场</w:t>
            </w:r>
            <w:r>
              <w:rPr>
                <w:rFonts w:eastAsia="仿宋_GB2312"/>
                <w:kern w:val="0"/>
                <w:szCs w:val="21"/>
              </w:rPr>
              <w:br w:type="textWrapping"/>
            </w:r>
            <w:r>
              <w:rPr>
                <w:rFonts w:eastAsia="仿宋_GB2312"/>
                <w:kern w:val="0"/>
                <w:szCs w:val="21"/>
              </w:rPr>
              <w:t>监管</w:t>
            </w: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14</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1、特种设备检验检测费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《中华人民共和国特种设备安全法》,《特种设备安全监察条例》，发改价格〔2015〕1299号，财综〔2011〕16号，国市监注〔2020〕38号，财综〔2001〕10号，湘财综〔2017〕16号，湘发改价费规〔2024〕416号</w:t>
            </w:r>
          </w:p>
        </w:tc>
        <w:tc>
          <w:tcPr>
            <w:tcW w:w="4219" w:type="dxa"/>
            <w:noWrap w:val="0"/>
            <w:vAlign w:val="center"/>
          </w:tcPr>
          <w:p>
            <w:pPr>
              <w:widowControl/>
              <w:spacing w:line="260" w:lineRule="exact"/>
              <w:jc w:val="left"/>
              <w:rPr>
                <w:rFonts w:eastAsia="仿宋_GB2312"/>
                <w:kern w:val="0"/>
                <w:szCs w:val="21"/>
              </w:rPr>
            </w:pPr>
          </w:p>
        </w:tc>
        <w:tc>
          <w:tcPr>
            <w:tcW w:w="3496" w:type="dxa"/>
            <w:noWrap w:val="0"/>
            <w:vAlign w:val="center"/>
          </w:tcPr>
          <w:p>
            <w:pPr>
              <w:widowControl/>
              <w:spacing w:line="220" w:lineRule="exact"/>
              <w:jc w:val="left"/>
              <w:rPr>
                <w:rFonts w:eastAsia="仿宋_GB2312"/>
                <w:kern w:val="0"/>
                <w:szCs w:val="21"/>
              </w:rPr>
            </w:pPr>
            <w:r>
              <w:rPr>
                <w:rFonts w:eastAsia="仿宋_GB2312"/>
                <w:kern w:val="0"/>
                <w:szCs w:val="21"/>
              </w:rPr>
              <w:t>1、50公里以外的单台特种设备远程定期检验，检验费按相应标准增加20%。</w:t>
            </w:r>
            <w:r>
              <w:rPr>
                <w:rFonts w:eastAsia="仿宋_GB2312"/>
                <w:kern w:val="0"/>
                <w:szCs w:val="21"/>
              </w:rPr>
              <w:br w:type="textWrapping"/>
            </w:r>
            <w:r>
              <w:rPr>
                <w:rFonts w:eastAsia="仿宋_GB2312"/>
                <w:kern w:val="0"/>
                <w:szCs w:val="21"/>
              </w:rPr>
              <w:t>2、进出口特种设备的安全性能检验费，按产品购进价格的1%收取。</w:t>
            </w:r>
            <w:r>
              <w:rPr>
                <w:rFonts w:eastAsia="仿宋_GB2312"/>
                <w:kern w:val="0"/>
                <w:szCs w:val="21"/>
              </w:rPr>
              <w:br w:type="textWrapping"/>
            </w:r>
            <w:r>
              <w:rPr>
                <w:rFonts w:eastAsia="仿宋_GB2312"/>
                <w:kern w:val="0"/>
                <w:szCs w:val="21"/>
              </w:rPr>
              <w:t>3、检验工作前后的现场清理、清洗置换、脚手架的搭拆以及运输等工作均由被检单位负责。</w:t>
            </w:r>
            <w:r>
              <w:rPr>
                <w:rFonts w:eastAsia="仿宋_GB2312"/>
                <w:kern w:val="0"/>
                <w:szCs w:val="21"/>
              </w:rPr>
              <w:br w:type="textWrapping"/>
            </w:r>
            <w:r>
              <w:rPr>
                <w:rFonts w:eastAsia="仿宋_GB2312"/>
                <w:kern w:val="0"/>
                <w:szCs w:val="21"/>
              </w:rPr>
              <w:t>4、工程合同价包括：主材费、辅材费、人工费、调试费、机具费。该项费用由建设单位支付，列入工程造价，由施工单位垫付。</w:t>
            </w:r>
            <w:r>
              <w:rPr>
                <w:rFonts w:eastAsia="仿宋_GB2312"/>
                <w:kern w:val="0"/>
                <w:szCs w:val="21"/>
              </w:rPr>
              <w:br w:type="textWrapping"/>
            </w:r>
            <w:r>
              <w:rPr>
                <w:rFonts w:eastAsia="仿宋_GB2312"/>
                <w:kern w:val="0"/>
                <w:szCs w:val="21"/>
              </w:rPr>
              <w:t>5、在用特种设备缺陷确认与安全评定收费，按不突破该台特种设备购进价格的6%收取（其缺陷确认费占40%，技术风险费占20%，缺陷安全评估费占40%）。</w:t>
            </w:r>
            <w:r>
              <w:rPr>
                <w:rFonts w:eastAsia="仿宋_GB2312"/>
                <w:kern w:val="0"/>
                <w:szCs w:val="21"/>
              </w:rPr>
              <w:br w:type="textWrapping"/>
            </w:r>
            <w:r>
              <w:rPr>
                <w:rFonts w:eastAsia="仿宋_GB2312"/>
                <w:kern w:val="0"/>
                <w:szCs w:val="21"/>
              </w:rPr>
              <w:t>6、产品出厂价是指产品加工完之后,由生产成本(含材料费、人工、税金、水电、设备折旧等)加上合理利润组成的价格，不包括任何运费，不存在中间流通环节。</w:t>
            </w:r>
            <w:r>
              <w:rPr>
                <w:rFonts w:eastAsia="仿宋_GB2312"/>
                <w:kern w:val="0"/>
                <w:szCs w:val="21"/>
              </w:rPr>
              <w:br w:type="textWrapping"/>
            </w:r>
            <w:r>
              <w:rPr>
                <w:rFonts w:eastAsia="仿宋_GB2312"/>
                <w:kern w:val="0"/>
                <w:szCs w:val="21"/>
              </w:rPr>
              <w:t>7、检验不合格，按检规要求整改后需要现场复检的可收复检费，复检费按定期检验的50%收取。                                                                       　　  8、特种设备检验机构对下列情形之一提供检验检测一揽子服务的，在保证服务质量的前提下，允许以规定收费标准为基础适当下浮，下浮后的收费标准不得低于原收费标准的80%：（1）同一使用单位有两类及以上特种设备；（2）同一使用单位在两处及以上场所使用的特种设备；（3）使用单位特种设备数量达到50台及以上；（4）在对特种设备进行检验检测的同时，对其进行安全评价、评估等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restart"/>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九</w:t>
            </w:r>
          </w:p>
        </w:tc>
        <w:tc>
          <w:tcPr>
            <w:tcW w:w="683"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市场</w:t>
            </w:r>
            <w:r>
              <w:rPr>
                <w:rFonts w:eastAsia="仿宋_GB2312"/>
                <w:kern w:val="0"/>
                <w:szCs w:val="21"/>
              </w:rPr>
              <w:br w:type="textWrapping"/>
            </w:r>
            <w:r>
              <w:rPr>
                <w:rFonts w:eastAsia="仿宋_GB2312"/>
                <w:kern w:val="0"/>
                <w:szCs w:val="21"/>
              </w:rPr>
              <w:t>监管</w:t>
            </w:r>
          </w:p>
        </w:tc>
        <w:tc>
          <w:tcPr>
            <w:tcW w:w="699"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14</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（1）锅炉检验</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（1）每台次产品安全质量监督检验：D≤1(t/h)按锅炉本体价的0.5%，1 &lt;D≤4(t/h)按锅炉本体价的0.44%，4&lt;D≤20(t/h)按锅炉本体价的0.38%，D≥20(t/h)按锅炉本体价的0.32%；（2）每台次安装维修改造监督检验，按工程合同价的1.26%</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1.锅炉本体包含范围按GB2900.1《电工名词术语》中的解释；2.锅炉部件制造按加工费2%收取。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（2）容器检验</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（1）每台次压力容器产品质量监督检验：I类按出厂价的0.47%，Ⅱ类、气瓶按出厂价的 0.5%，Ⅲ类按出厂价的 0.54%，高压容器按出厂价的 0.57%；（2）每台次压力容器安装维修改造监督检验按工程合同价的1.26%；（3）每台次医用氧舱安装监检按现行市场售价的1.58%；（4）每台次医用氧舱定期检验按现行市场售价的1.26%；（5）罐车出厂技术资料审验每台200元（首次）。</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（3）压力管道检验</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（1）安装监督检验：长输管道5元/米，公用管道（金属）4元/米，公用管道（非金属）3元/米，工业管道按工程合同价的1.26%；（2）每只压力管道元件制造监督检验按元件出厂价的0.95%。</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1.检验前后清洗、置换、现场清理以及脚手架、保温层、管接头、安全附件等拆装由用户负责；2.检验中必须使用管爬行器的另行收取设备费用；3.不含测厚、理化试验、无损检测安全附件检验费用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（4）起重机检验（含防爆）</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1）定期检验：单梁起重机、桅杆吊、缆索吊315元/台，2年1次。升降机、流动式起重机315元/台，1年1次。机械式停车设备60元/台，2年1次。门座式起重机、门式起重机、桥式起重机（不含单梁起重机）500元/台，2年1次。塔式起重机750元/台，1年1次。（2）起重机械安装、改造、重大维修监督检验按同类起重机定期检验加收50%。</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1.单梁式起重机以3吨为基准，起重量每增加1吨加收10元；2、流动式起重机以8吨为基准，每增加1吨加收50元；3.门座式起重机、装卸桥、门式起重机、通用桥式起重机以3吨为基准，每增加1吨加收50元。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47" w:type="dxa"/>
            <w:vMerge w:val="restart"/>
            <w:noWrap w:val="0"/>
            <w:tcMar>
              <w:left w:w="51" w:type="dxa"/>
              <w:right w:w="51" w:type="dxa"/>
            </w:tcMar>
            <w:vAlign w:val="center"/>
          </w:tcPr>
          <w:p>
            <w:pPr>
              <w:widowControl/>
              <w:spacing w:line="260" w:lineRule="exact"/>
              <w:jc w:val="center"/>
              <w:rPr>
                <w:rFonts w:eastAsia="仿宋_GB2312"/>
                <w:kern w:val="0"/>
                <w:szCs w:val="21"/>
              </w:rPr>
            </w:pPr>
            <w:r>
              <w:rPr>
                <w:rFonts w:eastAsia="仿宋_GB2312"/>
                <w:kern w:val="0"/>
                <w:szCs w:val="21"/>
              </w:rPr>
              <w:t>九</w:t>
            </w:r>
          </w:p>
        </w:tc>
        <w:tc>
          <w:tcPr>
            <w:tcW w:w="683"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市场</w:t>
            </w:r>
            <w:r>
              <w:rPr>
                <w:rFonts w:eastAsia="仿宋_GB2312"/>
                <w:kern w:val="0"/>
                <w:szCs w:val="21"/>
              </w:rPr>
              <w:br w:type="textWrapping"/>
            </w:r>
            <w:r>
              <w:rPr>
                <w:rFonts w:eastAsia="仿宋_GB2312"/>
                <w:kern w:val="0"/>
                <w:szCs w:val="21"/>
              </w:rPr>
              <w:t>监管</w:t>
            </w:r>
          </w:p>
        </w:tc>
        <w:tc>
          <w:tcPr>
            <w:tcW w:w="699"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14</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（5）厂(场)内机动车辆检验</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按设备购价的0.19%。</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在用叉车的定期检验每2年1次；在用非公路用旅游观光车辆的定期检验每年1次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（6）电梯检验</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（1）定期检验：货梯300元/台，客梯410元/台。（2）电梯安装、改造、重大维修监督检验按同类电梯定期检验加收50%。</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1.客梯、货梯以6层为基数，每增加一层加收25元。2、货梯包括仅供载货电梯和杂物电梯。3.自动人行道按客梯基价执行，使用区段大于20m自动人行道每增加1m加收40元；4.自动扶梯提升高度＜6m的，按客梯基价执行，≥6m的提升高度每增加1m加收40元；5.客货两用电梯按照客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（7）大型游乐设施检验</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1）定期检验：总价100万元以下的按设备总价的0.63%，100万元及以上至300万以下的按设备总价的0.44%，300万元及以上的按设备总价的0.32%；（2）大型游乐设施安装、改造、重大维修监督检验按定期检验加收20%；（3）大型游乐设施制造监督检验：100万以下的按出厂价的0.63%，100万及以上至500万以下的按出厂价的0.44%，500万及以上至1000万以下的按出厂价的0.38%，1000万及以上至1亿以下的按出厂价的0.32%，1亿及以上的按出厂价的0.25%。</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（8）客运索道定期检验</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按工程造价的0.09%。</w:t>
            </w: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工程造价为设备购进价加上设备的安装费用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exact"/>
          <w:jc w:val="center"/>
        </w:trPr>
        <w:tc>
          <w:tcPr>
            <w:tcW w:w="547" w:type="dxa"/>
            <w:vMerge w:val="restart"/>
            <w:noWrap w:val="0"/>
            <w:tcMar>
              <w:left w:w="51" w:type="dxa"/>
              <w:right w:w="51" w:type="dxa"/>
            </w:tcMar>
            <w:vAlign w:val="center"/>
          </w:tcPr>
          <w:p>
            <w:pPr>
              <w:widowControl/>
              <w:spacing w:line="260" w:lineRule="exact"/>
              <w:jc w:val="center"/>
              <w:rPr>
                <w:rFonts w:hint="eastAsia" w:eastAsia="仿宋_GB2312"/>
                <w:kern w:val="0"/>
                <w:szCs w:val="21"/>
              </w:rPr>
            </w:pPr>
            <w:r>
              <w:rPr>
                <w:rFonts w:hint="eastAsia" w:eastAsia="仿宋_GB2312"/>
                <w:kern w:val="0"/>
                <w:szCs w:val="21"/>
              </w:rPr>
              <w:t>九</w:t>
            </w:r>
          </w:p>
        </w:tc>
        <w:tc>
          <w:tcPr>
            <w:tcW w:w="683"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市场</w:t>
            </w:r>
            <w:r>
              <w:rPr>
                <w:rFonts w:eastAsia="仿宋_GB2312"/>
                <w:kern w:val="0"/>
                <w:szCs w:val="21"/>
              </w:rPr>
              <w:br w:type="textWrapping"/>
            </w:r>
            <w:r>
              <w:rPr>
                <w:rFonts w:eastAsia="仿宋_GB2312"/>
                <w:kern w:val="0"/>
                <w:szCs w:val="21"/>
              </w:rPr>
              <w:t>监管</w:t>
            </w:r>
          </w:p>
        </w:tc>
        <w:tc>
          <w:tcPr>
            <w:tcW w:w="699"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15</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2、药品注册费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《中华人民共和国药品管理法实施条例》，财税〔2015〕2号，发改价格〔2015〕1006号，食药监公告2015第53号，财政部 国家发展改革委公告2020年第11号，食药监公告2020年第75号，财政部 税务总局公告2020年第28号，财政部 国家发展改革委公告2021年第9号，财政部 国家发展改革委公告2022年第5号，湘发改价费规〔2024〕416号</w:t>
            </w:r>
          </w:p>
        </w:tc>
        <w:tc>
          <w:tcPr>
            <w:tcW w:w="4219" w:type="dxa"/>
            <w:noWrap w:val="0"/>
            <w:vAlign w:val="center"/>
          </w:tcPr>
          <w:p>
            <w:pPr>
              <w:widowControl/>
              <w:spacing w:line="260" w:lineRule="exact"/>
              <w:jc w:val="left"/>
              <w:rPr>
                <w:rFonts w:eastAsia="仿宋_GB2312"/>
                <w:kern w:val="0"/>
                <w:szCs w:val="21"/>
              </w:rPr>
            </w:pP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（1）再注册费</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19800元/每品种</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（2）加急费</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在受理国产药品再注册加急申请时收取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exac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noWrap w:val="0"/>
            <w:vAlign w:val="center"/>
          </w:tcPr>
          <w:p>
            <w:pPr>
              <w:widowControl/>
              <w:spacing w:line="260" w:lineRule="exact"/>
              <w:jc w:val="center"/>
              <w:rPr>
                <w:rFonts w:eastAsia="仿宋_GB2312"/>
                <w:kern w:val="0"/>
                <w:szCs w:val="21"/>
              </w:rPr>
            </w:pPr>
            <w:r>
              <w:rPr>
                <w:rFonts w:eastAsia="仿宋_GB2312"/>
                <w:kern w:val="0"/>
                <w:szCs w:val="21"/>
              </w:rPr>
              <w:t>16</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3、医疗器械产品注册费</w:t>
            </w:r>
          </w:p>
        </w:tc>
        <w:tc>
          <w:tcPr>
            <w:tcW w:w="683" w:type="dxa"/>
            <w:noWrap w:val="0"/>
            <w:vAlign w:val="center"/>
          </w:tcPr>
          <w:p>
            <w:pPr>
              <w:widowControl/>
              <w:spacing w:line="260" w:lineRule="exact"/>
              <w:jc w:val="center"/>
              <w:rPr>
                <w:rFonts w:eastAsia="仿宋_GB2312"/>
                <w:kern w:val="0"/>
                <w:szCs w:val="21"/>
              </w:rPr>
            </w:pPr>
            <w:r>
              <w:rPr>
                <w:rFonts w:eastAsia="仿宋_GB2312"/>
                <w:kern w:val="0"/>
                <w:szCs w:val="21"/>
              </w:rPr>
              <w:t>中央</w:t>
            </w:r>
          </w:p>
        </w:tc>
        <w:tc>
          <w:tcPr>
            <w:tcW w:w="2694" w:type="dxa"/>
            <w:noWrap w:val="0"/>
            <w:vAlign w:val="center"/>
          </w:tcPr>
          <w:p>
            <w:pPr>
              <w:widowControl/>
              <w:spacing w:line="260" w:lineRule="exact"/>
              <w:jc w:val="left"/>
              <w:rPr>
                <w:rFonts w:eastAsia="仿宋_GB2312"/>
                <w:kern w:val="0"/>
                <w:szCs w:val="21"/>
              </w:rPr>
            </w:pPr>
            <w:r>
              <w:rPr>
                <w:rFonts w:eastAsia="仿宋_GB2312"/>
                <w:kern w:val="0"/>
                <w:szCs w:val="21"/>
              </w:rPr>
              <w:t>《医疗器械监督管理条例》，财税〔2015〕2号，发改价格〔2015〕1006号，食药监公告2015第53号，财政部 国家发展改革委公告2020年第11号，财政部 税务总局公告2020年第28号，财政部 国家发展改革委公告2021年第9号，财政部 国家发展改革委公告2022年第5号，湘发改价费规〔2024〕416号</w:t>
            </w:r>
          </w:p>
        </w:tc>
        <w:tc>
          <w:tcPr>
            <w:tcW w:w="4219" w:type="dxa"/>
            <w:noWrap w:val="0"/>
            <w:vAlign w:val="center"/>
          </w:tcPr>
          <w:p>
            <w:pPr>
              <w:widowControl/>
              <w:spacing w:line="260" w:lineRule="exact"/>
              <w:jc w:val="left"/>
              <w:rPr>
                <w:rFonts w:eastAsia="仿宋_GB2312"/>
                <w:kern w:val="0"/>
                <w:szCs w:val="21"/>
              </w:rPr>
            </w:pP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47" w:type="dxa"/>
            <w:vMerge w:val="restart"/>
            <w:noWrap w:val="0"/>
            <w:tcMar>
              <w:left w:w="51" w:type="dxa"/>
              <w:right w:w="51" w:type="dxa"/>
            </w:tcMar>
            <w:vAlign w:val="center"/>
          </w:tcPr>
          <w:p>
            <w:pPr>
              <w:widowControl/>
              <w:spacing w:line="260" w:lineRule="exact"/>
              <w:jc w:val="center"/>
              <w:rPr>
                <w:rFonts w:hint="eastAsia" w:eastAsia="仿宋_GB2312"/>
                <w:kern w:val="0"/>
                <w:szCs w:val="21"/>
              </w:rPr>
            </w:pPr>
            <w:r>
              <w:rPr>
                <w:rFonts w:hint="eastAsia" w:eastAsia="仿宋_GB2312"/>
                <w:kern w:val="0"/>
                <w:szCs w:val="21"/>
              </w:rPr>
              <w:t>九</w:t>
            </w:r>
          </w:p>
        </w:tc>
        <w:tc>
          <w:tcPr>
            <w:tcW w:w="683" w:type="dxa"/>
            <w:vMerge w:val="restart"/>
            <w:noWrap w:val="0"/>
            <w:vAlign w:val="center"/>
          </w:tcPr>
          <w:p>
            <w:pPr>
              <w:widowControl/>
              <w:spacing w:line="260" w:lineRule="exact"/>
              <w:jc w:val="center"/>
              <w:rPr>
                <w:rFonts w:eastAsia="仿宋_GB2312"/>
                <w:kern w:val="0"/>
                <w:szCs w:val="21"/>
              </w:rPr>
            </w:pPr>
            <w:r>
              <w:rPr>
                <w:rFonts w:eastAsia="仿宋_GB2312"/>
                <w:kern w:val="0"/>
                <w:szCs w:val="21"/>
              </w:rPr>
              <w:t>市场</w:t>
            </w:r>
            <w:r>
              <w:rPr>
                <w:rFonts w:eastAsia="仿宋_GB2312"/>
                <w:kern w:val="0"/>
                <w:szCs w:val="21"/>
              </w:rPr>
              <w:br w:type="textWrapping"/>
            </w:r>
            <w:r>
              <w:rPr>
                <w:rFonts w:eastAsia="仿宋_GB2312"/>
                <w:kern w:val="0"/>
                <w:szCs w:val="21"/>
              </w:rPr>
              <w:t>监管</w:t>
            </w:r>
          </w:p>
        </w:tc>
        <w:tc>
          <w:tcPr>
            <w:tcW w:w="699" w:type="dxa"/>
            <w:vMerge w:val="restart"/>
            <w:noWrap w:val="0"/>
            <w:vAlign w:val="center"/>
          </w:tcPr>
          <w:p>
            <w:pPr>
              <w:widowControl/>
              <w:spacing w:line="260" w:lineRule="exact"/>
              <w:jc w:val="center"/>
              <w:rPr>
                <w:rFonts w:eastAsia="仿宋_GB2312"/>
                <w:kern w:val="0"/>
                <w:szCs w:val="21"/>
              </w:rPr>
            </w:pPr>
            <w:r>
              <w:rPr>
                <w:rFonts w:hint="eastAsia" w:eastAsia="仿宋_GB2312"/>
                <w:kern w:val="0"/>
                <w:szCs w:val="21"/>
              </w:rPr>
              <w:t>16</w:t>
            </w: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（1）首次注册费</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50400元/每品种</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（2）变更注册费</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21140元/每品种</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（3）延续注册费</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r>
              <w:rPr>
                <w:rFonts w:eastAsia="仿宋_GB2312"/>
                <w:kern w:val="0"/>
                <w:szCs w:val="21"/>
              </w:rPr>
              <w:t>21000元/每品种</w:t>
            </w:r>
          </w:p>
        </w:tc>
        <w:tc>
          <w:tcPr>
            <w:tcW w:w="3496" w:type="dxa"/>
            <w:noWrap w:val="0"/>
            <w:vAlign w:val="center"/>
          </w:tcPr>
          <w:p>
            <w:pPr>
              <w:widowControl/>
              <w:spacing w:line="26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47" w:type="dxa"/>
            <w:vMerge w:val="continue"/>
            <w:noWrap w:val="0"/>
            <w:tcMar>
              <w:left w:w="51" w:type="dxa"/>
              <w:right w:w="51" w:type="dxa"/>
            </w:tcMar>
            <w:vAlign w:val="center"/>
          </w:tcPr>
          <w:p>
            <w:pPr>
              <w:widowControl/>
              <w:spacing w:line="260" w:lineRule="exact"/>
              <w:jc w:val="center"/>
              <w:rPr>
                <w:rFonts w:eastAsia="仿宋_GB2312"/>
                <w:kern w:val="0"/>
                <w:szCs w:val="21"/>
              </w:rPr>
            </w:pPr>
          </w:p>
        </w:tc>
        <w:tc>
          <w:tcPr>
            <w:tcW w:w="683" w:type="dxa"/>
            <w:vMerge w:val="continue"/>
            <w:noWrap w:val="0"/>
            <w:vAlign w:val="center"/>
          </w:tcPr>
          <w:p>
            <w:pPr>
              <w:widowControl/>
              <w:spacing w:line="260" w:lineRule="exact"/>
              <w:jc w:val="center"/>
              <w:rPr>
                <w:rFonts w:eastAsia="仿宋_GB2312"/>
                <w:kern w:val="0"/>
                <w:szCs w:val="21"/>
              </w:rPr>
            </w:pPr>
          </w:p>
        </w:tc>
        <w:tc>
          <w:tcPr>
            <w:tcW w:w="699" w:type="dxa"/>
            <w:vMerge w:val="continue"/>
            <w:noWrap w:val="0"/>
            <w:vAlign w:val="center"/>
          </w:tcPr>
          <w:p>
            <w:pPr>
              <w:widowControl/>
              <w:spacing w:line="260" w:lineRule="exact"/>
              <w:jc w:val="center"/>
              <w:rPr>
                <w:rFonts w:eastAsia="仿宋_GB2312"/>
                <w:kern w:val="0"/>
                <w:szCs w:val="21"/>
              </w:rPr>
            </w:pPr>
          </w:p>
        </w:tc>
        <w:tc>
          <w:tcPr>
            <w:tcW w:w="1028" w:type="dxa"/>
            <w:noWrap w:val="0"/>
            <w:vAlign w:val="center"/>
          </w:tcPr>
          <w:p>
            <w:pPr>
              <w:widowControl/>
              <w:spacing w:line="260" w:lineRule="exact"/>
              <w:jc w:val="left"/>
              <w:rPr>
                <w:rFonts w:eastAsia="仿宋_GB2312"/>
                <w:kern w:val="0"/>
                <w:szCs w:val="21"/>
              </w:rPr>
            </w:pPr>
            <w:r>
              <w:rPr>
                <w:rFonts w:eastAsia="仿宋_GB2312"/>
                <w:kern w:val="0"/>
                <w:szCs w:val="21"/>
              </w:rPr>
              <w:t>（4）加急费</w:t>
            </w:r>
          </w:p>
        </w:tc>
        <w:tc>
          <w:tcPr>
            <w:tcW w:w="683" w:type="dxa"/>
            <w:noWrap w:val="0"/>
            <w:vAlign w:val="center"/>
          </w:tcPr>
          <w:p>
            <w:pPr>
              <w:widowControl/>
              <w:spacing w:line="260" w:lineRule="exact"/>
              <w:jc w:val="center"/>
              <w:rPr>
                <w:rFonts w:eastAsia="仿宋_GB2312"/>
                <w:kern w:val="0"/>
                <w:szCs w:val="21"/>
              </w:rPr>
            </w:pPr>
          </w:p>
        </w:tc>
        <w:tc>
          <w:tcPr>
            <w:tcW w:w="2694" w:type="dxa"/>
            <w:noWrap w:val="0"/>
            <w:vAlign w:val="center"/>
          </w:tcPr>
          <w:p>
            <w:pPr>
              <w:widowControl/>
              <w:spacing w:line="260" w:lineRule="exact"/>
              <w:jc w:val="left"/>
              <w:rPr>
                <w:rFonts w:eastAsia="仿宋_GB2312"/>
                <w:kern w:val="0"/>
                <w:szCs w:val="21"/>
              </w:rPr>
            </w:pPr>
          </w:p>
        </w:tc>
        <w:tc>
          <w:tcPr>
            <w:tcW w:w="4219" w:type="dxa"/>
            <w:noWrap w:val="0"/>
            <w:vAlign w:val="center"/>
          </w:tcPr>
          <w:p>
            <w:pPr>
              <w:widowControl/>
              <w:spacing w:line="260" w:lineRule="exact"/>
              <w:jc w:val="left"/>
              <w:rPr>
                <w:rFonts w:eastAsia="仿宋_GB2312"/>
                <w:kern w:val="0"/>
                <w:szCs w:val="21"/>
              </w:rPr>
            </w:pPr>
          </w:p>
        </w:tc>
        <w:tc>
          <w:tcPr>
            <w:tcW w:w="3496" w:type="dxa"/>
            <w:noWrap w:val="0"/>
            <w:vAlign w:val="center"/>
          </w:tcPr>
          <w:p>
            <w:pPr>
              <w:widowControl/>
              <w:spacing w:line="260" w:lineRule="exact"/>
              <w:jc w:val="left"/>
              <w:rPr>
                <w:rFonts w:eastAsia="仿宋_GB2312"/>
                <w:kern w:val="0"/>
                <w:szCs w:val="21"/>
              </w:rPr>
            </w:pPr>
            <w:r>
              <w:rPr>
                <w:rFonts w:eastAsia="仿宋_GB2312"/>
                <w:kern w:val="0"/>
                <w:szCs w:val="21"/>
              </w:rPr>
              <w:t>在受理二类医疗器械产品注册（包括首次注册、变更注册、延续注册）加急申请时收取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exact"/>
          <w:jc w:val="center"/>
        </w:trPr>
        <w:tc>
          <w:tcPr>
            <w:tcW w:w="14049" w:type="dxa"/>
            <w:gridSpan w:val="8"/>
            <w:noWrap w:val="0"/>
            <w:tcMar>
              <w:left w:w="51" w:type="dxa"/>
              <w:right w:w="51" w:type="dxa"/>
            </w:tcMar>
            <w:vAlign w:val="center"/>
          </w:tcPr>
          <w:p>
            <w:pPr>
              <w:widowControl/>
              <w:spacing w:line="260" w:lineRule="exact"/>
              <w:rPr>
                <w:rFonts w:eastAsia="仿宋_GB2312"/>
                <w:kern w:val="0"/>
                <w:szCs w:val="21"/>
              </w:rPr>
            </w:pPr>
            <w:r>
              <w:rPr>
                <w:rFonts w:eastAsia="仿宋_GB2312"/>
                <w:kern w:val="0"/>
                <w:szCs w:val="21"/>
              </w:rPr>
              <w:t xml:space="preserve">备注:1、本清单不含中央部门和单位在我省执收的涉企行政事业性收费项目。  </w:t>
            </w:r>
            <w:r>
              <w:rPr>
                <w:rFonts w:eastAsia="仿宋_GB2312"/>
                <w:kern w:val="0"/>
                <w:szCs w:val="21"/>
              </w:rPr>
              <w:br w:type="textWrapping"/>
            </w:r>
            <w:r>
              <w:rPr>
                <w:rFonts w:eastAsia="仿宋_GB2312"/>
                <w:kern w:val="0"/>
                <w:szCs w:val="21"/>
              </w:rPr>
              <w:t xml:space="preserve">     2、排污权有偿使用费、河道砂石资源有偿使用费属于国有资源有偿使用收入，不作为行政事业性收费管理。</w:t>
            </w:r>
            <w:r>
              <w:rPr>
                <w:rFonts w:eastAsia="仿宋_GB2312"/>
                <w:kern w:val="0"/>
                <w:szCs w:val="21"/>
              </w:rPr>
              <w:br w:type="textWrapping"/>
            </w:r>
            <w:r>
              <w:rPr>
                <w:rFonts w:eastAsia="仿宋_GB2312"/>
                <w:kern w:val="0"/>
                <w:szCs w:val="21"/>
              </w:rPr>
              <w:t xml:space="preserve">     3、人防工程及设施毁损赔（补）偿费不再作为行政事业性收费管理，改作国有资源（资产）有偿使用收入管理。对人防工程及设施造成毁损的，应按照《中华人民共和国人民防空法》的规定，依法赔偿损失。</w:t>
            </w:r>
            <w:r>
              <w:rPr>
                <w:rFonts w:eastAsia="仿宋_GB2312"/>
                <w:kern w:val="0"/>
                <w:szCs w:val="21"/>
              </w:rPr>
              <w:br w:type="textWrapping"/>
            </w:r>
            <w:r>
              <w:rPr>
                <w:rFonts w:eastAsia="仿宋_GB2312"/>
                <w:kern w:val="0"/>
                <w:szCs w:val="21"/>
              </w:rPr>
              <w:t xml:space="preserve">     4、破损公路及公路设施赔补偿费和公路占用费不再作为行政事业性收费项目管理，改作国有资源（资产）有偿使用收入管理。造成公路及公路设施破损以及占用公路的，应按照《中华人民共和国公路法》、交通运输部《路政管理规定》，依法进行赔偿或补偿。</w:t>
            </w:r>
          </w:p>
        </w:tc>
      </w:tr>
    </w:tbl>
    <w:p>
      <w:pPr>
        <w:rPr>
          <w:rFonts w:hint="eastAsia"/>
        </w:rPr>
      </w:pPr>
    </w:p>
    <w:p>
      <w:pPr>
        <w:pStyle w:val="7"/>
        <w:rPr>
          <w:rFonts w:hint="eastAsia"/>
        </w:rPr>
        <w:sectPr>
          <w:footerReference r:id="rId5" w:type="first"/>
          <w:footerReference r:id="rId3" w:type="default"/>
          <w:footerReference r:id="rId4" w:type="even"/>
          <w:pgSz w:w="16838" w:h="11906" w:orient="landscape"/>
          <w:pgMar w:top="1474" w:right="1474" w:bottom="1417" w:left="1474" w:header="851" w:footer="1134" w:gutter="0"/>
          <w:pgNumType w:fmt="numberInDash"/>
          <w:cols w:space="720" w:num="1"/>
          <w:titlePg/>
          <w:docGrid w:type="linesAndChars" w:linePitch="312" w:charSpace="0"/>
        </w:sectPr>
      </w:pPr>
    </w:p>
    <w:p>
      <w:pPr>
        <w:pStyle w:val="7"/>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sz w:val="24"/>
                              <w:szCs w:val="24"/>
                            </w:rPr>
                          </w:pPr>
                          <w:r>
                            <w:rPr>
                              <w:rStyle w:val="6"/>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Style w:val="6"/>
                              <w:rFonts w:hint="eastAsia" w:ascii="宋体" w:hAnsi="宋体" w:cs="宋体"/>
                              <w:sz w:val="28"/>
                              <w:szCs w:val="28"/>
                            </w:rPr>
                            <w:fldChar w:fldCharType="separate"/>
                          </w:r>
                          <w:r>
                            <w:rPr>
                              <w:rStyle w:val="6"/>
                              <w:rFonts w:ascii="宋体" w:hAnsi="宋体" w:cs="宋体"/>
                              <w:sz w:val="28"/>
                              <w:szCs w:val="28"/>
                            </w:rPr>
                            <w:t>- 39 -</w:t>
                          </w:r>
                          <w:r>
                            <w:rPr>
                              <w:rStyle w:val="6"/>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6"/>
                        <w:sz w:val="24"/>
                        <w:szCs w:val="24"/>
                      </w:rPr>
                    </w:pPr>
                    <w:r>
                      <w:rPr>
                        <w:rStyle w:val="6"/>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Style w:val="6"/>
                        <w:rFonts w:hint="eastAsia" w:ascii="宋体" w:hAnsi="宋体" w:cs="宋体"/>
                        <w:sz w:val="28"/>
                        <w:szCs w:val="28"/>
                      </w:rPr>
                      <w:fldChar w:fldCharType="separate"/>
                    </w:r>
                    <w:r>
                      <w:rPr>
                        <w:rStyle w:val="6"/>
                        <w:rFonts w:ascii="宋体" w:hAnsi="宋体" w:cs="宋体"/>
                        <w:sz w:val="28"/>
                        <w:szCs w:val="28"/>
                      </w:rPr>
                      <w:t>- 39 -</w:t>
                    </w:r>
                    <w:r>
                      <w:rPr>
                        <w:rStyle w:val="6"/>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Style w:val="6"/>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258c3884-e6e8-4e63-ae98-a8af1bb9ca54"/>
  </w:docVars>
  <w:rsids>
    <w:rsidRoot w:val="5B616616"/>
    <w:rsid w:val="5B616616"/>
    <w:rsid w:val="63F0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ind w:firstLine="643" w:firstLineChars="200"/>
      <w:textAlignment w:val="baseline"/>
    </w:pPr>
    <w:rPr>
      <w:rFonts w:ascii="仿宋_GB2312" w:hAnsi="仿宋_GB2312" w:eastAsia="仿宋_GB2312" w:cs="仿宋_GB2312"/>
      <w:b/>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7407</Words>
  <Characters>8612</Characters>
  <Lines>0</Lines>
  <Paragraphs>0</Paragraphs>
  <TotalTime>8</TotalTime>
  <ScaleCrop>false</ScaleCrop>
  <LinksUpToDate>false</LinksUpToDate>
  <CharactersWithSpaces>9332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2025-04-09T07:42:00Z</dcterms:created>
  <dc:creator>WPS_1743063980</dc:creator>
  <cp:lastModifiedBy>陈木沐</cp:lastModifiedBy>
  <dcterms:modified xsi:type="dcterms:W3CDTF">2025-04-09T09:25:52Z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0456EA82D85549E2911024862AC80243_11</vt:lpwstr>
  </property>
</Properties>
</file>