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Times New Roman" w:hAnsi="Times New Roman"/>
          <w:b/>
          <w:color w:val="222222"/>
          <w:kern w:val="0"/>
          <w:sz w:val="44"/>
          <w:szCs w:val="44"/>
        </w:rPr>
      </w:pPr>
      <w:r>
        <w:rPr>
          <w:rFonts w:ascii="Times New Roman" w:hAnsi="Times New Roman" w:eastAsia="仿宋_GB2312"/>
          <w:bCs/>
          <w:color w:val="222222"/>
          <w:kern w:val="0"/>
          <w:sz w:val="32"/>
          <w:szCs w:val="32"/>
        </w:rPr>
        <w:t>附件</w:t>
      </w:r>
      <w:r>
        <w:rPr>
          <w:rFonts w:hint="eastAsia" w:ascii="Times New Roman" w:hAnsi="Times New Roman" w:eastAsia="仿宋_GB2312"/>
          <w:bCs/>
          <w:color w:val="222222"/>
          <w:kern w:val="0"/>
          <w:sz w:val="32"/>
          <w:szCs w:val="32"/>
        </w:rPr>
        <w:t>2</w:t>
      </w:r>
      <w:r>
        <w:rPr>
          <w:rFonts w:ascii="Times New Roman" w:hAnsi="Times New Roman" w:eastAsia="仿宋_GB2312"/>
          <w:bCs/>
          <w:color w:val="222222"/>
          <w:kern w:val="0"/>
          <w:sz w:val="32"/>
          <w:szCs w:val="32"/>
        </w:rPr>
        <w:t>：</w:t>
      </w:r>
    </w:p>
    <w:p>
      <w:pPr>
        <w:spacing w:line="560" w:lineRule="exact"/>
        <w:jc w:val="center"/>
        <w:rPr>
          <w:rFonts w:ascii="Times New Roman" w:hAnsi="Times New Roman" w:eastAsia="方正小标宋_GBK"/>
          <w:b/>
          <w:kern w:val="0"/>
          <w:sz w:val="36"/>
          <w:szCs w:val="36"/>
        </w:rPr>
      </w:pPr>
    </w:p>
    <w:p>
      <w:pPr>
        <w:spacing w:line="560" w:lineRule="exact"/>
        <w:jc w:val="center"/>
        <w:rPr>
          <w:rFonts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kern w:val="0"/>
          <w:sz w:val="44"/>
          <w:szCs w:val="44"/>
        </w:rPr>
        <w:t>2020年度澧县退役军人事务局</w:t>
      </w:r>
    </w:p>
    <w:p>
      <w:pPr>
        <w:spacing w:line="560" w:lineRule="exact"/>
        <w:jc w:val="center"/>
        <w:rPr>
          <w:rFonts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kern w:val="0"/>
          <w:sz w:val="44"/>
          <w:szCs w:val="44"/>
        </w:rPr>
        <w:t>部门整体支出绩效报告</w:t>
      </w:r>
    </w:p>
    <w:p>
      <w:pPr>
        <w:widowControl/>
        <w:ind w:firstLine="643"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b/>
          <w:bCs/>
          <w:color w:val="222222"/>
          <w:kern w:val="0"/>
          <w:sz w:val="32"/>
          <w:szCs w:val="32"/>
        </w:rPr>
        <w:t>一、部门概况</w:t>
      </w:r>
    </w:p>
    <w:p>
      <w:pPr>
        <w:widowControl/>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（一） 机构、人员构成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rPr>
        <w:t>澧县退役军人事务局是2019年全县机构改革新成立的</w:t>
      </w:r>
      <w:r>
        <w:rPr>
          <w:rFonts w:hint="eastAsia" w:ascii="仿宋_GB2312" w:hAnsi="仿宋_GB2312" w:eastAsia="仿宋_GB2312" w:cs="仿宋_GB2312"/>
          <w:sz w:val="32"/>
          <w:szCs w:val="32"/>
        </w:rPr>
        <w:t>独立核算的行政单位，属一级预算单位;2020年与上级主管部门同步增设双拥办,现单位内设办公室（包括办公室、财务、政工、纪检、档案管理等）、拥军优抚股、双拥办、军转移交安置股、思想政治权益维护股、退役军人服务中心6个业务股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澧县退役军人事务局人员2020年预算分为两种：一种行政编制5人，属澧县退役军人事务局，事业编制13人，分别属澧县退役军人服务中心、澧县双拥办，这两个股级单位没有独立核算。（年初预算14人，10月份新进事业编制2人）</w:t>
      </w:r>
    </w:p>
    <w:p>
      <w:pPr>
        <w:widowControl/>
        <w:numPr>
          <w:ilvl w:val="0"/>
          <w:numId w:val="1"/>
        </w:numPr>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单位主要职责</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kern w:val="0"/>
          <w:sz w:val="32"/>
          <w:szCs w:val="32"/>
        </w:rPr>
        <w:t>主要职能是</w:t>
      </w:r>
      <w:r>
        <w:rPr>
          <w:rFonts w:hint="eastAsia" w:ascii="仿宋_GB2312" w:hAnsi="仿宋_GB2312" w:eastAsia="仿宋_GB2312" w:cs="仿宋_GB2312"/>
          <w:sz w:val="32"/>
          <w:szCs w:val="32"/>
        </w:rPr>
        <w:t>贯彻执行中央、省、市关于退役军人思想政治、管理保障和安置优抚等工作的政策法规，拟订全县关于退役军人事务发展规划和政策措施并组织实施，褒扬彰显退役军人为党、国家和人民牺牲奉献的精神风范和价值导向。承担协调全县拥军优属工作，指导做好地方支持军队相关工作，承担现役军人和军属等人员的优待工作；负责全县军队转业干部、复员干部、离休退休干部、退役士兵和无军籍退休退职职工的移交安置工作。负责全县军队转业干部、复员干部、离休退休干部、退役士兵和无军籍退休退职职工的移交安置工作。组织指导全县退役军人教育培训工作，协调扶持退役军人和随军随调家属就业创业。贯彻落实国家、省、市关于退役军人特殊保障政策，会同有关部门拟订相关措施并组织落实。</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（二）负责组织开展拥军优属、拥政爱民活动，督促拥军优属、拥政爱民各项政策、措施的落实；负责配合宣传教育部门做好拥军优属、拥政爱民工作的宣传；负责县双拥工作领导小组日常工作。</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（三）指导并监督检查退役军人相关法律法规和政策措施的落实；组织开展全县退役军人权益维护和有关人员的帮扶援助工作。</w:t>
      </w:r>
    </w:p>
    <w:p>
      <w:pPr>
        <w:widowControl/>
        <w:ind w:firstLine="643" w:firstLineChars="200"/>
        <w:rPr>
          <w:rFonts w:ascii="仿宋_GB2312" w:hAnsi="仿宋_GB2312" w:eastAsia="仿宋_GB2312" w:cs="仿宋_GB2312"/>
          <w:b/>
          <w:bCs/>
          <w:color w:val="222222"/>
          <w:kern w:val="0"/>
          <w:sz w:val="32"/>
          <w:szCs w:val="32"/>
        </w:rPr>
      </w:pPr>
      <w:r>
        <w:rPr>
          <w:rFonts w:hint="eastAsia" w:ascii="仿宋_GB2312" w:hAnsi="仿宋_GB2312" w:eastAsia="仿宋_GB2312" w:cs="仿宋_GB2312"/>
          <w:b/>
          <w:bCs/>
          <w:color w:val="222222"/>
          <w:kern w:val="0"/>
          <w:sz w:val="32"/>
          <w:szCs w:val="32"/>
        </w:rPr>
        <w:t>二、部门财务情况</w:t>
      </w:r>
    </w:p>
    <w:p>
      <w:pPr>
        <w:widowControl/>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（一）部门整体支出情况</w:t>
      </w:r>
    </w:p>
    <w:p>
      <w:pPr>
        <w:widowControl/>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2020年部门整体支出合计137.78万元，其中基本支出123.78万元，项目支出14万元。</w:t>
      </w:r>
    </w:p>
    <w:p>
      <w:pPr>
        <w:widowControl/>
        <w:numPr>
          <w:ilvl w:val="0"/>
          <w:numId w:val="1"/>
        </w:numPr>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部门预算收支决算情况</w:t>
      </w:r>
    </w:p>
    <w:p>
      <w:pPr>
        <w:widowControl/>
        <w:ind w:left="420" w:leftChars="200" w:firstLine="320" w:firstLineChars="1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2020年部门整体收入137.78万元，属一般公共预算拨款，占部门收入合计100%；支出合计137.78万元，其中工作福利支出109.77万元，占支出合计的79.67%，一般商品和服务支出14.01万元，占总支出的10.17%，专项商品和服务支出14.00万元，占总支出10.16%。</w:t>
      </w:r>
    </w:p>
    <w:p>
      <w:pPr>
        <w:widowControl/>
        <w:numPr>
          <w:ilvl w:val="0"/>
          <w:numId w:val="1"/>
        </w:numPr>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“三公经费”支出使用和管理情况</w:t>
      </w:r>
    </w:p>
    <w:p>
      <w:pPr>
        <w:pStyle w:val="127"/>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1.50万元，支出决算为2.97万元，比预算支出增长原因：因本局是2019年9月份新成立单位，2020年预算没有全年可参照数据，所以支出决算有点提高，全年共接待来访团组15个、来宾145人次，主要是各级领导来本局视察基层工作情况、检查业务工作完成情况、招商引资、兄弟县局业务交流等发生的接待支出。2021年预算数据将已</w:t>
      </w:r>
      <w:r>
        <w:rPr>
          <w:rFonts w:hint="eastAsia" w:ascii="仿宋_GB2312" w:hAnsi="仿宋_GB2312" w:eastAsia="仿宋_GB2312" w:cs="仿宋_GB2312"/>
          <w:sz w:val="32"/>
          <w:szCs w:val="32"/>
          <w:lang w:val="en-US" w:eastAsia="zh-CN"/>
        </w:rPr>
        <w:t>厉</w:t>
      </w:r>
      <w:bookmarkStart w:id="0" w:name="_GoBack"/>
      <w:bookmarkEnd w:id="0"/>
      <w:r>
        <w:rPr>
          <w:rFonts w:hint="eastAsia" w:ascii="仿宋_GB2312" w:hAnsi="仿宋_GB2312" w:eastAsia="仿宋_GB2312" w:cs="仿宋_GB2312"/>
          <w:sz w:val="32"/>
          <w:szCs w:val="32"/>
        </w:rPr>
        <w:t>行节约为宗旨，2020年发生数据为依据。</w:t>
      </w:r>
    </w:p>
    <w:p>
      <w:pPr>
        <w:widowControl/>
        <w:rPr>
          <w:rFonts w:ascii="仿宋_GB2312" w:hAnsi="仿宋_GB2312" w:eastAsia="仿宋_GB2312" w:cs="仿宋_GB2312"/>
          <w:b/>
          <w:bCs/>
          <w:color w:val="222222"/>
          <w:kern w:val="0"/>
          <w:sz w:val="32"/>
          <w:szCs w:val="32"/>
        </w:rPr>
      </w:pPr>
      <w:r>
        <w:rPr>
          <w:rFonts w:hint="eastAsia" w:ascii="仿宋_GB2312" w:hAnsi="仿宋_GB2312" w:eastAsia="仿宋_GB2312" w:cs="仿宋_GB2312"/>
          <w:b/>
          <w:bCs/>
          <w:color w:val="222222"/>
          <w:kern w:val="0"/>
          <w:sz w:val="32"/>
          <w:szCs w:val="32"/>
        </w:rPr>
        <w:t>三、部门绩效目标</w:t>
      </w:r>
    </w:p>
    <w:p>
      <w:pPr>
        <w:widowControl/>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（一）部门绩效总目标</w:t>
      </w:r>
    </w:p>
    <w:p>
      <w:pPr>
        <w:widowControl/>
        <w:ind w:firstLine="960" w:firstLineChars="3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按照湘财绩相关文件要求，我单位对部门整体支出绩效开展了自评，绩效评价结果显示，我单位2020年度绩效目标完成较好，在预算配置、预算执行、预算管理等方面较好的支持了各项工作发展。2020年，我单位，紧紧围绕上级的决策部署，有效发挥单位职能作用，统筹做好稳增长、促改革、调结构、惠民生、防风险各项工作。</w:t>
      </w:r>
    </w:p>
    <w:p>
      <w:pPr>
        <w:widowControl/>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（二）2020年度部门绩效目标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澧县退役军人事务局认真贯彻落实习近平总书记关于退役军人工作的重要指示批示精神和上级部署要求，转作风、强本领、提效能，坚持以“维护军人军属合法权益”为核心，以 “让军人成为全社会尊崇职业”为目标，</w:t>
      </w:r>
      <w:r>
        <w:rPr>
          <w:rFonts w:hint="eastAsia" w:ascii="仿宋_GB2312" w:hAnsi="仿宋_GB2312" w:eastAsia="仿宋_GB2312" w:cs="仿宋_GB2312"/>
          <w:color w:val="000000"/>
          <w:kern w:val="0"/>
          <w:sz w:val="32"/>
          <w:szCs w:val="32"/>
        </w:rPr>
        <w:t>大力改进文风会风，加强经费及资产管理，降低行政成本。</w:t>
      </w:r>
    </w:p>
    <w:p>
      <w:pPr>
        <w:widowControl/>
        <w:numPr>
          <w:ilvl w:val="0"/>
          <w:numId w:val="2"/>
        </w:numPr>
        <w:rPr>
          <w:rFonts w:ascii="仿宋_GB2312" w:hAnsi="仿宋_GB2312" w:eastAsia="仿宋_GB2312" w:cs="仿宋_GB2312"/>
          <w:b/>
          <w:bCs/>
          <w:color w:val="222222"/>
          <w:kern w:val="0"/>
          <w:sz w:val="32"/>
          <w:szCs w:val="32"/>
        </w:rPr>
      </w:pPr>
      <w:r>
        <w:rPr>
          <w:rFonts w:hint="eastAsia" w:ascii="仿宋_GB2312" w:hAnsi="仿宋_GB2312" w:eastAsia="仿宋_GB2312" w:cs="仿宋_GB2312"/>
          <w:b/>
          <w:bCs/>
          <w:color w:val="222222"/>
          <w:kern w:val="0"/>
          <w:sz w:val="32"/>
          <w:szCs w:val="32"/>
        </w:rPr>
        <w:t>绩效评价工作情况</w:t>
      </w:r>
    </w:p>
    <w:p>
      <w:pPr>
        <w:widowControl/>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湖南省人民政府关于全面推进预算绩效管理的意见》和湘财绩相关文件精神，我局成立了绩效评价工作领导小组，制定了《澧县退役军人事务局2020年度财政资金绩效自评方案》，并根据方案组织开展了绩效考评，通过核实数据、查阅资料、实地查看、归纳汇总等环节对绩效执行情况、资金的来源和使用情况以及绩效目标的实现程度进行了分析评价，并形成了自评报告。</w:t>
      </w:r>
    </w:p>
    <w:p>
      <w:pPr>
        <w:widowControl/>
        <w:numPr>
          <w:ilvl w:val="0"/>
          <w:numId w:val="2"/>
        </w:numP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综合评价结果</w:t>
      </w:r>
    </w:p>
    <w:p>
      <w:pPr>
        <w:widowControl/>
        <w:ind w:firstLine="640" w:firstLineChars="200"/>
        <w:rPr>
          <w:rFonts w:ascii="仿宋_GB2312" w:hAnsi="仿宋_GB2312" w:eastAsia="仿宋_GB2312" w:cs="仿宋_GB2312"/>
          <w:b/>
          <w:bCs/>
          <w:color w:val="222222"/>
          <w:kern w:val="0"/>
          <w:sz w:val="32"/>
          <w:szCs w:val="32"/>
        </w:rPr>
      </w:pPr>
      <w:r>
        <w:rPr>
          <w:rFonts w:hint="eastAsia" w:ascii="仿宋_GB2312" w:hAnsi="仿宋_GB2312" w:eastAsia="仿宋_GB2312" w:cs="仿宋_GB2312"/>
          <w:color w:val="000000"/>
          <w:kern w:val="0"/>
          <w:sz w:val="32"/>
          <w:szCs w:val="32"/>
        </w:rPr>
        <w:t>根据部门整体支出绩效评价指标确定的内容，经评价组综合评价，澧县退役军人事务局2020年度整体支出绩效评分为95分。</w:t>
      </w:r>
      <w:r>
        <w:rPr>
          <w:rFonts w:hint="eastAsia" w:ascii="仿宋_GB2312" w:hAnsi="仿宋_GB2312" w:eastAsia="仿宋_GB2312" w:cs="仿宋_GB2312"/>
          <w:b/>
          <w:bCs/>
          <w:color w:val="222222"/>
          <w:kern w:val="0"/>
          <w:sz w:val="32"/>
          <w:szCs w:val="32"/>
        </w:rPr>
        <w:t>六、部门整体支出绩效情况</w:t>
      </w:r>
    </w:p>
    <w:p>
      <w:pPr>
        <w:widowControl/>
        <w:shd w:val="clear" w:color="auto" w:fill="FFFFFF"/>
        <w:spacing w:before="100" w:beforeAutospacing="1" w:after="300"/>
        <w:ind w:firstLine="48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2020年我部较好地完成了绩效目标，主要体现在以下方面：</w:t>
      </w:r>
    </w:p>
    <w:p>
      <w:pP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1、双拥工作见成效：我局</w:t>
      </w:r>
      <w:r>
        <w:rPr>
          <w:rFonts w:hint="eastAsia" w:ascii="仿宋_GB2312" w:hAnsi="仿宋_GB2312" w:eastAsia="仿宋_GB2312" w:cs="仿宋_GB2312"/>
          <w:sz w:val="32"/>
          <w:szCs w:val="32"/>
        </w:rPr>
        <w:t>组织领导体系、完善工作运行机制、深入开展双拥共建活动，对标对表全力做好省级双拥模范县创建考评迎检工作，成功创建新一届省级双拥模范县。</w:t>
      </w:r>
    </w:p>
    <w:p>
      <w:pP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 2、</w:t>
      </w:r>
      <w:r>
        <w:rPr>
          <w:rFonts w:hint="eastAsia" w:ascii="仿宋_GB2312" w:hAnsi="仿宋_GB2312" w:eastAsia="仿宋_GB2312" w:cs="仿宋_GB2312"/>
          <w:sz w:val="32"/>
          <w:szCs w:val="32"/>
        </w:rPr>
        <w:t>服务保障有新提升：指导建成澧澹、澧阳、澧西街道3个具有澧县特色和亮点的示范型退役军人服务站，形成可复制先进经验，在全市得到推介学习。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3、优待抚恤有新成效</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加大优抚资金统筹调度力度，及时调整部分优抚对象等人员抚恤和生活补助标准，建立健全自然增长机制，让退役军人和其他优抚对象充分享受经济社会发展成果。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4、移交安置有新成绩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今年接收指令性安置退役士兵49名，除了1名自愿安置到国有企业和1名调剂到市局安置外，其余47名退役士兵现已全部安排到全额拨款事业单位按时上岗，做到生活补助发放到位、保险接续补缴到位、入职手续办理到位，安置工作质量历年最好，实现了退役士兵、接收单位和政府三方满意的目标。</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5、就业创业有新举措</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举行退役士兵返乡欢迎仪式，开展“一站式”退役士兵报到工作，为204名退役士兵办理报到手续，同步完成68名退役士兵党组织关系转接工作；与人社局联合举办三期2020年度退役士兵适应性培训班，150多名自主就业退役士兵参加培训；因地制宜制定退役军人就业创业技能培训年度工作计划，引进天源、闪亮等培训学校免费为35名退役军人开展技能培训；成功举办退役军人专场招聘会，30家企业提供就业岗位2000多个，发放宣传资料500多份，提供政策咨询 300多人次，234名退役军人到场求职应聘，66人达成初步用工意向。</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widowControl/>
        <w:numPr>
          <w:ilvl w:val="0"/>
          <w:numId w:val="3"/>
        </w:numPr>
        <w:shd w:val="clear" w:color="auto" w:fill="FFFFFF"/>
        <w:spacing w:before="100" w:beforeAutospacing="1" w:after="300"/>
        <w:ind w:firstLine="48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按财政核定我所的预算数支出人员经费和公用经费。从严控制“三公”经费支出。</w:t>
      </w:r>
    </w:p>
    <w:p>
      <w:pPr>
        <w:widowControl/>
        <w:shd w:val="clear" w:color="auto" w:fill="FFFFFF"/>
        <w:spacing w:before="100" w:beforeAutospacing="1" w:after="300"/>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7、接待来电、来信和来访，承办上级各部门交付的任务，协调部队与地方的交接关系为政府为部队排忧解难，保障了军休人员晚年的生活质量。</w:t>
      </w:r>
    </w:p>
    <w:p>
      <w:pPr>
        <w:widowControl/>
        <w:shd w:val="clear" w:color="auto" w:fill="FFFFFF"/>
        <w:spacing w:before="100" w:beforeAutospacing="1" w:after="300"/>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8、加强退役军人事务局的资产管理，降低行政成本，完善财务制度。</w:t>
      </w:r>
    </w:p>
    <w:p>
      <w:pPr>
        <w:widowControl/>
        <w:shd w:val="clear" w:color="auto" w:fill="FFFFFF"/>
        <w:spacing w:before="100" w:beforeAutospacing="1" w:after="300"/>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9、满意度测评达到了100%。</w:t>
      </w:r>
    </w:p>
    <w:p>
      <w:pPr>
        <w:widowControl/>
        <w:shd w:val="clear" w:color="auto" w:fill="FFFFFF"/>
        <w:spacing w:before="100" w:beforeAutospacing="1" w:after="300"/>
        <w:ind w:firstLine="480"/>
        <w:jc w:val="left"/>
        <w:rPr>
          <w:rFonts w:ascii="仿宋_GB2312" w:hAnsi="仿宋_GB2312" w:eastAsia="仿宋_GB2312" w:cs="仿宋_GB2312"/>
          <w:b/>
          <w:bCs/>
          <w:color w:val="222222"/>
          <w:kern w:val="0"/>
          <w:sz w:val="32"/>
          <w:szCs w:val="32"/>
        </w:rPr>
      </w:pPr>
      <w:r>
        <w:rPr>
          <w:rFonts w:hint="eastAsia" w:ascii="仿宋_GB2312" w:hAnsi="仿宋_GB2312" w:eastAsia="仿宋_GB2312" w:cs="仿宋_GB2312"/>
          <w:b/>
          <w:bCs/>
          <w:color w:val="222222"/>
          <w:kern w:val="0"/>
          <w:sz w:val="32"/>
          <w:szCs w:val="32"/>
        </w:rPr>
        <w:t>七、存在的主要问题</w:t>
      </w:r>
    </w:p>
    <w:p>
      <w:pPr>
        <w:widowControl/>
        <w:shd w:val="clear" w:color="auto" w:fill="FFFFFF"/>
        <w:spacing w:before="100" w:beforeAutospacing="1" w:after="300"/>
        <w:ind w:firstLine="48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澧县退役军人事务局是2019年机构改革新组建单位，内部管理制度、财务制度、有待完善。这些问题在以后的工作中有待逐步予以落实和改进。</w:t>
      </w:r>
    </w:p>
    <w:p>
      <w:pPr>
        <w:widowControl/>
        <w:numPr>
          <w:ilvl w:val="0"/>
          <w:numId w:val="4"/>
        </w:numPr>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有关建议</w:t>
      </w:r>
    </w:p>
    <w:p>
      <w:pPr>
        <w:widowControl/>
        <w:ind w:firstLine="320" w:firstLineChars="1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widowControl/>
        <w:jc w:val="left"/>
        <w:rPr>
          <w:rFonts w:hint="eastAsia" w:ascii="仿宋_GB2312" w:hAnsi="仿宋_GB2312" w:eastAsia="仿宋_GB2312" w:cs="仿宋_GB2312"/>
          <w:color w:val="000000"/>
          <w:sz w:val="32"/>
          <w:szCs w:val="32"/>
        </w:rPr>
      </w:pPr>
    </w:p>
    <w:p>
      <w:pPr>
        <w:widowControl/>
        <w:jc w:val="left"/>
        <w:rPr>
          <w:rFonts w:ascii="仿宋_GB2312" w:hAnsi="仿宋_GB2312" w:eastAsia="仿宋_GB2312" w:cs="仿宋_GB2312"/>
          <w:color w:val="000000"/>
          <w:sz w:val="32"/>
          <w:szCs w:val="32"/>
        </w:rPr>
      </w:pPr>
    </w:p>
    <w:p>
      <w:pPr>
        <w:widowControl/>
        <w:jc w:val="left"/>
        <w:rPr>
          <w:rFonts w:ascii="仿宋_GB2312" w:hAnsi="仿宋_GB2312" w:eastAsia="仿宋_GB2312" w:cs="仿宋_GB2312"/>
          <w:color w:val="000000"/>
          <w:sz w:val="32"/>
          <w:szCs w:val="32"/>
        </w:rPr>
      </w:pPr>
    </w:p>
    <w:p>
      <w:pPr>
        <w:spacing w:line="560" w:lineRule="exact"/>
        <w:jc w:val="center"/>
        <w:rPr>
          <w:rFonts w:asciiTheme="majorEastAsia" w:hAnsiTheme="majorEastAsia" w:eastAsiaTheme="majorEastAsia" w:cstheme="majorEastAsia"/>
          <w:b/>
          <w:bCs/>
          <w:kern w:val="0"/>
          <w:sz w:val="36"/>
          <w:szCs w:val="36"/>
        </w:rPr>
      </w:pPr>
      <w:r>
        <w:rPr>
          <w:rFonts w:hint="eastAsia" w:asciiTheme="majorEastAsia" w:hAnsiTheme="majorEastAsia" w:eastAsiaTheme="majorEastAsia" w:cstheme="majorEastAsia"/>
          <w:b/>
          <w:bCs/>
          <w:kern w:val="0"/>
          <w:sz w:val="36"/>
          <w:szCs w:val="36"/>
        </w:rPr>
        <w:t>部门整体支出绩效评价指标表</w:t>
      </w:r>
    </w:p>
    <w:p>
      <w:pPr>
        <w:spacing w:line="560" w:lineRule="exact"/>
        <w:jc w:val="center"/>
        <w:rPr>
          <w:rFonts w:ascii="Times New Roman" w:hAnsi="Times New Roman"/>
          <w:kern w:val="0"/>
          <w:sz w:val="24"/>
        </w:rPr>
      </w:pPr>
    </w:p>
    <w:tbl>
      <w:tblPr>
        <w:tblStyle w:val="12"/>
        <w:tblW w:w="10771" w:type="dxa"/>
        <w:jc w:val="center"/>
        <w:tblLayout w:type="fixed"/>
        <w:tblCellMar>
          <w:top w:w="0" w:type="dxa"/>
          <w:left w:w="108" w:type="dxa"/>
          <w:bottom w:w="0" w:type="dxa"/>
          <w:right w:w="108" w:type="dxa"/>
        </w:tblCellMar>
      </w:tblPr>
      <w:tblGrid>
        <w:gridCol w:w="678"/>
        <w:gridCol w:w="516"/>
        <w:gridCol w:w="659"/>
        <w:gridCol w:w="516"/>
        <w:gridCol w:w="1074"/>
        <w:gridCol w:w="516"/>
        <w:gridCol w:w="2878"/>
        <w:gridCol w:w="3312"/>
        <w:gridCol w:w="622"/>
      </w:tblGrid>
      <w:tr>
        <w:tblPrEx>
          <w:tblCellMar>
            <w:top w:w="0" w:type="dxa"/>
            <w:left w:w="108" w:type="dxa"/>
            <w:bottom w:w="0" w:type="dxa"/>
            <w:right w:w="108" w:type="dxa"/>
          </w:tblCellMar>
        </w:tblPrEx>
        <w:trPr>
          <w:tblHeade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一级指标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分值</w:t>
            </w:r>
          </w:p>
        </w:tc>
        <w:tc>
          <w:tcPr>
            <w:tcW w:w="65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二级指标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分值</w:t>
            </w:r>
          </w:p>
        </w:tc>
        <w:tc>
          <w:tcPr>
            <w:tcW w:w="107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三级</w:t>
            </w:r>
          </w:p>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分值</w:t>
            </w:r>
          </w:p>
        </w:tc>
        <w:tc>
          <w:tcPr>
            <w:tcW w:w="287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评价标准</w:t>
            </w:r>
          </w:p>
        </w:tc>
        <w:tc>
          <w:tcPr>
            <w:tcW w:w="331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指标说明</w:t>
            </w:r>
          </w:p>
        </w:tc>
        <w:tc>
          <w:tcPr>
            <w:tcW w:w="62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得分</w:t>
            </w:r>
          </w:p>
        </w:tc>
      </w:tr>
      <w:tr>
        <w:tblPrEx>
          <w:tblCellMar>
            <w:top w:w="0" w:type="dxa"/>
            <w:left w:w="108" w:type="dxa"/>
            <w:bottom w:w="0" w:type="dxa"/>
            <w:right w:w="108" w:type="dxa"/>
          </w:tblCellMar>
        </w:tblPrEx>
        <w:trPr>
          <w:trHeight w:val="1814"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投入</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13</w:t>
            </w:r>
          </w:p>
        </w:tc>
        <w:tc>
          <w:tcPr>
            <w:tcW w:w="659" w:type="dxa"/>
            <w:vMerge w:val="restart"/>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预算配置</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13</w:t>
            </w: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在职人员控制率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nil"/>
              <w:right w:val="nil"/>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以100%为标准。在职人员控制率</w:t>
            </w:r>
            <w:r>
              <w:rPr>
                <w:rFonts w:ascii="Times New Roman" w:hAnsi="Times New Roman"/>
                <w:kern w:val="0"/>
                <w:sz w:val="20"/>
                <w:szCs w:val="20"/>
              </w:rPr>
              <w:t>≦</w:t>
            </w:r>
            <w:r>
              <w:rPr>
                <w:rFonts w:ascii="Times New Roman" w:hAnsi="Times New Roman" w:eastAsia="仿宋_GB2312"/>
                <w:kern w:val="0"/>
                <w:sz w:val="20"/>
                <w:szCs w:val="20"/>
              </w:rPr>
              <w:t>100%，计5分；每超过一个百分点扣0.5分，扣完为止。</w:t>
            </w:r>
          </w:p>
        </w:tc>
        <w:tc>
          <w:tcPr>
            <w:tcW w:w="331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在职人员控制率=（在职人员数/编制数）×100%，在职人员数：部门（单位）实际在职人数，以财政局确定的部门决算编制口径为准。</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编制数：机构编制部门核定批复的部门（单位）的人员编制数。</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1418"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“三公经费”变动率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“三公经费”变动率</w:t>
            </w:r>
            <w:r>
              <w:rPr>
                <w:rFonts w:ascii="Times New Roman" w:hAnsi="Times New Roman"/>
                <w:kern w:val="0"/>
                <w:sz w:val="20"/>
                <w:szCs w:val="20"/>
              </w:rPr>
              <w:t>≦</w:t>
            </w:r>
            <w:r>
              <w:rPr>
                <w:rFonts w:ascii="Times New Roman" w:hAnsi="Times New Roman" w:eastAsia="仿宋_GB2312"/>
                <w:kern w:val="0"/>
                <w:sz w:val="20"/>
                <w:szCs w:val="20"/>
              </w:rPr>
              <w:t>0,计8分；“三公经费”＞0，每超过一个百分点扣0.8分，扣完为止。</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“三公经费”变动率=[（本年度“三公经费”预算数-上年度“三公经费”预算数）/上年度“三公经费”预算数]×100%</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过程</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61</w:t>
            </w: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预算执行</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20</w:t>
            </w: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预算完成率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100%计满分，每低于5%扣2分，扣完为止。</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预算完成率=（上年结转+年初预算+本年追加预算-年末结余）/（上年结转+年初预算+本年追加预算）×100%。</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12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预算控制率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预算控制率=0，计5分；0-10%（含），计4分；10-20%（含），计3分；20-30%（含），计2分；大于30%不得分。</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预算控制率=（本年追加预算/年初预算）×100%。</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1160"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新建楼堂馆所面积控制率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100%以下（含）计满分，每超出5%扣2分，扣完为止。没有楼堂馆所项目的部门按满分计算。</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楼堂馆所面积控制率=实际建设面积/批准建设面积×100% 。</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该指标以2015年完工的新建楼堂馆所为评价内容。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1306"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新建楼堂馆所投资概算控制率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100%以下（含）计满分，每超出5%扣2分，扣完为止。</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楼堂馆所投资预算控制率=实际投资金额/批准投资金额×100% 。</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该指标以2015年完工的新建楼堂馆所为评价内容。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1672"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预算管理</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41</w:t>
            </w: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公用经费控制率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100%以下（含）计满分，每超出1%扣1分，扣完为止。</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公用经费控制率=（实际支出公用经费总额/预算安排公用经费总额）×100%。</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公用经费支出是指部门基本支出中的一般商品和服务支出。</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10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“三公经费”控制率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100%以下（含）计满分，每超出1%扣1分，扣完为止。</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“三公经费”控制率-（“三公经费”实际支出数/“三公经费”预算安排数）×100%。</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1085"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政府采购执行率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100%计满分，每超过（降低）5%扣2分。扣完为止。</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政府采购执行率=（实际政府采购金额/政府采购预算数）×100%</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jc w:val="center"/>
        </w:trPr>
        <w:tc>
          <w:tcPr>
            <w:tcW w:w="678" w:type="dxa"/>
            <w:vMerge w:val="restart"/>
            <w:tcBorders>
              <w:top w:val="single" w:color="auto" w:sz="4" w:space="0"/>
              <w:left w:val="single" w:color="auto" w:sz="4" w:space="0"/>
              <w:bottom w:val="single" w:color="000000" w:sz="4" w:space="0"/>
              <w:right w:val="single" w:color="auto" w:sz="4" w:space="0"/>
            </w:tcBorders>
            <w:vAlign w:val="center"/>
          </w:tcPr>
          <w:p>
            <w:pPr>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过程</w:t>
            </w:r>
          </w:p>
        </w:tc>
        <w:tc>
          <w:tcPr>
            <w:tcW w:w="516" w:type="dxa"/>
            <w:vMerge w:val="restart"/>
            <w:tcBorders>
              <w:top w:val="single" w:color="auto" w:sz="4" w:space="0"/>
              <w:left w:val="single" w:color="auto" w:sz="4" w:space="0"/>
              <w:bottom w:val="single" w:color="000000" w:sz="4" w:space="0"/>
              <w:right w:val="single" w:color="auto" w:sz="4" w:space="0"/>
            </w:tcBorders>
            <w:vAlign w:val="center"/>
          </w:tcPr>
          <w:p>
            <w:pPr>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61</w:t>
            </w:r>
          </w:p>
        </w:tc>
        <w:tc>
          <w:tcPr>
            <w:tcW w:w="659" w:type="dxa"/>
            <w:vMerge w:val="restart"/>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预算管理</w:t>
            </w: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管理制度健全性</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①有内部财务管理制度、会计核算制度等管理制度，2分；</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②有本部门厉行节约制度,2分；</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③相关管理制度合法、合规、完整，2分；④相关管理制度得到有效执行，2分。</w:t>
            </w:r>
          </w:p>
        </w:tc>
        <w:tc>
          <w:tcPr>
            <w:tcW w:w="3312"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资金使用合规性</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以上情况每出现一例不符合要求的扣1分，扣完为止。</w:t>
            </w:r>
          </w:p>
        </w:tc>
        <w:tc>
          <w:tcPr>
            <w:tcW w:w="3312"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预决算信息公开性</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①按规定内容公开预决算信息，1分；②按规定时限公开预决算信息，1分；③基础数据信息和会计信息资料真实，1分；④基础数据信息和会计信息资料完整，1分；⑤基础数据信息和汇集信息资料准确，1分。</w:t>
            </w:r>
          </w:p>
        </w:tc>
        <w:tc>
          <w:tcPr>
            <w:tcW w:w="3312"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预决算信息是指与部门预算、执行、决算、监督、绩效等管理相关的信息。</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产出及效率</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26</w:t>
            </w:r>
          </w:p>
        </w:tc>
        <w:tc>
          <w:tcPr>
            <w:tcW w:w="659"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职责履行</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1074" w:type="dxa"/>
            <w:tcBorders>
              <w:top w:val="nil"/>
              <w:left w:val="nil"/>
              <w:bottom w:val="nil"/>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重点工作实际完成率</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根据绩效办2015年对各部门为民办实事和部门重点工程与重点工作考核分数折算。</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该项得分=（绩效办对应部分考核得分/500）*8</w:t>
            </w:r>
          </w:p>
        </w:tc>
        <w:tc>
          <w:tcPr>
            <w:tcW w:w="3312"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履职效益</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107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经济效益</w:t>
            </w:r>
          </w:p>
        </w:tc>
        <w:tc>
          <w:tcPr>
            <w:tcW w:w="516" w:type="dxa"/>
            <w:vMerge w:val="restart"/>
            <w:tcBorders>
              <w:top w:val="nil"/>
              <w:left w:val="single" w:color="auto" w:sz="4" w:space="0"/>
              <w:bottom w:val="nil"/>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6190" w:type="dxa"/>
            <w:gridSpan w:val="2"/>
            <w:vMerge w:val="restart"/>
            <w:tcBorders>
              <w:top w:val="single" w:color="auto" w:sz="4" w:space="0"/>
              <w:left w:val="single" w:color="auto" w:sz="4" w:space="0"/>
              <w:bottom w:val="nil"/>
              <w:right w:val="single" w:color="000000"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622" w:type="dxa"/>
            <w:tcBorders>
              <w:top w:val="nil"/>
              <w:left w:val="nil"/>
              <w:bottom w:val="nil"/>
              <w:right w:val="single" w:color="auto" w:sz="4" w:space="0"/>
            </w:tcBorders>
            <w:vAlign w:val="center"/>
          </w:tcPr>
          <w:p>
            <w:pPr>
              <w:widowControl/>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758"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社会效益</w:t>
            </w:r>
          </w:p>
        </w:tc>
        <w:tc>
          <w:tcPr>
            <w:tcW w:w="516" w:type="dxa"/>
            <w:vMerge w:val="continue"/>
            <w:tcBorders>
              <w:top w:val="nil"/>
              <w:left w:val="single" w:color="auto" w:sz="4" w:space="0"/>
              <w:bottom w:val="nil"/>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190" w:type="dxa"/>
            <w:gridSpan w:val="2"/>
            <w:vMerge w:val="continue"/>
            <w:tcBorders>
              <w:top w:val="single" w:color="auto" w:sz="4" w:space="0"/>
              <w:left w:val="single" w:color="auto" w:sz="4" w:space="0"/>
              <w:bottom w:val="nil"/>
              <w:right w:val="single" w:color="000000" w:sz="4" w:space="0"/>
            </w:tcBorders>
            <w:vAlign w:val="center"/>
          </w:tcPr>
          <w:p>
            <w:pPr>
              <w:widowControl/>
              <w:spacing w:line="280" w:lineRule="exact"/>
              <w:jc w:val="left"/>
              <w:rPr>
                <w:rFonts w:ascii="Times New Roman" w:hAnsi="Times New Roman" w:eastAsia="仿宋_GB2312"/>
                <w:kern w:val="0"/>
                <w:sz w:val="20"/>
                <w:szCs w:val="20"/>
              </w:rPr>
            </w:pPr>
          </w:p>
        </w:tc>
        <w:tc>
          <w:tcPr>
            <w:tcW w:w="622" w:type="dxa"/>
            <w:tcBorders>
              <w:top w:val="nil"/>
              <w:left w:val="nil"/>
              <w:bottom w:val="nil"/>
              <w:right w:val="single" w:color="auto" w:sz="4" w:space="0"/>
            </w:tcBorders>
            <w:vAlign w:val="center"/>
          </w:tcPr>
          <w:p>
            <w:pPr>
              <w:widowControl/>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12</w:t>
            </w: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行政效能</w:t>
            </w:r>
          </w:p>
        </w:tc>
        <w:tc>
          <w:tcPr>
            <w:tcW w:w="51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促进部门改进文风会风，加强经费及资产管理，推动网上办事，提高行政效率，降低行政成本效果较好的计6分；一般3分；无效果或者效果不明显0分。</w:t>
            </w:r>
          </w:p>
        </w:tc>
        <w:tc>
          <w:tcPr>
            <w:tcW w:w="3312"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根据部门自评材料评定。</w:t>
            </w:r>
          </w:p>
        </w:tc>
        <w:tc>
          <w:tcPr>
            <w:tcW w:w="622"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社会公众或服务对象满意度</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90%（含）以上计6分；</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80%（含）-90%，计4分；</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70%（含）-80%，计2分；</w:t>
            </w:r>
            <w:r>
              <w:rPr>
                <w:rFonts w:ascii="Times New Roman" w:hAnsi="Times New Roman" w:eastAsia="仿宋_GB2312"/>
                <w:kern w:val="0"/>
                <w:sz w:val="20"/>
                <w:szCs w:val="20"/>
              </w:rPr>
              <w:br w:type="textWrapping"/>
            </w:r>
            <w:r>
              <w:rPr>
                <w:rFonts w:ascii="Times New Roman" w:hAnsi="Times New Roman" w:eastAsia="仿宋_GB2312"/>
                <w:kern w:val="0"/>
                <w:sz w:val="20"/>
                <w:szCs w:val="20"/>
              </w:rPr>
              <w:t>低于70%计0分。</w:t>
            </w:r>
          </w:p>
        </w:tc>
        <w:tc>
          <w:tcPr>
            <w:tcW w:w="3312"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社会公众或服务对象是指部门（单位）履行职责而影响到的部门、群体或个人，一般采取社会调查的方式。</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合计</w:t>
            </w: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r>
              <w:rPr>
                <w:rFonts w:ascii="Times New Roman" w:hAnsi="Times New Roman" w:eastAsia="仿宋_GB2312"/>
                <w:kern w:val="0"/>
                <w:sz w:val="20"/>
                <w:szCs w:val="20"/>
              </w:rPr>
              <w:t>100</w:t>
            </w:r>
          </w:p>
        </w:tc>
        <w:tc>
          <w:tcPr>
            <w:tcW w:w="1074"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51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kern w:val="0"/>
                <w:sz w:val="20"/>
                <w:szCs w:val="20"/>
              </w:rPr>
            </w:pPr>
            <w:r>
              <w:rPr>
                <w:rFonts w:ascii="Times New Roman" w:hAnsi="Times New Roman" w:eastAsia="仿宋_GB2312"/>
                <w:kern w:val="0"/>
                <w:sz w:val="20"/>
                <w:szCs w:val="20"/>
              </w:rPr>
              <w:t>100</w:t>
            </w:r>
          </w:p>
        </w:tc>
        <w:tc>
          <w:tcPr>
            <w:tcW w:w="2878"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3312"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kern w:val="0"/>
                <w:sz w:val="20"/>
                <w:szCs w:val="20"/>
              </w:rPr>
            </w:pPr>
          </w:p>
        </w:tc>
        <w:tc>
          <w:tcPr>
            <w:tcW w:w="622"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Times New Roman" w:hAnsi="Times New Roman"/>
                <w:kern w:val="0"/>
                <w:sz w:val="24"/>
              </w:rPr>
            </w:pPr>
          </w:p>
        </w:tc>
      </w:tr>
    </w:tbl>
    <w:p>
      <w:pPr>
        <w:spacing w:line="560" w:lineRule="exact"/>
        <w:jc w:val="center"/>
        <w:rPr>
          <w:rFonts w:asciiTheme="majorEastAsia" w:hAnsiTheme="majorEastAsia" w:eastAsiaTheme="majorEastAsia" w:cstheme="majorEastAsia"/>
          <w:b/>
          <w:bCs/>
          <w:kern w:val="0"/>
          <w:sz w:val="32"/>
          <w:szCs w:val="32"/>
        </w:rPr>
      </w:pPr>
      <w:r>
        <w:rPr>
          <w:rFonts w:ascii="Times New Roman" w:hAnsi="Times New Roman" w:eastAsia="黑体"/>
          <w:sz w:val="28"/>
          <w:szCs w:val="28"/>
        </w:rPr>
        <w:br w:type="page"/>
      </w:r>
      <w:r>
        <w:rPr>
          <w:rFonts w:hint="eastAsia" w:asciiTheme="majorEastAsia" w:hAnsiTheme="majorEastAsia" w:eastAsiaTheme="majorEastAsia" w:cstheme="majorEastAsia"/>
          <w:b/>
          <w:bCs/>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ascii="Times New Roman" w:hAnsi="Times New Roman" w:eastAsia="仿宋_GB2312"/>
          <w:kern w:val="0"/>
          <w:sz w:val="24"/>
        </w:rPr>
      </w:pPr>
      <w:r>
        <w:rPr>
          <w:rFonts w:ascii="Times New Roman" w:hAnsi="Times New Roman" w:eastAsia="仿宋_GB2312"/>
          <w:kern w:val="0"/>
          <w:sz w:val="24"/>
        </w:rPr>
        <w:t>填报单位：</w:t>
      </w:r>
      <w:r>
        <w:rPr>
          <w:rFonts w:ascii="Times New Roman" w:hAnsi="Times New Roman" w:eastAsia="仿宋_GB2312"/>
          <w:kern w:val="0"/>
          <w:sz w:val="24"/>
        </w:rPr>
        <w:tab/>
      </w:r>
      <w:r>
        <w:rPr>
          <w:rFonts w:ascii="Times New Roman" w:hAnsi="Times New Roman" w:eastAsia="仿宋_GB2312"/>
          <w:kern w:val="0"/>
          <w:sz w:val="24"/>
        </w:rPr>
        <w:tab/>
      </w:r>
      <w:r>
        <w:rPr>
          <w:rFonts w:ascii="Times New Roman" w:hAnsi="Times New Roman" w:eastAsia="仿宋_GB2312"/>
          <w:kern w:val="0"/>
          <w:sz w:val="24"/>
        </w:rPr>
        <w:tab/>
      </w:r>
      <w:r>
        <w:rPr>
          <w:rFonts w:ascii="Times New Roman" w:hAnsi="Times New Roman" w:eastAsia="仿宋_GB2312"/>
          <w:kern w:val="0"/>
          <w:sz w:val="24"/>
        </w:rPr>
        <w:tab/>
      </w:r>
      <w:r>
        <w:rPr>
          <w:rFonts w:ascii="Times New Roman" w:hAnsi="Times New Roman" w:eastAsia="仿宋_GB2312"/>
          <w:kern w:val="0"/>
          <w:sz w:val="24"/>
        </w:rPr>
        <w:tab/>
      </w:r>
      <w:r>
        <w:rPr>
          <w:rFonts w:ascii="Times New Roman" w:hAnsi="Times New Roman" w:eastAsia="仿宋_GB2312"/>
          <w:kern w:val="0"/>
          <w:sz w:val="24"/>
        </w:rPr>
        <w:tab/>
      </w:r>
    </w:p>
    <w:tbl>
      <w:tblPr>
        <w:tblStyle w:val="12"/>
        <w:tblW w:w="10339" w:type="dxa"/>
        <w:jc w:val="center"/>
        <w:tblLayout w:type="fixed"/>
        <w:tblCellMar>
          <w:top w:w="0" w:type="dxa"/>
          <w:left w:w="108" w:type="dxa"/>
          <w:bottom w:w="0" w:type="dxa"/>
          <w:right w:w="108" w:type="dxa"/>
        </w:tblCellMar>
      </w:tblPr>
      <w:tblGrid>
        <w:gridCol w:w="3550"/>
        <w:gridCol w:w="1190"/>
        <w:gridCol w:w="1170"/>
        <w:gridCol w:w="1130"/>
        <w:gridCol w:w="1465"/>
        <w:gridCol w:w="970"/>
        <w:gridCol w:w="864"/>
      </w:tblGrid>
      <w:tr>
        <w:tblPrEx>
          <w:tblCellMar>
            <w:top w:w="0" w:type="dxa"/>
            <w:left w:w="108" w:type="dxa"/>
            <w:bottom w:w="0" w:type="dxa"/>
            <w:right w:w="108" w:type="dxa"/>
          </w:tblCellMar>
        </w:tblPrEx>
        <w:trPr>
          <w:trHeight w:val="417" w:hRule="atLeast"/>
          <w:jc w:val="center"/>
        </w:trPr>
        <w:tc>
          <w:tcPr>
            <w:tcW w:w="35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财政供养人员情况</w:t>
            </w:r>
          </w:p>
        </w:tc>
        <w:tc>
          <w:tcPr>
            <w:tcW w:w="236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rPr>
            </w:pPr>
            <w:r>
              <w:rPr>
                <w:rFonts w:ascii="Times New Roman" w:hAnsi="Times New Roman" w:eastAsia="仿宋_GB2312"/>
                <w:b/>
                <w:bCs/>
                <w:kern w:val="0"/>
                <w:sz w:val="24"/>
              </w:rPr>
              <w:t>编制数</w:t>
            </w:r>
          </w:p>
        </w:tc>
        <w:tc>
          <w:tcPr>
            <w:tcW w:w="259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rPr>
            </w:pPr>
            <w:r>
              <w:rPr>
                <w:rFonts w:ascii="Times New Roman" w:hAnsi="Times New Roman" w:eastAsia="仿宋_GB2312"/>
                <w:b/>
                <w:bCs/>
                <w:kern w:val="0"/>
                <w:sz w:val="24"/>
              </w:rPr>
              <w:t>20</w:t>
            </w:r>
            <w:r>
              <w:rPr>
                <w:rFonts w:hint="eastAsia" w:ascii="Times New Roman" w:hAnsi="Times New Roman" w:eastAsia="仿宋_GB2312"/>
                <w:b/>
                <w:bCs/>
                <w:kern w:val="0"/>
                <w:sz w:val="24"/>
              </w:rPr>
              <w:t>20</w:t>
            </w:r>
            <w:r>
              <w:rPr>
                <w:rFonts w:ascii="Times New Roman" w:hAnsi="Times New Roman" w:eastAsia="仿宋_GB2312"/>
                <w:b/>
                <w:bCs/>
                <w:kern w:val="0"/>
                <w:sz w:val="24"/>
              </w:rPr>
              <w:t>年实际在职人数</w:t>
            </w:r>
          </w:p>
        </w:tc>
        <w:tc>
          <w:tcPr>
            <w:tcW w:w="183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rPr>
            </w:pPr>
            <w:r>
              <w:rPr>
                <w:rFonts w:ascii="Times New Roman" w:hAnsi="Times New Roman" w:eastAsia="仿宋_GB2312"/>
                <w:b/>
                <w:bCs/>
                <w:kern w:val="0"/>
                <w:sz w:val="24"/>
              </w:rPr>
              <w:t>控制率</w:t>
            </w:r>
          </w:p>
        </w:tc>
      </w:tr>
      <w:tr>
        <w:tblPrEx>
          <w:tblCellMar>
            <w:top w:w="0" w:type="dxa"/>
            <w:left w:w="108" w:type="dxa"/>
            <w:bottom w:w="0" w:type="dxa"/>
            <w:right w:w="108" w:type="dxa"/>
          </w:tblCellMar>
        </w:tblPrEx>
        <w:trPr>
          <w:trHeight w:val="177" w:hRule="atLeast"/>
          <w:jc w:val="center"/>
        </w:trPr>
        <w:tc>
          <w:tcPr>
            <w:tcW w:w="35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rPr>
            </w:pPr>
          </w:p>
        </w:tc>
        <w:tc>
          <w:tcPr>
            <w:tcW w:w="236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14</w:t>
            </w: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14</w:t>
            </w: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经费控制情况</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b/>
                <w:bCs/>
                <w:kern w:val="0"/>
                <w:sz w:val="24"/>
              </w:rPr>
            </w:pPr>
            <w:r>
              <w:rPr>
                <w:rFonts w:ascii="Times New Roman" w:hAnsi="Times New Roman" w:eastAsia="仿宋_GB2312"/>
                <w:b/>
                <w:bCs/>
                <w:kern w:val="0"/>
                <w:sz w:val="24"/>
              </w:rPr>
              <w:t>201</w:t>
            </w:r>
            <w:r>
              <w:rPr>
                <w:rFonts w:hint="eastAsia" w:ascii="Times New Roman" w:hAnsi="Times New Roman" w:eastAsia="仿宋_GB2312"/>
                <w:b/>
                <w:bCs/>
                <w:kern w:val="0"/>
                <w:sz w:val="24"/>
              </w:rPr>
              <w:t>9</w:t>
            </w:r>
            <w:r>
              <w:rPr>
                <w:rFonts w:ascii="Times New Roman" w:hAnsi="Times New Roman" w:eastAsia="仿宋_GB2312"/>
                <w:b/>
                <w:bCs/>
                <w:kern w:val="0"/>
                <w:sz w:val="24"/>
              </w:rPr>
              <w:t>年决算数</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b/>
                <w:bCs/>
                <w:kern w:val="0"/>
                <w:sz w:val="24"/>
              </w:rPr>
            </w:pPr>
            <w:r>
              <w:rPr>
                <w:rFonts w:ascii="Times New Roman" w:hAnsi="Times New Roman" w:eastAsia="仿宋_GB2312"/>
                <w:b/>
                <w:bCs/>
                <w:kern w:val="0"/>
                <w:sz w:val="24"/>
              </w:rPr>
              <w:t>20</w:t>
            </w:r>
            <w:r>
              <w:rPr>
                <w:rFonts w:hint="eastAsia" w:ascii="Times New Roman" w:hAnsi="Times New Roman" w:eastAsia="仿宋_GB2312"/>
                <w:b/>
                <w:bCs/>
                <w:kern w:val="0"/>
                <w:sz w:val="24"/>
              </w:rPr>
              <w:t>20</w:t>
            </w:r>
            <w:r>
              <w:rPr>
                <w:rFonts w:ascii="Times New Roman" w:hAnsi="Times New Roman" w:eastAsia="仿宋_GB2312"/>
                <w:b/>
                <w:bCs/>
                <w:kern w:val="0"/>
                <w:sz w:val="24"/>
              </w:rPr>
              <w:t>年预算数</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b/>
                <w:bCs/>
                <w:kern w:val="0"/>
                <w:sz w:val="24"/>
              </w:rPr>
            </w:pPr>
            <w:r>
              <w:rPr>
                <w:rFonts w:ascii="Times New Roman" w:hAnsi="Times New Roman" w:eastAsia="仿宋_GB2312"/>
                <w:b/>
                <w:bCs/>
                <w:kern w:val="0"/>
                <w:sz w:val="24"/>
              </w:rPr>
              <w:t>20</w:t>
            </w:r>
            <w:r>
              <w:rPr>
                <w:rFonts w:hint="eastAsia" w:ascii="Times New Roman" w:hAnsi="Times New Roman" w:eastAsia="仿宋_GB2312"/>
                <w:b/>
                <w:bCs/>
                <w:kern w:val="0"/>
                <w:sz w:val="24"/>
              </w:rPr>
              <w:t>20</w:t>
            </w:r>
            <w:r>
              <w:rPr>
                <w:rFonts w:ascii="Times New Roman" w:hAnsi="Times New Roman" w:eastAsia="仿宋_GB2312"/>
                <w:b/>
                <w:bCs/>
                <w:kern w:val="0"/>
                <w:sz w:val="24"/>
              </w:rPr>
              <w:t>年决算数</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三公经费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 xml:space="preserve">   1、公务用车购置和维护经费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0</w:t>
            </w: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0</w:t>
            </w: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r>
              <w:rPr>
                <w:rFonts w:hint="eastAsia" w:ascii="Times New Roman" w:hAnsi="Times New Roman" w:eastAsia="仿宋_GB2312"/>
                <w:kern w:val="0"/>
                <w:sz w:val="24"/>
              </w:rPr>
              <w:t>0</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其中：公车购置</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公车运行维护</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 xml:space="preserve">   2、出国经费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0</w:t>
            </w: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r>
              <w:rPr>
                <w:rFonts w:hint="eastAsia" w:ascii="Times New Roman" w:hAnsi="Times New Roman" w:eastAsia="仿宋_GB2312"/>
                <w:kern w:val="0"/>
                <w:sz w:val="24"/>
              </w:rPr>
              <w:t>0</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0</w:t>
            </w: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 xml:space="preserve">   3、公务接待</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1.2</w:t>
            </w: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1.50</w:t>
            </w: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2.97</w:t>
            </w: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项目支出：</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14</w:t>
            </w: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14</w:t>
            </w: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 xml:space="preserve">    1、业务工作专项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14</w:t>
            </w: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14</w:t>
            </w: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 xml:space="preserve">    2、运行维护专项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公用经费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12.60</w:t>
            </w:r>
            <w:r>
              <w:rPr>
                <w:rFonts w:ascii="Times New Roman" w:hAnsi="Times New Roman" w:eastAsia="仿宋_GB2312"/>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14</w:t>
            </w: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14</w:t>
            </w: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9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其中：办公经费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FF0000"/>
                <w:kern w:val="0"/>
                <w:sz w:val="24"/>
              </w:rPr>
            </w:pPr>
            <w:r>
              <w:rPr>
                <w:rFonts w:hint="eastAsia" w:ascii="Times New Roman" w:hAnsi="Times New Roman" w:eastAsia="仿宋_GB2312"/>
                <w:color w:val="FF0000"/>
                <w:kern w:val="0"/>
                <w:sz w:val="24"/>
              </w:rPr>
              <w:t>1.2</w:t>
            </w:r>
            <w:r>
              <w:rPr>
                <w:rFonts w:ascii="Times New Roman" w:hAnsi="Times New Roman" w:eastAsia="仿宋_GB2312"/>
                <w:color w:val="FF0000"/>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FF0000"/>
                <w:kern w:val="0"/>
                <w:sz w:val="24"/>
              </w:rPr>
            </w:pPr>
            <w:r>
              <w:rPr>
                <w:rFonts w:hint="eastAsia" w:ascii="Times New Roman" w:hAnsi="Times New Roman" w:eastAsia="仿宋_GB2312"/>
                <w:color w:val="FF0000"/>
                <w:kern w:val="0"/>
                <w:sz w:val="24"/>
              </w:rPr>
              <w:t>11.01</w:t>
            </w:r>
            <w:r>
              <w:rPr>
                <w:rFonts w:ascii="Times New Roman" w:hAnsi="Times New Roman" w:eastAsia="仿宋_GB2312"/>
                <w:color w:val="FF0000"/>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FF0000"/>
                <w:kern w:val="0"/>
                <w:sz w:val="24"/>
              </w:rPr>
            </w:pPr>
            <w:r>
              <w:rPr>
                <w:rFonts w:hint="eastAsia" w:ascii="Times New Roman" w:hAnsi="Times New Roman" w:eastAsia="仿宋_GB2312"/>
                <w:color w:val="FF0000"/>
                <w:kern w:val="0"/>
                <w:sz w:val="24"/>
              </w:rPr>
              <w:t>5.19</w:t>
            </w:r>
            <w:r>
              <w:rPr>
                <w:rFonts w:ascii="Times New Roman" w:hAnsi="Times New Roman" w:eastAsia="仿宋_GB2312"/>
                <w:color w:val="FF0000"/>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水费、电费、差旅费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FF0000"/>
                <w:kern w:val="0"/>
                <w:sz w:val="24"/>
              </w:rPr>
            </w:pPr>
            <w:r>
              <w:rPr>
                <w:rFonts w:hint="eastAsia" w:ascii="Times New Roman" w:hAnsi="Times New Roman" w:eastAsia="仿宋_GB2312"/>
                <w:color w:val="FF0000"/>
                <w:kern w:val="0"/>
                <w:sz w:val="24"/>
              </w:rPr>
              <w:t>0.20</w:t>
            </w:r>
            <w:r>
              <w:rPr>
                <w:rFonts w:ascii="Times New Roman" w:hAnsi="Times New Roman" w:eastAsia="仿宋_GB2312"/>
                <w:color w:val="FF0000"/>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FF0000"/>
                <w:kern w:val="0"/>
                <w:sz w:val="24"/>
              </w:rPr>
            </w:pPr>
            <w:r>
              <w:rPr>
                <w:rFonts w:ascii="Times New Roman" w:hAnsi="Times New Roman" w:eastAsia="仿宋_GB2312"/>
                <w:color w:val="FF0000"/>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FF0000"/>
                <w:kern w:val="0"/>
                <w:sz w:val="24"/>
              </w:rPr>
            </w:pPr>
            <w:r>
              <w:rPr>
                <w:rFonts w:hint="eastAsia" w:ascii="Times New Roman" w:hAnsi="Times New Roman" w:eastAsia="仿宋_GB2312"/>
                <w:color w:val="FF0000"/>
                <w:kern w:val="0"/>
                <w:sz w:val="24"/>
              </w:rPr>
              <w:t>1.04</w:t>
            </w:r>
            <w:r>
              <w:rPr>
                <w:rFonts w:ascii="Times New Roman" w:hAnsi="Times New Roman" w:eastAsia="仿宋_GB2312"/>
                <w:color w:val="FF0000"/>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会议费、培训费</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FF0000"/>
                <w:kern w:val="0"/>
                <w:sz w:val="24"/>
              </w:rPr>
            </w:pPr>
            <w:r>
              <w:rPr>
                <w:rFonts w:ascii="Times New Roman" w:hAnsi="Times New Roman" w:eastAsia="仿宋_GB2312"/>
                <w:color w:val="FF0000"/>
                <w:kern w:val="0"/>
                <w:sz w:val="24"/>
              </w:rPr>
              <w:t>　</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FF0000"/>
                <w:kern w:val="0"/>
                <w:sz w:val="24"/>
              </w:rPr>
            </w:pPr>
            <w:r>
              <w:rPr>
                <w:rFonts w:hint="eastAsia" w:ascii="Times New Roman" w:hAnsi="Times New Roman" w:eastAsia="仿宋_GB2312"/>
                <w:color w:val="FF0000"/>
                <w:kern w:val="0"/>
                <w:sz w:val="24"/>
              </w:rPr>
              <w:t>4.50</w:t>
            </w:r>
            <w:r>
              <w:rPr>
                <w:rFonts w:ascii="Times New Roman" w:hAnsi="Times New Roman" w:eastAsia="仿宋_GB2312"/>
                <w:color w:val="FF0000"/>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olor w:val="FF0000"/>
                <w:kern w:val="0"/>
                <w:sz w:val="24"/>
              </w:rPr>
            </w:pPr>
            <w:r>
              <w:rPr>
                <w:rFonts w:hint="eastAsia" w:ascii="Times New Roman" w:hAnsi="Times New Roman" w:eastAsia="仿宋_GB2312"/>
                <w:color w:val="FF0000"/>
                <w:kern w:val="0"/>
                <w:sz w:val="24"/>
              </w:rPr>
              <w:t>4.57</w:t>
            </w:r>
            <w:r>
              <w:rPr>
                <w:rFonts w:ascii="Times New Roman" w:hAnsi="Times New Roman" w:eastAsia="仿宋_GB2312"/>
                <w:color w:val="FF0000"/>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政府采购金额</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部门整体支出预算调整</w:t>
            </w:r>
          </w:p>
        </w:tc>
        <w:tc>
          <w:tcPr>
            <w:tcW w:w="236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w:t>
            </w:r>
          </w:p>
        </w:tc>
        <w:tc>
          <w:tcPr>
            <w:tcW w:w="2595"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c>
          <w:tcPr>
            <w:tcW w:w="183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1154" w:hRule="atLeast"/>
          <w:jc w:val="center"/>
        </w:trPr>
        <w:tc>
          <w:tcPr>
            <w:tcW w:w="355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楼堂馆所控制情况</w:t>
            </w:r>
            <w:r>
              <w:rPr>
                <w:rFonts w:ascii="Times New Roman" w:hAnsi="Times New Roman" w:eastAsia="仿宋_GB2312"/>
                <w:kern w:val="0"/>
                <w:sz w:val="24"/>
              </w:rPr>
              <w:br w:type="textWrapping"/>
            </w:r>
            <w:r>
              <w:rPr>
                <w:rFonts w:ascii="Times New Roman" w:hAnsi="Times New Roman" w:eastAsia="仿宋_GB2312"/>
                <w:kern w:val="0"/>
                <w:sz w:val="24"/>
              </w:rPr>
              <w:t>（20</w:t>
            </w:r>
            <w:r>
              <w:rPr>
                <w:rFonts w:hint="eastAsia" w:ascii="Times New Roman" w:hAnsi="Times New Roman" w:eastAsia="仿宋_GB2312"/>
                <w:kern w:val="0"/>
                <w:sz w:val="24"/>
              </w:rPr>
              <w:t>20</w:t>
            </w:r>
            <w:r>
              <w:rPr>
                <w:rFonts w:ascii="Times New Roman" w:hAnsi="Times New Roman" w:eastAsia="仿宋_GB2312"/>
                <w:kern w:val="0"/>
                <w:sz w:val="24"/>
              </w:rPr>
              <w:t>年完工项目）</w:t>
            </w:r>
          </w:p>
        </w:tc>
        <w:tc>
          <w:tcPr>
            <w:tcW w:w="11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rPr>
            </w:pPr>
            <w:r>
              <w:rPr>
                <w:rFonts w:ascii="Times New Roman" w:hAnsi="Times New Roman" w:eastAsia="仿宋_GB2312"/>
                <w:b/>
                <w:bCs/>
                <w:kern w:val="0"/>
                <w:sz w:val="24"/>
              </w:rPr>
              <w:t>批复规模</w:t>
            </w:r>
            <w:r>
              <w:rPr>
                <w:rFonts w:ascii="Times New Roman" w:hAnsi="Times New Roman" w:eastAsia="仿宋_GB2312"/>
                <w:b/>
                <w:bCs/>
                <w:kern w:val="0"/>
                <w:sz w:val="24"/>
              </w:rPr>
              <w:br w:type="textWrapping"/>
            </w:r>
            <w:r>
              <w:rPr>
                <w:rFonts w:ascii="Times New Roman" w:hAnsi="Times New Roman" w:eastAsia="仿宋_GB2312"/>
                <w:b/>
                <w:bCs/>
                <w:kern w:val="0"/>
                <w:sz w:val="24"/>
              </w:rPr>
              <w:t>（</w:t>
            </w:r>
            <w:r>
              <w:rPr>
                <w:rFonts w:ascii="Times New Roman" w:hAnsi="Times New Roman"/>
                <w:b/>
                <w:bCs/>
                <w:kern w:val="0"/>
                <w:sz w:val="24"/>
              </w:rPr>
              <w:t>㎡</w:t>
            </w:r>
            <w:r>
              <w:rPr>
                <w:rFonts w:ascii="Times New Roman" w:hAnsi="Times New Roman" w:eastAsia="仿宋_GB2312"/>
                <w:b/>
                <w:bCs/>
                <w:kern w:val="0"/>
                <w:sz w:val="24"/>
              </w:rPr>
              <w:t>）</w:t>
            </w:r>
          </w:p>
        </w:tc>
        <w:tc>
          <w:tcPr>
            <w:tcW w:w="117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rPr>
            </w:pPr>
            <w:r>
              <w:rPr>
                <w:rFonts w:ascii="Times New Roman" w:hAnsi="Times New Roman" w:eastAsia="仿宋_GB2312"/>
                <w:b/>
                <w:bCs/>
                <w:kern w:val="0"/>
                <w:sz w:val="24"/>
              </w:rPr>
              <w:t>实际规模（</w:t>
            </w:r>
            <w:r>
              <w:rPr>
                <w:rFonts w:ascii="Times New Roman" w:hAnsi="Times New Roman"/>
                <w:b/>
                <w:bCs/>
                <w:kern w:val="0"/>
                <w:sz w:val="24"/>
              </w:rPr>
              <w:t>㎡</w:t>
            </w:r>
            <w:r>
              <w:rPr>
                <w:rFonts w:ascii="Times New Roman" w:hAnsi="Times New Roman" w:eastAsia="仿宋_GB2312"/>
                <w:b/>
                <w:bCs/>
                <w:kern w:val="0"/>
                <w:sz w:val="24"/>
              </w:rPr>
              <w:t>）</w:t>
            </w:r>
          </w:p>
        </w:tc>
        <w:tc>
          <w:tcPr>
            <w:tcW w:w="113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rPr>
            </w:pPr>
            <w:r>
              <w:rPr>
                <w:rFonts w:ascii="Times New Roman" w:hAnsi="Times New Roman" w:eastAsia="仿宋_GB2312"/>
                <w:b/>
                <w:bCs/>
                <w:kern w:val="0"/>
                <w:sz w:val="24"/>
              </w:rPr>
              <w:t>规模控制率</w:t>
            </w:r>
          </w:p>
        </w:tc>
        <w:tc>
          <w:tcPr>
            <w:tcW w:w="146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rPr>
            </w:pPr>
            <w:r>
              <w:rPr>
                <w:rFonts w:ascii="Times New Roman" w:hAnsi="Times New Roman" w:eastAsia="仿宋_GB2312"/>
                <w:b/>
                <w:bCs/>
                <w:kern w:val="0"/>
                <w:sz w:val="24"/>
              </w:rPr>
              <w:t>预算投资（万元）</w:t>
            </w:r>
          </w:p>
        </w:tc>
        <w:tc>
          <w:tcPr>
            <w:tcW w:w="97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rPr>
            </w:pPr>
            <w:r>
              <w:rPr>
                <w:rFonts w:ascii="Times New Roman" w:hAnsi="Times New Roman" w:eastAsia="仿宋_GB2312"/>
                <w:b/>
                <w:bCs/>
                <w:kern w:val="0"/>
                <w:sz w:val="24"/>
              </w:rPr>
              <w:t>实际投资（万元）</w:t>
            </w: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b/>
                <w:bCs/>
                <w:kern w:val="0"/>
                <w:sz w:val="24"/>
              </w:rPr>
            </w:pPr>
            <w:r>
              <w:rPr>
                <w:rFonts w:ascii="Times New Roman" w:hAnsi="Times New Roman" w:eastAsia="仿宋_GB2312"/>
                <w:b/>
                <w:bCs/>
                <w:kern w:val="0"/>
                <w:sz w:val="24"/>
              </w:rPr>
              <w:t>投资概算控制率</w:t>
            </w:r>
          </w:p>
        </w:tc>
      </w:tr>
      <w:tr>
        <w:tblPrEx>
          <w:tblCellMar>
            <w:top w:w="0" w:type="dxa"/>
            <w:left w:w="108" w:type="dxa"/>
            <w:bottom w:w="0" w:type="dxa"/>
            <w:right w:w="108" w:type="dxa"/>
          </w:tblCellMar>
        </w:tblPrEx>
        <w:trPr>
          <w:trHeight w:val="177" w:hRule="atLeast"/>
          <w:jc w:val="center"/>
        </w:trPr>
        <w:tc>
          <w:tcPr>
            <w:tcW w:w="355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4"/>
              </w:rPr>
            </w:pPr>
          </w:p>
        </w:tc>
        <w:tc>
          <w:tcPr>
            <w:tcW w:w="11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c>
          <w:tcPr>
            <w:tcW w:w="117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　</w:t>
            </w:r>
          </w:p>
        </w:tc>
        <w:tc>
          <w:tcPr>
            <w:tcW w:w="113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　</w:t>
            </w:r>
          </w:p>
        </w:tc>
        <w:tc>
          <w:tcPr>
            <w:tcW w:w="146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　</w:t>
            </w:r>
          </w:p>
        </w:tc>
        <w:tc>
          <w:tcPr>
            <w:tcW w:w="97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　</w:t>
            </w:r>
          </w:p>
        </w:tc>
        <w:tc>
          <w:tcPr>
            <w:tcW w:w="864"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　</w:t>
            </w:r>
          </w:p>
        </w:tc>
      </w:tr>
      <w:tr>
        <w:tblPrEx>
          <w:tblCellMar>
            <w:top w:w="0" w:type="dxa"/>
            <w:left w:w="108" w:type="dxa"/>
            <w:bottom w:w="0" w:type="dxa"/>
            <w:right w:w="108" w:type="dxa"/>
          </w:tblCellMar>
        </w:tblPrEx>
        <w:trPr>
          <w:trHeight w:val="371" w:hRule="atLeast"/>
          <w:jc w:val="center"/>
        </w:trPr>
        <w:tc>
          <w:tcPr>
            <w:tcW w:w="355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厉行节约保障措施</w:t>
            </w:r>
          </w:p>
        </w:tc>
        <w:tc>
          <w:tcPr>
            <w:tcW w:w="6789" w:type="dxa"/>
            <w:gridSpan w:val="6"/>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w:t>
            </w:r>
          </w:p>
        </w:tc>
      </w:tr>
    </w:tbl>
    <w:p>
      <w:pPr>
        <w:widowControl/>
        <w:jc w:val="left"/>
        <w:rPr>
          <w:rFonts w:ascii="Times New Roman" w:hAnsi="Times New Roman"/>
        </w:rPr>
      </w:pPr>
      <w:r>
        <w:rPr>
          <w:rFonts w:ascii="Times New Roman" w:hAnsi="Times New Roman" w:eastAsia="仿宋_GB2312"/>
          <w:kern w:val="0"/>
          <w:sz w:val="22"/>
        </w:rPr>
        <w:t>说明：“项目支出”需要填报除专项资金和基本支出以外的所有项目情况，包括业务工作项目、运行维护项目等；“公用经费”填报基本支出中的一般商品和服务支出。</w:t>
      </w:r>
    </w:p>
    <w:p>
      <w:pPr>
        <w:widowControl/>
        <w:spacing w:line="560" w:lineRule="exact"/>
        <w:rPr>
          <w:rFonts w:ascii="Times New Roman" w:hAnsi="Times New Roman" w:eastAsia="黑体"/>
          <w:color w:val="000000"/>
          <w:sz w:val="32"/>
          <w:szCs w:val="32"/>
        </w:rPr>
      </w:pPr>
    </w:p>
    <w:sectPr>
      <w:headerReference r:id="rId3" w:type="default"/>
      <w:footerReference r:id="rId4" w:type="default"/>
      <w:pgSz w:w="11906" w:h="16838"/>
      <w:pgMar w:top="1361"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7</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380A7F"/>
    <w:multiLevelType w:val="singleLevel"/>
    <w:tmpl w:val="B6380A7F"/>
    <w:lvl w:ilvl="0" w:tentative="0">
      <w:start w:val="8"/>
      <w:numFmt w:val="chineseCounting"/>
      <w:suff w:val="nothing"/>
      <w:lvlText w:val="%1、"/>
      <w:lvlJc w:val="left"/>
      <w:rPr>
        <w:rFonts w:hint="eastAsia"/>
      </w:rPr>
    </w:lvl>
  </w:abstractNum>
  <w:abstractNum w:abstractNumId="1">
    <w:nsid w:val="CE03B37F"/>
    <w:multiLevelType w:val="singleLevel"/>
    <w:tmpl w:val="CE03B37F"/>
    <w:lvl w:ilvl="0" w:tentative="0">
      <w:start w:val="4"/>
      <w:numFmt w:val="chineseCounting"/>
      <w:suff w:val="nothing"/>
      <w:lvlText w:val="%1、"/>
      <w:lvlJc w:val="left"/>
      <w:rPr>
        <w:rFonts w:hint="eastAsia"/>
      </w:rPr>
    </w:lvl>
  </w:abstractNum>
  <w:abstractNum w:abstractNumId="2">
    <w:nsid w:val="EBF38D33"/>
    <w:multiLevelType w:val="singleLevel"/>
    <w:tmpl w:val="EBF38D33"/>
    <w:lvl w:ilvl="0" w:tentative="0">
      <w:start w:val="2"/>
      <w:numFmt w:val="chineseCounting"/>
      <w:suff w:val="space"/>
      <w:lvlText w:val="（%1）"/>
      <w:lvlJc w:val="left"/>
      <w:rPr>
        <w:rFonts w:hint="eastAsia"/>
      </w:rPr>
    </w:lvl>
  </w:abstractNum>
  <w:abstractNum w:abstractNumId="3">
    <w:nsid w:val="3F40715B"/>
    <w:multiLevelType w:val="singleLevel"/>
    <w:tmpl w:val="3F40715B"/>
    <w:lvl w:ilvl="0" w:tentative="0">
      <w:start w:val="6"/>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4AB"/>
    <w:rsid w:val="0000298E"/>
    <w:rsid w:val="00002AE4"/>
    <w:rsid w:val="00031747"/>
    <w:rsid w:val="0003456A"/>
    <w:rsid w:val="00037035"/>
    <w:rsid w:val="000469BA"/>
    <w:rsid w:val="000516DC"/>
    <w:rsid w:val="00053F71"/>
    <w:rsid w:val="000552F3"/>
    <w:rsid w:val="00070B5F"/>
    <w:rsid w:val="000747B8"/>
    <w:rsid w:val="00075715"/>
    <w:rsid w:val="00083406"/>
    <w:rsid w:val="00085A99"/>
    <w:rsid w:val="00087EA5"/>
    <w:rsid w:val="00091B80"/>
    <w:rsid w:val="00092609"/>
    <w:rsid w:val="000A6E3A"/>
    <w:rsid w:val="000B1FC2"/>
    <w:rsid w:val="000D6179"/>
    <w:rsid w:val="000E240C"/>
    <w:rsid w:val="000F21D6"/>
    <w:rsid w:val="000F61BE"/>
    <w:rsid w:val="000F73AE"/>
    <w:rsid w:val="001062E8"/>
    <w:rsid w:val="00112EB7"/>
    <w:rsid w:val="00114AFB"/>
    <w:rsid w:val="001167EB"/>
    <w:rsid w:val="00121B82"/>
    <w:rsid w:val="00122D73"/>
    <w:rsid w:val="0013478D"/>
    <w:rsid w:val="001415B7"/>
    <w:rsid w:val="00145A6A"/>
    <w:rsid w:val="0014663A"/>
    <w:rsid w:val="001536DE"/>
    <w:rsid w:val="00160267"/>
    <w:rsid w:val="0016425E"/>
    <w:rsid w:val="00167BE7"/>
    <w:rsid w:val="00180DA0"/>
    <w:rsid w:val="00181657"/>
    <w:rsid w:val="00182289"/>
    <w:rsid w:val="00190E24"/>
    <w:rsid w:val="00191FD7"/>
    <w:rsid w:val="0019209D"/>
    <w:rsid w:val="00197BA7"/>
    <w:rsid w:val="001A5697"/>
    <w:rsid w:val="001A64A0"/>
    <w:rsid w:val="001B465B"/>
    <w:rsid w:val="001C15DF"/>
    <w:rsid w:val="001C7486"/>
    <w:rsid w:val="001D65E5"/>
    <w:rsid w:val="001D6602"/>
    <w:rsid w:val="001E4F39"/>
    <w:rsid w:val="001E5B80"/>
    <w:rsid w:val="001E6BFE"/>
    <w:rsid w:val="001F6D73"/>
    <w:rsid w:val="001F766E"/>
    <w:rsid w:val="00205440"/>
    <w:rsid w:val="002102DB"/>
    <w:rsid w:val="002129C1"/>
    <w:rsid w:val="00214D7C"/>
    <w:rsid w:val="00221B76"/>
    <w:rsid w:val="00222E30"/>
    <w:rsid w:val="00225256"/>
    <w:rsid w:val="002305A2"/>
    <w:rsid w:val="00231C6E"/>
    <w:rsid w:val="00232F9D"/>
    <w:rsid w:val="0023666C"/>
    <w:rsid w:val="002367FF"/>
    <w:rsid w:val="00254482"/>
    <w:rsid w:val="00261A82"/>
    <w:rsid w:val="0026227A"/>
    <w:rsid w:val="00273F87"/>
    <w:rsid w:val="00286A75"/>
    <w:rsid w:val="00291511"/>
    <w:rsid w:val="00292E06"/>
    <w:rsid w:val="002A1611"/>
    <w:rsid w:val="002A336C"/>
    <w:rsid w:val="002A3ED2"/>
    <w:rsid w:val="002A4788"/>
    <w:rsid w:val="002B1E16"/>
    <w:rsid w:val="002B2BEF"/>
    <w:rsid w:val="002B778F"/>
    <w:rsid w:val="002C064D"/>
    <w:rsid w:val="002C4D8C"/>
    <w:rsid w:val="002D6D4A"/>
    <w:rsid w:val="002E1DF4"/>
    <w:rsid w:val="002F7643"/>
    <w:rsid w:val="00303890"/>
    <w:rsid w:val="003053A5"/>
    <w:rsid w:val="0031038E"/>
    <w:rsid w:val="003134F7"/>
    <w:rsid w:val="00313CA6"/>
    <w:rsid w:val="00317AB2"/>
    <w:rsid w:val="00324952"/>
    <w:rsid w:val="00332598"/>
    <w:rsid w:val="00341012"/>
    <w:rsid w:val="00342BE8"/>
    <w:rsid w:val="00344BD5"/>
    <w:rsid w:val="00344CA7"/>
    <w:rsid w:val="00345B18"/>
    <w:rsid w:val="00346169"/>
    <w:rsid w:val="003478B2"/>
    <w:rsid w:val="00351E0E"/>
    <w:rsid w:val="00362473"/>
    <w:rsid w:val="00362E31"/>
    <w:rsid w:val="00372621"/>
    <w:rsid w:val="00374987"/>
    <w:rsid w:val="0038212B"/>
    <w:rsid w:val="00383377"/>
    <w:rsid w:val="00383992"/>
    <w:rsid w:val="00392B58"/>
    <w:rsid w:val="00394ABB"/>
    <w:rsid w:val="003A4ACA"/>
    <w:rsid w:val="003A7FDD"/>
    <w:rsid w:val="003B23EB"/>
    <w:rsid w:val="003B2F4F"/>
    <w:rsid w:val="003B7FA2"/>
    <w:rsid w:val="003D4854"/>
    <w:rsid w:val="003E3CB2"/>
    <w:rsid w:val="003E52E4"/>
    <w:rsid w:val="00404BE5"/>
    <w:rsid w:val="00410AE1"/>
    <w:rsid w:val="00410FF6"/>
    <w:rsid w:val="00411330"/>
    <w:rsid w:val="00412456"/>
    <w:rsid w:val="00415D60"/>
    <w:rsid w:val="00417BC1"/>
    <w:rsid w:val="0042330A"/>
    <w:rsid w:val="00427D9D"/>
    <w:rsid w:val="00431F52"/>
    <w:rsid w:val="00434B10"/>
    <w:rsid w:val="00446CFB"/>
    <w:rsid w:val="004506ED"/>
    <w:rsid w:val="004527DA"/>
    <w:rsid w:val="004561C6"/>
    <w:rsid w:val="004621CC"/>
    <w:rsid w:val="00473D54"/>
    <w:rsid w:val="00477B78"/>
    <w:rsid w:val="00481926"/>
    <w:rsid w:val="00483F92"/>
    <w:rsid w:val="004948B2"/>
    <w:rsid w:val="00496F6D"/>
    <w:rsid w:val="004A0757"/>
    <w:rsid w:val="004B09F8"/>
    <w:rsid w:val="004B4B8D"/>
    <w:rsid w:val="004C2AEE"/>
    <w:rsid w:val="004D5F90"/>
    <w:rsid w:val="004E1AF5"/>
    <w:rsid w:val="004E2593"/>
    <w:rsid w:val="004E3783"/>
    <w:rsid w:val="004E394D"/>
    <w:rsid w:val="004E6E44"/>
    <w:rsid w:val="004F40BB"/>
    <w:rsid w:val="004F4E0C"/>
    <w:rsid w:val="004F53C1"/>
    <w:rsid w:val="00505F55"/>
    <w:rsid w:val="00507BC7"/>
    <w:rsid w:val="00510B86"/>
    <w:rsid w:val="00536A21"/>
    <w:rsid w:val="005377C3"/>
    <w:rsid w:val="005438D0"/>
    <w:rsid w:val="0054486C"/>
    <w:rsid w:val="005473E0"/>
    <w:rsid w:val="0055022D"/>
    <w:rsid w:val="00550C9A"/>
    <w:rsid w:val="00553BA4"/>
    <w:rsid w:val="00560BF9"/>
    <w:rsid w:val="00575DEF"/>
    <w:rsid w:val="0057789D"/>
    <w:rsid w:val="005845A5"/>
    <w:rsid w:val="00585BED"/>
    <w:rsid w:val="005916AB"/>
    <w:rsid w:val="00592496"/>
    <w:rsid w:val="00593595"/>
    <w:rsid w:val="005A3424"/>
    <w:rsid w:val="005A662C"/>
    <w:rsid w:val="005A6E3C"/>
    <w:rsid w:val="005B70C2"/>
    <w:rsid w:val="005C488D"/>
    <w:rsid w:val="005C60E3"/>
    <w:rsid w:val="005C6D48"/>
    <w:rsid w:val="005C778B"/>
    <w:rsid w:val="005D5007"/>
    <w:rsid w:val="005D50CB"/>
    <w:rsid w:val="005E0ACC"/>
    <w:rsid w:val="005E0C80"/>
    <w:rsid w:val="005E1840"/>
    <w:rsid w:val="005E63A3"/>
    <w:rsid w:val="005F1452"/>
    <w:rsid w:val="005F1576"/>
    <w:rsid w:val="005F247D"/>
    <w:rsid w:val="005F2E6C"/>
    <w:rsid w:val="006024A8"/>
    <w:rsid w:val="0061181B"/>
    <w:rsid w:val="0061768E"/>
    <w:rsid w:val="00620930"/>
    <w:rsid w:val="00640E29"/>
    <w:rsid w:val="006412C9"/>
    <w:rsid w:val="00655F15"/>
    <w:rsid w:val="00661AED"/>
    <w:rsid w:val="0066304C"/>
    <w:rsid w:val="00664139"/>
    <w:rsid w:val="00666EBB"/>
    <w:rsid w:val="00671561"/>
    <w:rsid w:val="00672718"/>
    <w:rsid w:val="006769A7"/>
    <w:rsid w:val="00676BCC"/>
    <w:rsid w:val="0067774C"/>
    <w:rsid w:val="00682EDF"/>
    <w:rsid w:val="006858E7"/>
    <w:rsid w:val="00686123"/>
    <w:rsid w:val="00687554"/>
    <w:rsid w:val="00693448"/>
    <w:rsid w:val="00695008"/>
    <w:rsid w:val="006A3A89"/>
    <w:rsid w:val="006A6FDC"/>
    <w:rsid w:val="006B1DF4"/>
    <w:rsid w:val="006C3E4B"/>
    <w:rsid w:val="006C5D54"/>
    <w:rsid w:val="006C6956"/>
    <w:rsid w:val="006D0B0B"/>
    <w:rsid w:val="006D0B89"/>
    <w:rsid w:val="006E4E54"/>
    <w:rsid w:val="006F1419"/>
    <w:rsid w:val="00700CD4"/>
    <w:rsid w:val="00701DF4"/>
    <w:rsid w:val="00704174"/>
    <w:rsid w:val="00704536"/>
    <w:rsid w:val="0071201B"/>
    <w:rsid w:val="00723417"/>
    <w:rsid w:val="0073058B"/>
    <w:rsid w:val="007349D4"/>
    <w:rsid w:val="00737891"/>
    <w:rsid w:val="00754120"/>
    <w:rsid w:val="00756B93"/>
    <w:rsid w:val="0076124E"/>
    <w:rsid w:val="0076414B"/>
    <w:rsid w:val="00767ED7"/>
    <w:rsid w:val="007707CC"/>
    <w:rsid w:val="00770932"/>
    <w:rsid w:val="0077217D"/>
    <w:rsid w:val="00784182"/>
    <w:rsid w:val="00786728"/>
    <w:rsid w:val="00793BCC"/>
    <w:rsid w:val="007974AB"/>
    <w:rsid w:val="007A0A4C"/>
    <w:rsid w:val="007B039C"/>
    <w:rsid w:val="007B13FA"/>
    <w:rsid w:val="007B46F9"/>
    <w:rsid w:val="007B4DD3"/>
    <w:rsid w:val="007B4F12"/>
    <w:rsid w:val="007B57E2"/>
    <w:rsid w:val="007B6F8C"/>
    <w:rsid w:val="007C0768"/>
    <w:rsid w:val="007C536F"/>
    <w:rsid w:val="007D16E0"/>
    <w:rsid w:val="007D5CA1"/>
    <w:rsid w:val="007D637D"/>
    <w:rsid w:val="007E3B70"/>
    <w:rsid w:val="007F05A2"/>
    <w:rsid w:val="007F1ED1"/>
    <w:rsid w:val="007F7875"/>
    <w:rsid w:val="00800AE0"/>
    <w:rsid w:val="00827E67"/>
    <w:rsid w:val="00827FBB"/>
    <w:rsid w:val="00832102"/>
    <w:rsid w:val="00833FA8"/>
    <w:rsid w:val="0084564C"/>
    <w:rsid w:val="00851F1E"/>
    <w:rsid w:val="008662AB"/>
    <w:rsid w:val="00867DE4"/>
    <w:rsid w:val="00885497"/>
    <w:rsid w:val="008862A7"/>
    <w:rsid w:val="00892869"/>
    <w:rsid w:val="008B03AA"/>
    <w:rsid w:val="008B1FF5"/>
    <w:rsid w:val="008B33CC"/>
    <w:rsid w:val="008B3530"/>
    <w:rsid w:val="008D36D8"/>
    <w:rsid w:val="008D614F"/>
    <w:rsid w:val="008D7CE8"/>
    <w:rsid w:val="008E6AF7"/>
    <w:rsid w:val="008E7DED"/>
    <w:rsid w:val="008F0E86"/>
    <w:rsid w:val="0090366D"/>
    <w:rsid w:val="00905011"/>
    <w:rsid w:val="00911DD8"/>
    <w:rsid w:val="00917770"/>
    <w:rsid w:val="00921D22"/>
    <w:rsid w:val="00921EF0"/>
    <w:rsid w:val="0094137E"/>
    <w:rsid w:val="00943B87"/>
    <w:rsid w:val="009442C5"/>
    <w:rsid w:val="0094685F"/>
    <w:rsid w:val="00956048"/>
    <w:rsid w:val="00961BF1"/>
    <w:rsid w:val="0096338E"/>
    <w:rsid w:val="009709F2"/>
    <w:rsid w:val="0097377E"/>
    <w:rsid w:val="0097487E"/>
    <w:rsid w:val="00977060"/>
    <w:rsid w:val="00980482"/>
    <w:rsid w:val="0098378E"/>
    <w:rsid w:val="00986F29"/>
    <w:rsid w:val="009901AD"/>
    <w:rsid w:val="00991EA4"/>
    <w:rsid w:val="009943A8"/>
    <w:rsid w:val="009947D3"/>
    <w:rsid w:val="009965AB"/>
    <w:rsid w:val="009A55AE"/>
    <w:rsid w:val="009B5011"/>
    <w:rsid w:val="009B5851"/>
    <w:rsid w:val="009C406D"/>
    <w:rsid w:val="009C5DDA"/>
    <w:rsid w:val="009D6DA7"/>
    <w:rsid w:val="009E02A8"/>
    <w:rsid w:val="009E265C"/>
    <w:rsid w:val="009E5A22"/>
    <w:rsid w:val="009F404C"/>
    <w:rsid w:val="00A00330"/>
    <w:rsid w:val="00A031DE"/>
    <w:rsid w:val="00A14698"/>
    <w:rsid w:val="00A15119"/>
    <w:rsid w:val="00A219F9"/>
    <w:rsid w:val="00A31FCC"/>
    <w:rsid w:val="00A36DBC"/>
    <w:rsid w:val="00A413AD"/>
    <w:rsid w:val="00A42F44"/>
    <w:rsid w:val="00A430F4"/>
    <w:rsid w:val="00A43B0D"/>
    <w:rsid w:val="00A44A41"/>
    <w:rsid w:val="00A50EDE"/>
    <w:rsid w:val="00A53396"/>
    <w:rsid w:val="00A57284"/>
    <w:rsid w:val="00A6409C"/>
    <w:rsid w:val="00A66B32"/>
    <w:rsid w:val="00A747A4"/>
    <w:rsid w:val="00A76E82"/>
    <w:rsid w:val="00A949AD"/>
    <w:rsid w:val="00AB11DB"/>
    <w:rsid w:val="00AC2C79"/>
    <w:rsid w:val="00AC3596"/>
    <w:rsid w:val="00AD0292"/>
    <w:rsid w:val="00AD09F4"/>
    <w:rsid w:val="00AD797A"/>
    <w:rsid w:val="00AE4204"/>
    <w:rsid w:val="00AE777B"/>
    <w:rsid w:val="00AF1354"/>
    <w:rsid w:val="00B04987"/>
    <w:rsid w:val="00B067B2"/>
    <w:rsid w:val="00B07A1C"/>
    <w:rsid w:val="00B12151"/>
    <w:rsid w:val="00B13F7B"/>
    <w:rsid w:val="00B1669E"/>
    <w:rsid w:val="00B21F2B"/>
    <w:rsid w:val="00B23A19"/>
    <w:rsid w:val="00B3064B"/>
    <w:rsid w:val="00B30E1F"/>
    <w:rsid w:val="00B32F56"/>
    <w:rsid w:val="00B5069E"/>
    <w:rsid w:val="00B54FA2"/>
    <w:rsid w:val="00B559AE"/>
    <w:rsid w:val="00B576D4"/>
    <w:rsid w:val="00B605B4"/>
    <w:rsid w:val="00B65994"/>
    <w:rsid w:val="00B718B5"/>
    <w:rsid w:val="00B7695F"/>
    <w:rsid w:val="00B80C73"/>
    <w:rsid w:val="00B824FB"/>
    <w:rsid w:val="00B8579B"/>
    <w:rsid w:val="00B85D54"/>
    <w:rsid w:val="00B86E61"/>
    <w:rsid w:val="00B90483"/>
    <w:rsid w:val="00B90FCE"/>
    <w:rsid w:val="00B9269A"/>
    <w:rsid w:val="00B93DBC"/>
    <w:rsid w:val="00BA21E0"/>
    <w:rsid w:val="00BA3557"/>
    <w:rsid w:val="00BB02A3"/>
    <w:rsid w:val="00BB7153"/>
    <w:rsid w:val="00BD1277"/>
    <w:rsid w:val="00BD600A"/>
    <w:rsid w:val="00BE2E9A"/>
    <w:rsid w:val="00BF20DB"/>
    <w:rsid w:val="00BF73DD"/>
    <w:rsid w:val="00C0088E"/>
    <w:rsid w:val="00C02189"/>
    <w:rsid w:val="00C20029"/>
    <w:rsid w:val="00C30FDC"/>
    <w:rsid w:val="00C319C9"/>
    <w:rsid w:val="00C33895"/>
    <w:rsid w:val="00C3680C"/>
    <w:rsid w:val="00C44C07"/>
    <w:rsid w:val="00C4612E"/>
    <w:rsid w:val="00C54E49"/>
    <w:rsid w:val="00C5586C"/>
    <w:rsid w:val="00C573B5"/>
    <w:rsid w:val="00C60E03"/>
    <w:rsid w:val="00C62F43"/>
    <w:rsid w:val="00C63B42"/>
    <w:rsid w:val="00C72DCE"/>
    <w:rsid w:val="00C935BF"/>
    <w:rsid w:val="00CA0A79"/>
    <w:rsid w:val="00CA163D"/>
    <w:rsid w:val="00CA33BA"/>
    <w:rsid w:val="00CB5102"/>
    <w:rsid w:val="00CC0774"/>
    <w:rsid w:val="00CC3862"/>
    <w:rsid w:val="00CC4ADD"/>
    <w:rsid w:val="00CD2BBD"/>
    <w:rsid w:val="00CD35A0"/>
    <w:rsid w:val="00CE087F"/>
    <w:rsid w:val="00CE0DAB"/>
    <w:rsid w:val="00CF75DD"/>
    <w:rsid w:val="00CF7E02"/>
    <w:rsid w:val="00D05ACC"/>
    <w:rsid w:val="00D14DCC"/>
    <w:rsid w:val="00D204FD"/>
    <w:rsid w:val="00D251C2"/>
    <w:rsid w:val="00D258CC"/>
    <w:rsid w:val="00D33649"/>
    <w:rsid w:val="00D4312A"/>
    <w:rsid w:val="00D4564B"/>
    <w:rsid w:val="00D464D3"/>
    <w:rsid w:val="00D52EEC"/>
    <w:rsid w:val="00D55FCF"/>
    <w:rsid w:val="00D60B6C"/>
    <w:rsid w:val="00D62E84"/>
    <w:rsid w:val="00D65095"/>
    <w:rsid w:val="00D67221"/>
    <w:rsid w:val="00D74FF7"/>
    <w:rsid w:val="00D809C7"/>
    <w:rsid w:val="00D903B2"/>
    <w:rsid w:val="00D90B0C"/>
    <w:rsid w:val="00D927CA"/>
    <w:rsid w:val="00DA1E2C"/>
    <w:rsid w:val="00DB79CE"/>
    <w:rsid w:val="00DD1471"/>
    <w:rsid w:val="00DD1B35"/>
    <w:rsid w:val="00DE04EC"/>
    <w:rsid w:val="00DE1D58"/>
    <w:rsid w:val="00DE53FD"/>
    <w:rsid w:val="00DF0050"/>
    <w:rsid w:val="00DF192B"/>
    <w:rsid w:val="00DF3708"/>
    <w:rsid w:val="00DF422E"/>
    <w:rsid w:val="00E04C58"/>
    <w:rsid w:val="00E07FE4"/>
    <w:rsid w:val="00E1178C"/>
    <w:rsid w:val="00E12865"/>
    <w:rsid w:val="00E1598C"/>
    <w:rsid w:val="00E171D4"/>
    <w:rsid w:val="00E20D5A"/>
    <w:rsid w:val="00E2433A"/>
    <w:rsid w:val="00E275D0"/>
    <w:rsid w:val="00E35604"/>
    <w:rsid w:val="00E40FD3"/>
    <w:rsid w:val="00E46D74"/>
    <w:rsid w:val="00E510E7"/>
    <w:rsid w:val="00E54080"/>
    <w:rsid w:val="00E55CDD"/>
    <w:rsid w:val="00E5799B"/>
    <w:rsid w:val="00E63F09"/>
    <w:rsid w:val="00E67C16"/>
    <w:rsid w:val="00E72030"/>
    <w:rsid w:val="00E774DF"/>
    <w:rsid w:val="00E7796F"/>
    <w:rsid w:val="00E80074"/>
    <w:rsid w:val="00E848A7"/>
    <w:rsid w:val="00E85548"/>
    <w:rsid w:val="00E94326"/>
    <w:rsid w:val="00E94979"/>
    <w:rsid w:val="00EA01AD"/>
    <w:rsid w:val="00EB0525"/>
    <w:rsid w:val="00EB0AF9"/>
    <w:rsid w:val="00EB20C3"/>
    <w:rsid w:val="00EC133C"/>
    <w:rsid w:val="00EC2A45"/>
    <w:rsid w:val="00ED459B"/>
    <w:rsid w:val="00ED57CB"/>
    <w:rsid w:val="00F0324A"/>
    <w:rsid w:val="00F033A8"/>
    <w:rsid w:val="00F07FD8"/>
    <w:rsid w:val="00F15C5B"/>
    <w:rsid w:val="00F204D5"/>
    <w:rsid w:val="00F31077"/>
    <w:rsid w:val="00F3377F"/>
    <w:rsid w:val="00F34647"/>
    <w:rsid w:val="00F438FF"/>
    <w:rsid w:val="00F5082F"/>
    <w:rsid w:val="00F53D8C"/>
    <w:rsid w:val="00F5551B"/>
    <w:rsid w:val="00F62E20"/>
    <w:rsid w:val="00F631D3"/>
    <w:rsid w:val="00F647D2"/>
    <w:rsid w:val="00F64A66"/>
    <w:rsid w:val="00F67480"/>
    <w:rsid w:val="00F67A2E"/>
    <w:rsid w:val="00F7046B"/>
    <w:rsid w:val="00F71779"/>
    <w:rsid w:val="00F81E51"/>
    <w:rsid w:val="00F921CA"/>
    <w:rsid w:val="00FA5A76"/>
    <w:rsid w:val="00FB0000"/>
    <w:rsid w:val="00FB5CB5"/>
    <w:rsid w:val="00FD03F6"/>
    <w:rsid w:val="00FD1260"/>
    <w:rsid w:val="00FD4154"/>
    <w:rsid w:val="00FD47E3"/>
    <w:rsid w:val="00FE15F4"/>
    <w:rsid w:val="00FF2FCA"/>
    <w:rsid w:val="00FF5CAC"/>
    <w:rsid w:val="0B5B5A73"/>
    <w:rsid w:val="0D914FBA"/>
    <w:rsid w:val="17203872"/>
    <w:rsid w:val="187B757B"/>
    <w:rsid w:val="20C51591"/>
    <w:rsid w:val="28F167E4"/>
    <w:rsid w:val="2AB01399"/>
    <w:rsid w:val="2BCC0376"/>
    <w:rsid w:val="34971D9A"/>
    <w:rsid w:val="37660DEC"/>
    <w:rsid w:val="4B7C24A5"/>
    <w:rsid w:val="4DD6433B"/>
    <w:rsid w:val="5374049B"/>
    <w:rsid w:val="57E714CD"/>
    <w:rsid w:val="5C5C5A21"/>
    <w:rsid w:val="63EA5EF1"/>
    <w:rsid w:val="671B0296"/>
    <w:rsid w:val="69B96838"/>
    <w:rsid w:val="71083CD6"/>
    <w:rsid w:val="7D3850B8"/>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qFormat="1" w:unhideWhenUsed="0" w:uiPriority="99" w:name="HTML Address"/>
    <w:lsdException w:qFormat="1" w:unhideWhenUsed="0" w:uiPriority="99" w:name="HTML Cite"/>
    <w:lsdException w:qFormat="1" w:unhideWhenUsed="0"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9"/>
    <w:pPr>
      <w:widowControl/>
      <w:spacing w:before="100" w:beforeAutospacing="1" w:after="100" w:afterAutospacing="1"/>
      <w:jc w:val="left"/>
      <w:outlineLvl w:val="0"/>
    </w:pPr>
    <w:rPr>
      <w:rFonts w:ascii="宋体" w:hAnsi="宋体" w:cs="宋体"/>
      <w:kern w:val="36"/>
      <w:sz w:val="48"/>
      <w:szCs w:val="48"/>
    </w:rPr>
  </w:style>
  <w:style w:type="paragraph" w:styleId="3">
    <w:name w:val="heading 2"/>
    <w:basedOn w:val="1"/>
    <w:next w:val="1"/>
    <w:link w:val="20"/>
    <w:qFormat/>
    <w:uiPriority w:val="99"/>
    <w:pPr>
      <w:widowControl/>
      <w:spacing w:before="100" w:beforeAutospacing="1" w:after="100" w:afterAutospacing="1"/>
      <w:jc w:val="left"/>
      <w:outlineLvl w:val="1"/>
    </w:pPr>
    <w:rPr>
      <w:rFonts w:ascii="宋体" w:hAnsi="宋体" w:cs="宋体"/>
      <w:kern w:val="0"/>
      <w:sz w:val="36"/>
      <w:szCs w:val="36"/>
    </w:rPr>
  </w:style>
  <w:style w:type="paragraph" w:styleId="4">
    <w:name w:val="heading 3"/>
    <w:basedOn w:val="1"/>
    <w:next w:val="1"/>
    <w:link w:val="21"/>
    <w:qFormat/>
    <w:uiPriority w:val="99"/>
    <w:pPr>
      <w:widowControl/>
      <w:spacing w:before="100" w:beforeAutospacing="1" w:after="100" w:afterAutospacing="1"/>
      <w:jc w:val="left"/>
      <w:outlineLvl w:val="2"/>
    </w:pPr>
    <w:rPr>
      <w:rFonts w:ascii="宋体" w:hAnsi="宋体" w:cs="宋体"/>
      <w:kern w:val="0"/>
      <w:sz w:val="27"/>
      <w:szCs w:val="27"/>
    </w:rPr>
  </w:style>
  <w:style w:type="paragraph" w:styleId="5">
    <w:name w:val="heading 4"/>
    <w:basedOn w:val="1"/>
    <w:next w:val="1"/>
    <w:link w:val="22"/>
    <w:qFormat/>
    <w:uiPriority w:val="99"/>
    <w:pPr>
      <w:widowControl/>
      <w:spacing w:before="100" w:beforeAutospacing="1" w:after="100" w:afterAutospacing="1"/>
      <w:jc w:val="left"/>
      <w:outlineLvl w:val="3"/>
    </w:pPr>
    <w:rPr>
      <w:rFonts w:ascii="宋体" w:hAnsi="宋体" w:cs="宋体"/>
      <w:kern w:val="0"/>
      <w:sz w:val="24"/>
      <w:szCs w:val="24"/>
    </w:rPr>
  </w:style>
  <w:style w:type="paragraph" w:styleId="6">
    <w:name w:val="heading 5"/>
    <w:basedOn w:val="1"/>
    <w:next w:val="1"/>
    <w:link w:val="23"/>
    <w:qFormat/>
    <w:uiPriority w:val="99"/>
    <w:pPr>
      <w:widowControl/>
      <w:spacing w:before="100" w:beforeAutospacing="1" w:after="100" w:afterAutospacing="1"/>
      <w:jc w:val="left"/>
      <w:outlineLvl w:val="4"/>
    </w:pPr>
    <w:rPr>
      <w:rFonts w:ascii="宋体" w:hAnsi="宋体" w:cs="宋体"/>
      <w:kern w:val="0"/>
      <w:sz w:val="20"/>
      <w:szCs w:val="20"/>
    </w:rPr>
  </w:style>
  <w:style w:type="paragraph" w:styleId="7">
    <w:name w:val="heading 6"/>
    <w:basedOn w:val="1"/>
    <w:next w:val="1"/>
    <w:link w:val="24"/>
    <w:qFormat/>
    <w:uiPriority w:val="99"/>
    <w:pPr>
      <w:widowControl/>
      <w:spacing w:before="100" w:beforeAutospacing="1" w:after="100" w:afterAutospacing="1"/>
      <w:jc w:val="left"/>
      <w:outlineLvl w:val="5"/>
    </w:pPr>
    <w:rPr>
      <w:rFonts w:ascii="宋体" w:hAnsi="宋体" w:cs="宋体"/>
      <w:kern w:val="0"/>
      <w:sz w:val="15"/>
      <w:szCs w:val="15"/>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HTML Address"/>
    <w:basedOn w:val="1"/>
    <w:link w:val="25"/>
    <w:semiHidden/>
    <w:qFormat/>
    <w:uiPriority w:val="99"/>
    <w:pPr>
      <w:widowControl/>
      <w:jc w:val="left"/>
    </w:pPr>
    <w:rPr>
      <w:rFonts w:ascii="宋体" w:hAnsi="宋体" w:cs="宋体"/>
      <w:kern w:val="0"/>
      <w:sz w:val="24"/>
      <w:szCs w:val="24"/>
    </w:rPr>
  </w:style>
  <w:style w:type="paragraph" w:styleId="9">
    <w:name w:val="footer"/>
    <w:basedOn w:val="1"/>
    <w:link w:val="124"/>
    <w:qFormat/>
    <w:uiPriority w:val="99"/>
    <w:pPr>
      <w:tabs>
        <w:tab w:val="center" w:pos="4153"/>
        <w:tab w:val="right" w:pos="8306"/>
      </w:tabs>
      <w:snapToGrid w:val="0"/>
      <w:jc w:val="left"/>
    </w:pPr>
    <w:rPr>
      <w:sz w:val="18"/>
      <w:szCs w:val="18"/>
    </w:rPr>
  </w:style>
  <w:style w:type="paragraph" w:styleId="10">
    <w:name w:val="header"/>
    <w:basedOn w:val="1"/>
    <w:link w:val="123"/>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4">
    <w:name w:val="FollowedHyperlink"/>
    <w:basedOn w:val="13"/>
    <w:semiHidden/>
    <w:qFormat/>
    <w:uiPriority w:val="99"/>
    <w:rPr>
      <w:rFonts w:cs="Times New Roman"/>
      <w:color w:val="252525"/>
      <w:u w:val="none"/>
    </w:rPr>
  </w:style>
  <w:style w:type="character" w:styleId="15">
    <w:name w:val="Emphasis"/>
    <w:basedOn w:val="13"/>
    <w:qFormat/>
    <w:uiPriority w:val="99"/>
    <w:rPr>
      <w:rFonts w:cs="Times New Roman"/>
    </w:rPr>
  </w:style>
  <w:style w:type="character" w:styleId="16">
    <w:name w:val="Hyperlink"/>
    <w:basedOn w:val="13"/>
    <w:semiHidden/>
    <w:qFormat/>
    <w:uiPriority w:val="99"/>
    <w:rPr>
      <w:rFonts w:cs="Times New Roman"/>
      <w:color w:val="252525"/>
      <w:u w:val="none"/>
    </w:rPr>
  </w:style>
  <w:style w:type="character" w:styleId="17">
    <w:name w:val="HTML Code"/>
    <w:basedOn w:val="13"/>
    <w:semiHidden/>
    <w:qFormat/>
    <w:uiPriority w:val="99"/>
    <w:rPr>
      <w:rFonts w:ascii="宋体" w:hAnsi="宋体" w:eastAsia="宋体" w:cs="宋体"/>
      <w:sz w:val="24"/>
      <w:szCs w:val="24"/>
    </w:rPr>
  </w:style>
  <w:style w:type="character" w:styleId="18">
    <w:name w:val="HTML Cite"/>
    <w:basedOn w:val="13"/>
    <w:semiHidden/>
    <w:qFormat/>
    <w:uiPriority w:val="99"/>
    <w:rPr>
      <w:rFonts w:cs="Times New Roman"/>
    </w:rPr>
  </w:style>
  <w:style w:type="character" w:customStyle="1" w:styleId="19">
    <w:name w:val="标题 1 Char"/>
    <w:basedOn w:val="13"/>
    <w:link w:val="2"/>
    <w:qFormat/>
    <w:locked/>
    <w:uiPriority w:val="99"/>
    <w:rPr>
      <w:rFonts w:ascii="宋体" w:hAnsi="宋体" w:eastAsia="宋体" w:cs="宋体"/>
      <w:kern w:val="36"/>
      <w:sz w:val="48"/>
      <w:szCs w:val="48"/>
    </w:rPr>
  </w:style>
  <w:style w:type="character" w:customStyle="1" w:styleId="20">
    <w:name w:val="标题 2 Char"/>
    <w:basedOn w:val="13"/>
    <w:link w:val="3"/>
    <w:qFormat/>
    <w:locked/>
    <w:uiPriority w:val="99"/>
    <w:rPr>
      <w:rFonts w:ascii="宋体" w:hAnsi="宋体" w:eastAsia="宋体" w:cs="宋体"/>
      <w:kern w:val="0"/>
      <w:sz w:val="36"/>
      <w:szCs w:val="36"/>
    </w:rPr>
  </w:style>
  <w:style w:type="character" w:customStyle="1" w:styleId="21">
    <w:name w:val="标题 3 Char"/>
    <w:basedOn w:val="13"/>
    <w:link w:val="4"/>
    <w:qFormat/>
    <w:locked/>
    <w:uiPriority w:val="99"/>
    <w:rPr>
      <w:rFonts w:ascii="宋体" w:hAnsi="宋体" w:eastAsia="宋体" w:cs="宋体"/>
      <w:kern w:val="0"/>
      <w:sz w:val="27"/>
      <w:szCs w:val="27"/>
    </w:rPr>
  </w:style>
  <w:style w:type="character" w:customStyle="1" w:styleId="22">
    <w:name w:val="标题 4 Char"/>
    <w:basedOn w:val="13"/>
    <w:link w:val="5"/>
    <w:qFormat/>
    <w:locked/>
    <w:uiPriority w:val="99"/>
    <w:rPr>
      <w:rFonts w:ascii="宋体" w:hAnsi="宋体" w:eastAsia="宋体" w:cs="宋体"/>
      <w:kern w:val="0"/>
      <w:sz w:val="24"/>
      <w:szCs w:val="24"/>
    </w:rPr>
  </w:style>
  <w:style w:type="character" w:customStyle="1" w:styleId="23">
    <w:name w:val="标题 5 Char"/>
    <w:basedOn w:val="13"/>
    <w:link w:val="6"/>
    <w:qFormat/>
    <w:locked/>
    <w:uiPriority w:val="99"/>
    <w:rPr>
      <w:rFonts w:ascii="宋体" w:hAnsi="宋体" w:eastAsia="宋体" w:cs="宋体"/>
      <w:kern w:val="0"/>
      <w:sz w:val="20"/>
      <w:szCs w:val="20"/>
    </w:rPr>
  </w:style>
  <w:style w:type="character" w:customStyle="1" w:styleId="24">
    <w:name w:val="标题 6 Char"/>
    <w:basedOn w:val="13"/>
    <w:link w:val="7"/>
    <w:qFormat/>
    <w:locked/>
    <w:uiPriority w:val="99"/>
    <w:rPr>
      <w:rFonts w:ascii="宋体" w:hAnsi="宋体" w:eastAsia="宋体" w:cs="宋体"/>
      <w:kern w:val="0"/>
      <w:sz w:val="15"/>
      <w:szCs w:val="15"/>
    </w:rPr>
  </w:style>
  <w:style w:type="character" w:customStyle="1" w:styleId="25">
    <w:name w:val="HTML 地址 Char"/>
    <w:basedOn w:val="13"/>
    <w:link w:val="8"/>
    <w:semiHidden/>
    <w:qFormat/>
    <w:locked/>
    <w:uiPriority w:val="99"/>
    <w:rPr>
      <w:rFonts w:ascii="宋体" w:hAnsi="宋体" w:eastAsia="宋体" w:cs="宋体"/>
      <w:kern w:val="0"/>
      <w:sz w:val="24"/>
      <w:szCs w:val="24"/>
    </w:rPr>
  </w:style>
  <w:style w:type="paragraph" w:customStyle="1" w:styleId="26">
    <w:name w:val="fb"/>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27">
    <w:name w:val="cwhite"/>
    <w:basedOn w:val="1"/>
    <w:qFormat/>
    <w:uiPriority w:val="99"/>
    <w:pPr>
      <w:widowControl/>
      <w:spacing w:before="100" w:beforeAutospacing="1" w:after="100" w:afterAutospacing="1"/>
      <w:jc w:val="left"/>
    </w:pPr>
    <w:rPr>
      <w:rFonts w:ascii="宋体" w:hAnsi="宋体" w:cs="宋体"/>
      <w:color w:val="FFFFFF"/>
      <w:kern w:val="0"/>
      <w:sz w:val="24"/>
      <w:szCs w:val="24"/>
    </w:rPr>
  </w:style>
  <w:style w:type="paragraph" w:customStyle="1" w:styleId="28">
    <w:name w:val="cgray"/>
    <w:basedOn w:val="1"/>
    <w:qFormat/>
    <w:uiPriority w:val="99"/>
    <w:pPr>
      <w:widowControl/>
      <w:spacing w:before="100" w:beforeAutospacing="1" w:after="100" w:afterAutospacing="1"/>
      <w:jc w:val="left"/>
    </w:pPr>
    <w:rPr>
      <w:rFonts w:ascii="宋体" w:hAnsi="宋体" w:cs="宋体"/>
      <w:color w:val="999999"/>
      <w:kern w:val="0"/>
      <w:sz w:val="24"/>
      <w:szCs w:val="24"/>
    </w:rPr>
  </w:style>
  <w:style w:type="paragraph" w:customStyle="1" w:styleId="29">
    <w:name w:val="cf14"/>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30">
    <w:name w:val="line"/>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31">
    <w:name w:val="line2"/>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32">
    <w:name w:val="top_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3">
    <w:name w:val="ban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4">
    <w:name w:val="top_nav"/>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35">
    <w:name w:val="top_clear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6">
    <w:name w:val="nav"/>
    <w:basedOn w:val="1"/>
    <w:qFormat/>
    <w:uiPriority w:val="99"/>
    <w:pPr>
      <w:widowControl/>
      <w:spacing w:before="100" w:beforeAutospacing="1" w:after="100" w:afterAutospacing="1" w:line="495" w:lineRule="atLeast"/>
      <w:jc w:val="left"/>
    </w:pPr>
    <w:rPr>
      <w:rFonts w:ascii="宋体" w:hAnsi="宋体" w:cs="宋体"/>
      <w:color w:val="FFFFFF"/>
      <w:kern w:val="0"/>
      <w:szCs w:val="21"/>
    </w:rPr>
  </w:style>
  <w:style w:type="paragraph" w:customStyle="1" w:styleId="37">
    <w:name w:val="topinpu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8">
    <w:name w:val="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9">
    <w:name w:val="btn0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0">
    <w:name w:val="vm"/>
    <w:basedOn w:val="1"/>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41">
    <w:name w:val="navbox"/>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42">
    <w:name w:val="页眉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3">
    <w:name w:val="页脚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4">
    <w:name w:val="main"/>
    <w:basedOn w:val="1"/>
    <w:qFormat/>
    <w:uiPriority w:val="99"/>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45">
    <w:name w:val="newsbox"/>
    <w:basedOn w:val="1"/>
    <w:qFormat/>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46">
    <w:name w:val="newsconcent"/>
    <w:basedOn w:val="1"/>
    <w:qFormat/>
    <w:uiPriority w:val="99"/>
    <w:pPr>
      <w:widowControl/>
      <w:spacing w:before="150" w:after="100" w:afterAutospacing="1"/>
      <w:jc w:val="left"/>
    </w:pPr>
    <w:rPr>
      <w:rFonts w:ascii="宋体" w:hAnsi="宋体" w:cs="宋体"/>
      <w:kern w:val="0"/>
      <w:sz w:val="24"/>
      <w:szCs w:val="24"/>
    </w:rPr>
  </w:style>
  <w:style w:type="paragraph" w:customStyle="1" w:styleId="47">
    <w:name w:val="newstit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8">
    <w:name w:val="line_bottom_dotted"/>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49">
    <w:name w:val="line_3_solid"/>
    <w:basedOn w:val="1"/>
    <w:qFormat/>
    <w:uiPriority w:val="99"/>
    <w:pPr>
      <w:widowControl/>
      <w:pBdr>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50">
    <w:name w:val="line_top_red"/>
    <w:basedOn w:val="1"/>
    <w:qFormat/>
    <w:uiPriority w:val="99"/>
    <w:pPr>
      <w:widowControl/>
      <w:pBdr>
        <w:top w:val="single" w:color="CC0000" w:sz="12" w:space="0"/>
      </w:pBdr>
      <w:spacing w:before="100" w:beforeAutospacing="1" w:after="100" w:afterAutospacing="1"/>
      <w:jc w:val="left"/>
    </w:pPr>
    <w:rPr>
      <w:rFonts w:ascii="宋体" w:hAnsi="宋体" w:cs="宋体"/>
      <w:kern w:val="0"/>
      <w:sz w:val="24"/>
      <w:szCs w:val="24"/>
    </w:rPr>
  </w:style>
  <w:style w:type="paragraph" w:customStyle="1" w:styleId="51">
    <w:name w:val="line_bottom_red"/>
    <w:basedOn w:val="1"/>
    <w:qFormat/>
    <w:uiPriority w:val="99"/>
    <w:pPr>
      <w:widowControl/>
      <w:pBdr>
        <w:bottom w:val="single" w:color="CC0000" w:sz="12" w:space="0"/>
      </w:pBdr>
      <w:spacing w:before="100" w:beforeAutospacing="1" w:after="100" w:afterAutospacing="1"/>
      <w:jc w:val="left"/>
    </w:pPr>
    <w:rPr>
      <w:rFonts w:ascii="宋体" w:hAnsi="宋体" w:cs="宋体"/>
      <w:kern w:val="0"/>
      <w:sz w:val="24"/>
      <w:szCs w:val="24"/>
    </w:rPr>
  </w:style>
  <w:style w:type="paragraph" w:customStyle="1" w:styleId="52">
    <w:name w:val="newslist_red"/>
    <w:basedOn w:val="1"/>
    <w:qFormat/>
    <w:uiPriority w:val="99"/>
    <w:pPr>
      <w:widowControl/>
      <w:pBdr>
        <w:bottom w:val="single" w:color="CC0000" w:sz="12" w:space="0"/>
      </w:pBdr>
      <w:spacing w:before="100" w:beforeAutospacing="1" w:after="100" w:afterAutospacing="1" w:line="525" w:lineRule="atLeast"/>
      <w:jc w:val="center"/>
    </w:pPr>
    <w:rPr>
      <w:rFonts w:ascii="宋体" w:hAnsi="宋体" w:cs="宋体"/>
      <w:color w:val="AD0606"/>
      <w:kern w:val="0"/>
      <w:szCs w:val="21"/>
    </w:rPr>
  </w:style>
  <w:style w:type="paragraph" w:customStyle="1" w:styleId="53">
    <w:name w:val="newslist_black"/>
    <w:basedOn w:val="1"/>
    <w:qFormat/>
    <w:uiPriority w:val="99"/>
    <w:pPr>
      <w:widowControl/>
      <w:spacing w:before="100" w:beforeAutospacing="1" w:after="100" w:afterAutospacing="1" w:line="525" w:lineRule="atLeast"/>
      <w:jc w:val="center"/>
    </w:pPr>
    <w:rPr>
      <w:rFonts w:ascii="宋体" w:hAnsi="宋体" w:cs="宋体"/>
      <w:kern w:val="0"/>
      <w:szCs w:val="21"/>
    </w:rPr>
  </w:style>
  <w:style w:type="paragraph" w:customStyle="1" w:styleId="54">
    <w:name w:val="zwgk"/>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
    <w:name w:val="zwgk_top"/>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
    <w:name w:val="zwgk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fwym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bs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hd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0">
    <w:name w:val="ymzc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1">
    <w:name w:val="martop9"/>
    <w:basedOn w:val="1"/>
    <w:qFormat/>
    <w:uiPriority w:val="99"/>
    <w:pPr>
      <w:widowControl/>
      <w:spacing w:before="135" w:after="100" w:afterAutospacing="1"/>
      <w:jc w:val="left"/>
    </w:pPr>
    <w:rPr>
      <w:rFonts w:ascii="宋体" w:hAnsi="宋体" w:cs="宋体"/>
      <w:kern w:val="0"/>
      <w:sz w:val="24"/>
      <w:szCs w:val="24"/>
    </w:rPr>
  </w:style>
  <w:style w:type="paragraph" w:customStyle="1" w:styleId="62">
    <w:name w:val="marleft20"/>
    <w:basedOn w:val="1"/>
    <w:qFormat/>
    <w:uiPriority w:val="99"/>
    <w:pPr>
      <w:widowControl/>
      <w:spacing w:before="100" w:beforeAutospacing="1" w:after="100" w:afterAutospacing="1"/>
      <w:ind w:left="300"/>
      <w:jc w:val="left"/>
    </w:pPr>
    <w:rPr>
      <w:rFonts w:ascii="宋体" w:hAnsi="宋体" w:cs="宋体"/>
      <w:kern w:val="0"/>
      <w:sz w:val="24"/>
      <w:szCs w:val="24"/>
    </w:rPr>
  </w:style>
  <w:style w:type="paragraph" w:customStyle="1" w:styleId="63">
    <w:name w:val="zwgk_left_top"/>
    <w:basedOn w:val="1"/>
    <w:qFormat/>
    <w:uiPriority w:val="99"/>
    <w:pPr>
      <w:widowControl/>
      <w:spacing w:before="100" w:beforeAutospacing="1" w:after="100" w:afterAutospacing="1" w:line="495" w:lineRule="atLeast"/>
      <w:jc w:val="left"/>
    </w:pPr>
    <w:rPr>
      <w:rFonts w:ascii="宋体" w:hAnsi="宋体" w:cs="宋体"/>
      <w:b/>
      <w:bCs/>
      <w:color w:val="CC0000"/>
      <w:kern w:val="0"/>
      <w:szCs w:val="21"/>
    </w:rPr>
  </w:style>
  <w:style w:type="paragraph" w:customStyle="1" w:styleId="64">
    <w:name w:val="zwgk_nav_span"/>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65">
    <w:name w:val="zwgk_nav1"/>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6">
    <w:name w:val="zwgk_nav2"/>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7">
    <w:name w:val="zwgk_nav3"/>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8">
    <w:name w:val="zwgk_nav4"/>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9">
    <w:name w:val="zwgk_nav5"/>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0">
    <w:name w:val="zwgk_right_nav"/>
    <w:basedOn w:val="1"/>
    <w:qFormat/>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71">
    <w:name w:val="zwgk_right_nav1"/>
    <w:basedOn w:val="1"/>
    <w:qFormat/>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72">
    <w:name w:val="bs_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3">
    <w:name w:val="bs_tab_bar"/>
    <w:basedOn w:val="1"/>
    <w:qFormat/>
    <w:uiPriority w:val="99"/>
    <w:pPr>
      <w:widowControl/>
      <w:spacing w:before="100" w:beforeAutospacing="1" w:after="100" w:afterAutospacing="1" w:line="465" w:lineRule="atLeast"/>
      <w:jc w:val="left"/>
    </w:pPr>
    <w:rPr>
      <w:rFonts w:ascii="宋体" w:hAnsi="宋体" w:cs="宋体"/>
      <w:b/>
      <w:bCs/>
      <w:color w:val="CC0000"/>
      <w:kern w:val="0"/>
      <w:szCs w:val="21"/>
    </w:rPr>
  </w:style>
  <w:style w:type="paragraph" w:customStyle="1" w:styleId="74">
    <w:name w:val="link_line"/>
    <w:basedOn w:val="1"/>
    <w:qFormat/>
    <w:uiPriority w:val="99"/>
    <w:pPr>
      <w:widowControl/>
      <w:pBdr>
        <w:bottom w:val="single" w:color="CC0000" w:sz="18" w:space="0"/>
      </w:pBdr>
      <w:spacing w:before="100" w:beforeAutospacing="1" w:after="100" w:afterAutospacing="1"/>
      <w:jc w:val="left"/>
    </w:pPr>
    <w:rPr>
      <w:rFonts w:ascii="宋体" w:hAnsi="宋体" w:cs="宋体"/>
      <w:kern w:val="0"/>
      <w:sz w:val="24"/>
      <w:szCs w:val="24"/>
    </w:rPr>
  </w:style>
  <w:style w:type="paragraph" w:customStyle="1" w:styleId="75">
    <w:name w:val="xl_titel"/>
    <w:basedOn w:val="1"/>
    <w:qFormat/>
    <w:uiPriority w:val="99"/>
    <w:pPr>
      <w:widowControl/>
      <w:spacing w:before="100" w:beforeAutospacing="1" w:after="100" w:afterAutospacing="1"/>
      <w:jc w:val="left"/>
    </w:pPr>
    <w:rPr>
      <w:rFonts w:ascii="宋体" w:hAnsi="宋体" w:cs="宋体"/>
      <w:kern w:val="0"/>
      <w:sz w:val="36"/>
      <w:szCs w:val="36"/>
    </w:rPr>
  </w:style>
  <w:style w:type="paragraph" w:customStyle="1" w:styleId="76">
    <w:name w:val="xl_con"/>
    <w:basedOn w:val="1"/>
    <w:qFormat/>
    <w:uiPriority w:val="99"/>
    <w:pPr>
      <w:widowControl/>
      <w:spacing w:before="100" w:beforeAutospacing="1" w:after="100" w:afterAutospacing="1" w:line="450" w:lineRule="atLeast"/>
      <w:jc w:val="left"/>
    </w:pPr>
    <w:rPr>
      <w:rFonts w:ascii="宋体" w:hAnsi="宋体" w:cs="宋体"/>
      <w:kern w:val="0"/>
      <w:szCs w:val="21"/>
    </w:rPr>
  </w:style>
  <w:style w:type="paragraph" w:customStyle="1" w:styleId="77">
    <w:name w:val="tabmore"/>
    <w:basedOn w:val="1"/>
    <w:qFormat/>
    <w:uiPriority w:val="99"/>
    <w:pPr>
      <w:widowControl/>
      <w:spacing w:before="100" w:beforeAutospacing="1" w:after="100" w:afterAutospacing="1" w:line="450" w:lineRule="atLeast"/>
      <w:jc w:val="left"/>
    </w:pPr>
    <w:rPr>
      <w:rFonts w:ascii="宋体" w:hAnsi="宋体" w:cs="宋体"/>
      <w:kern w:val="0"/>
      <w:sz w:val="24"/>
      <w:szCs w:val="24"/>
    </w:rPr>
  </w:style>
  <w:style w:type="paragraph" w:customStyle="1" w:styleId="78">
    <w:name w:val="grid1"/>
    <w:basedOn w:val="1"/>
    <w:qFormat/>
    <w:uiPriority w:val="99"/>
    <w:pPr>
      <w:widowControl/>
      <w:pBdr>
        <w:top w:val="single" w:color="DDDDDD" w:sz="6" w:space="2"/>
        <w:left w:val="single" w:color="DDDDDD" w:sz="6" w:space="2"/>
        <w:bottom w:val="single" w:color="DDDDDD" w:sz="6" w:space="2"/>
        <w:right w:val="single" w:color="DDDDDD" w:sz="6" w:space="2"/>
      </w:pBdr>
      <w:jc w:val="left"/>
    </w:pPr>
    <w:rPr>
      <w:rFonts w:ascii="宋体" w:hAnsi="宋体" w:cs="宋体"/>
      <w:kern w:val="0"/>
      <w:sz w:val="24"/>
      <w:szCs w:val="24"/>
    </w:rPr>
  </w:style>
  <w:style w:type="paragraph" w:customStyle="1" w:styleId="79">
    <w:name w:val="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0">
    <w:name w:val="tr_color_1"/>
    <w:basedOn w:val="1"/>
    <w:qFormat/>
    <w:uiPriority w:val="99"/>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81">
    <w:name w:val="hj-easyread-smoothtips"/>
    <w:basedOn w:val="1"/>
    <w:qFormat/>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82">
    <w:name w:val="hj-easyread-contai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
    <w:name w:val="navmenu"/>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4">
    <w:name w:val="searc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5">
    <w:name w:val="lef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6">
    <w:name w:val="righ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7">
    <w:name w:val="newspic"/>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8">
    <w:name w:val="rightnews"/>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titlefont"/>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0">
    <w:name w:val="smooth-lf"/>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1">
    <w:name w:val="smooth"/>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2">
    <w:name w:val="w980"/>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smooth-box"/>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4">
    <w:name w:val="tipscontrol-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5">
    <w:name w:val="returntotop-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6">
    <w:name w:val="hj-easyread-icons"/>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7">
    <w:name w:val="date"/>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8">
    <w:name w:val="current"/>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xwsd"/>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0">
    <w:name w:val="gsgg"/>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hj-easyread-sider-btns-item"/>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102">
    <w:name w:val="hj-easyread-speakerprocesser-position-action-icon"/>
    <w:basedOn w:val="13"/>
    <w:uiPriority w:val="99"/>
    <w:rPr>
      <w:rFonts w:cs="Times New Roman"/>
    </w:rPr>
  </w:style>
  <w:style w:type="paragraph" w:customStyle="1" w:styleId="103">
    <w:name w:val="navmenu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4">
    <w:name w:val="current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5">
    <w:name w:val="search1"/>
    <w:basedOn w:val="1"/>
    <w:uiPriority w:val="99"/>
    <w:pPr>
      <w:widowControl/>
      <w:spacing w:line="660" w:lineRule="atLeast"/>
      <w:jc w:val="left"/>
    </w:pPr>
    <w:rPr>
      <w:rFonts w:ascii="宋体" w:hAnsi="宋体" w:cs="宋体"/>
      <w:kern w:val="0"/>
      <w:sz w:val="24"/>
      <w:szCs w:val="24"/>
    </w:rPr>
  </w:style>
  <w:style w:type="paragraph" w:customStyle="1" w:styleId="106">
    <w:name w:val="leftline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7">
    <w:name w:val="rightline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8">
    <w:name w:val="newspic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9">
    <w:name w:val="rightnews1"/>
    <w:basedOn w:val="1"/>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110">
    <w:name w:val="xwsd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1">
    <w:name w:val="gsgg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2">
    <w:name w:val="date1"/>
    <w:basedOn w:val="1"/>
    <w:uiPriority w:val="99"/>
    <w:pPr>
      <w:widowControl/>
      <w:spacing w:before="100" w:beforeAutospacing="1" w:after="100" w:afterAutospacing="1"/>
      <w:jc w:val="center"/>
    </w:pPr>
    <w:rPr>
      <w:rFonts w:ascii="宋体" w:hAnsi="宋体" w:cs="宋体"/>
      <w:kern w:val="0"/>
      <w:sz w:val="18"/>
      <w:szCs w:val="18"/>
    </w:rPr>
  </w:style>
  <w:style w:type="paragraph" w:customStyle="1" w:styleId="113">
    <w:name w:val="titlefont1"/>
    <w:basedOn w:val="1"/>
    <w:uiPriority w:val="99"/>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114">
    <w:name w:val="smooth-lf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5">
    <w:name w:val="smooth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6">
    <w:name w:val="w9801"/>
    <w:basedOn w:val="1"/>
    <w:uiPriority w:val="99"/>
    <w:pPr>
      <w:widowControl/>
      <w:jc w:val="left"/>
    </w:pPr>
    <w:rPr>
      <w:rFonts w:ascii="宋体" w:hAnsi="宋体" w:cs="宋体"/>
      <w:kern w:val="0"/>
      <w:sz w:val="24"/>
      <w:szCs w:val="24"/>
    </w:rPr>
  </w:style>
  <w:style w:type="paragraph" w:customStyle="1" w:styleId="117">
    <w:name w:val="smooth-box1"/>
    <w:basedOn w:val="1"/>
    <w:uiPriority w:val="99"/>
    <w:pPr>
      <w:widowControl/>
      <w:spacing w:before="100" w:beforeAutospacing="1" w:after="100" w:afterAutospacing="1"/>
      <w:jc w:val="right"/>
    </w:pPr>
    <w:rPr>
      <w:rFonts w:ascii="宋体" w:hAnsi="宋体" w:cs="宋体"/>
      <w:kern w:val="0"/>
      <w:sz w:val="24"/>
      <w:szCs w:val="24"/>
    </w:rPr>
  </w:style>
  <w:style w:type="paragraph" w:customStyle="1" w:styleId="118">
    <w:name w:val="hj-easyread-sider-btns-item1"/>
    <w:basedOn w:val="1"/>
    <w:uiPriority w:val="99"/>
    <w:pPr>
      <w:widowControl/>
      <w:spacing w:before="100" w:beforeAutospacing="1" w:after="100" w:afterAutospacing="1"/>
      <w:jc w:val="left"/>
    </w:pPr>
    <w:rPr>
      <w:rFonts w:ascii="宋体" w:hAnsi="宋体" w:cs="宋体"/>
      <w:vanish/>
      <w:kern w:val="0"/>
      <w:sz w:val="24"/>
      <w:szCs w:val="24"/>
    </w:rPr>
  </w:style>
  <w:style w:type="character" w:customStyle="1" w:styleId="119">
    <w:name w:val="hj-easyread-speakerprocesser-position-action-icon1"/>
    <w:basedOn w:val="13"/>
    <w:uiPriority w:val="99"/>
    <w:rPr>
      <w:rFonts w:cs="Times New Roman"/>
      <w:shd w:val="clear" w:color="auto" w:fill="auto"/>
    </w:rPr>
  </w:style>
  <w:style w:type="paragraph" w:customStyle="1" w:styleId="120">
    <w:name w:val="tipscontrol-btn1"/>
    <w:basedOn w:val="1"/>
    <w:uiPriority w:val="99"/>
    <w:pPr>
      <w:widowControl/>
      <w:spacing w:before="100" w:beforeAutospacing="1" w:after="135" w:line="536853376" w:lineRule="auto"/>
      <w:jc w:val="left"/>
    </w:pPr>
    <w:rPr>
      <w:rFonts w:ascii="宋体" w:hAnsi="宋体" w:cs="宋体"/>
      <w:kern w:val="0"/>
      <w:sz w:val="2"/>
      <w:szCs w:val="2"/>
    </w:rPr>
  </w:style>
  <w:style w:type="paragraph" w:customStyle="1" w:styleId="121">
    <w:name w:val="returntotop-btn1"/>
    <w:basedOn w:val="1"/>
    <w:uiPriority w:val="99"/>
    <w:pPr>
      <w:widowControl/>
      <w:spacing w:before="100" w:beforeAutospacing="1" w:after="100" w:afterAutospacing="1" w:line="536853376" w:lineRule="auto"/>
      <w:jc w:val="left"/>
    </w:pPr>
    <w:rPr>
      <w:rFonts w:ascii="宋体" w:hAnsi="宋体" w:cs="宋体"/>
      <w:kern w:val="0"/>
      <w:sz w:val="2"/>
      <w:szCs w:val="2"/>
    </w:rPr>
  </w:style>
  <w:style w:type="paragraph" w:customStyle="1" w:styleId="122">
    <w:name w:val="hj-easyread-icons1"/>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123">
    <w:name w:val="页眉 Char"/>
    <w:basedOn w:val="13"/>
    <w:link w:val="10"/>
    <w:semiHidden/>
    <w:locked/>
    <w:uiPriority w:val="99"/>
    <w:rPr>
      <w:rFonts w:cs="Times New Roman"/>
      <w:sz w:val="18"/>
      <w:szCs w:val="18"/>
    </w:rPr>
  </w:style>
  <w:style w:type="character" w:customStyle="1" w:styleId="124">
    <w:name w:val="页脚 Char"/>
    <w:basedOn w:val="13"/>
    <w:link w:val="9"/>
    <w:locked/>
    <w:uiPriority w:val="99"/>
    <w:rPr>
      <w:rFonts w:cs="Times New Roman"/>
      <w:sz w:val="18"/>
      <w:szCs w:val="18"/>
    </w:rPr>
  </w:style>
  <w:style w:type="paragraph" w:styleId="125">
    <w:name w:val="List Paragraph"/>
    <w:basedOn w:val="1"/>
    <w:qFormat/>
    <w:uiPriority w:val="99"/>
    <w:pPr>
      <w:ind w:firstLine="420" w:firstLineChars="200"/>
    </w:pPr>
  </w:style>
  <w:style w:type="paragraph" w:customStyle="1" w:styleId="126">
    <w:name w:val="reader-word-layer"/>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27">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10</Pages>
  <Words>773</Words>
  <Characters>4408</Characters>
  <Lines>36</Lines>
  <Paragraphs>10</Paragraphs>
  <TotalTime>9</TotalTime>
  <ScaleCrop>false</ScaleCrop>
  <LinksUpToDate>false</LinksUpToDate>
  <CharactersWithSpaces>5171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2015-10-07T02:35:00Z</dcterms:created>
  <dc:creator>ASUS</dc:creator>
  <cp:lastModifiedBy>Administrator</cp:lastModifiedBy>
  <cp:lastPrinted>2018-04-16T00:45:00Z</cp:lastPrinted>
  <dcterms:modified xsi:type="dcterms:W3CDTF">2025-04-22T08:33:55Z</dcterms:modified>
  <dc:title>2014年度常德市社会劳动保险处</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ABCB11F63E794272AD9AB5936B03CEFB</vt:lpwstr>
  </property>
</Properties>
</file>