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hint="eastAsia" w:ascii="Times New Roman" w:hAnsi="Times New Roman" w:eastAsiaTheme="majorEastAsia"/>
          <w:b/>
          <w:kern w:val="0"/>
          <w:sz w:val="44"/>
          <w:szCs w:val="44"/>
        </w:rPr>
        <w:t>澧县人民政府澧浦街道办事处</w:t>
      </w: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21</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整体</w:t>
      </w:r>
      <w:r>
        <w:rPr>
          <w:rFonts w:ascii="Times New Roman" w:hAnsi="Times New Roman" w:eastAsiaTheme="majorEastAsia"/>
          <w:b/>
          <w:kern w:val="0"/>
          <w:sz w:val="44"/>
          <w:szCs w:val="44"/>
        </w:rPr>
        <w:t>绩效评价报告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widowControl/>
        <w:spacing w:line="315" w:lineRule="atLeast"/>
        <w:ind w:firstLine="480"/>
        <w:rPr>
          <w:rFonts w:ascii="仿宋_GB2312" w:hAnsi="仿宋" w:eastAsia="仿宋_GB2312"/>
          <w:sz w:val="32"/>
          <w:szCs w:val="32"/>
        </w:rPr>
      </w:pPr>
      <w:r>
        <w:rPr>
          <w:rFonts w:hint="eastAsia" w:ascii="仿宋" w:hAnsi="仿宋" w:eastAsia="仿宋" w:cs="仿宋"/>
          <w:color w:val="000000" w:themeColor="text1"/>
          <w:sz w:val="32"/>
          <w:szCs w:val="32"/>
        </w:rPr>
        <w:t>澧县人民政府澧浦街道办事处为独立核算的行政单位，属一级预算单位，经费来源是全额拨款，执行政府会计制度，当年无变动情况。</w:t>
      </w:r>
      <w:r>
        <w:rPr>
          <w:rFonts w:hint="eastAsia" w:ascii="仿宋_GB2312" w:hAnsi="仿宋" w:eastAsia="仿宋_GB2312"/>
          <w:sz w:val="32"/>
          <w:szCs w:val="32"/>
        </w:rPr>
        <w:t>2021年，我街道办行政编制人数为23个，与上年相同；实有人数22个，比上年减少6个，减少原因为机关工作人员正常异动。2021年，我街道办事业编制人数31个，与上年相同；实有人数31个。</w:t>
      </w:r>
    </w:p>
    <w:p>
      <w:pPr>
        <w:spacing w:line="600" w:lineRule="exact"/>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加强党的建设。落实基层党建工作责任制，统筹社区（村）区域化党建，加强非公有制经济组织和社会组织党建工作，实现党的组织和工作全覆盖。加强意识形态阵地及队伍建设。不断提高党的建设质量，落实管党治党责任，推动全面</w:t>
      </w:r>
      <w:r>
        <w:rPr>
          <w:rFonts w:hint="eastAsia" w:ascii="仿宋" w:hAnsi="仿宋" w:eastAsia="仿宋" w:cs="仿宋"/>
          <w:color w:val="000000" w:themeColor="text1"/>
          <w:sz w:val="32"/>
          <w:szCs w:val="32"/>
          <w:lang w:val="en-US" w:eastAsia="zh-CN"/>
        </w:rPr>
        <w:t>从严</w:t>
      </w:r>
      <w:r>
        <w:rPr>
          <w:rFonts w:hint="eastAsia" w:ascii="仿宋" w:hAnsi="仿宋" w:eastAsia="仿宋" w:cs="仿宋"/>
          <w:color w:val="000000" w:themeColor="text1"/>
          <w:sz w:val="32"/>
          <w:szCs w:val="32"/>
        </w:rPr>
        <w:t>治党向基层延伸。</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（2）统筹区域发展。参与拟订县级关于辖区发展的重大决策和建设规划并统筹落实，负责促进辖区经济建设，承担优化发展环境、采集企业信息、服务辖区企业、促进项目发展等工作。</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组织公共服务。组织实施与社区（村）民生活密切相关的各项公共服务事项，落实人力资源社会保障、民政、教育、科技、文化、体育、卫生健康、退役军人事务、社区（村）民小区物业管理等领域相关法规政策。动员辖区内各类单位、社会组织、社区（村）民等社会力量参与社会治理，为全镇发展服务。</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（4）实施公共管理。负责辖区内生态环境保护、城镇管理、控违拆违、征地拆迁等综合性管理工作。</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（5）维护公共安全。承担辖区内社会治安综合治理、平安建设、应急管理等有关工作，接待群众来信来访，反映社情民意，化解矛盾纠纷等。</w:t>
      </w:r>
    </w:p>
    <w:p>
      <w:pPr>
        <w:widowControl/>
        <w:spacing w:line="315" w:lineRule="atLeast"/>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（6）监督执法管理。对辖区内各类行政执法工作进行统筹协调，组织开展群众监督和社会监督。</w:t>
      </w:r>
    </w:p>
    <w:p>
      <w:pPr>
        <w:snapToGrid w:val="0"/>
        <w:spacing w:line="52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（7）保障居民自治。指导社区（村）委员会建设，健全社区（村）民自治平台，组织社区（村）民参与社区（村）建设、管理。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28"/>
        <w:rPr>
          <w:rFonts w:ascii="Times New Roman" w:hAnsi="Times New Roman" w:eastAsia="仿宋_GB2312"/>
          <w:color w:val="222222"/>
          <w:sz w:val="32"/>
          <w:szCs w:val="32"/>
        </w:rPr>
      </w:pPr>
      <w:r>
        <w:rPr>
          <w:rFonts w:ascii="Times New Roman" w:hAnsi="Times New Roman" w:eastAsia="仿宋_GB2312"/>
          <w:color w:val="222222"/>
          <w:sz w:val="32"/>
          <w:szCs w:val="32"/>
        </w:rPr>
        <w:t>（一）部门整体支出情况</w:t>
      </w:r>
    </w:p>
    <w:p>
      <w:pPr>
        <w:pStyle w:val="128"/>
        <w:ind w:firstLine="480" w:firstLineChars="15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2021年度财政拨款支出1,637.53万元，主要用于以下方面：一般公共服务支出668.09万元，占40.79%；公共安全支出1.92万元，占0.12%；文化旅游体育与传媒支出99.36万元，占6.07%；社会保障和就业支出55.74万元，占3.4%；卫生健康支出26.08万元，占1.59%；节能环保支出15.02万元，占0.92%；城乡社区支出89.5万元，占5.47%；农林水支出595.06万元，占36.34%；交通运输支出6.69万元，占0.41%；住房保障支出41.73万元，占2.55%；粮油物资储备支出0.36万元，占0.02%；灾害防治及应急管理支出38万元，占2.32%。</w:t>
      </w:r>
    </w:p>
    <w:p>
      <w:pPr>
        <w:pStyle w:val="128"/>
        <w:rPr>
          <w:rFonts w:ascii="Times New Roman" w:hAnsi="Times New Roman" w:eastAsia="仿宋_GB2312"/>
          <w:color w:val="222222"/>
          <w:sz w:val="32"/>
          <w:szCs w:val="32"/>
        </w:rPr>
      </w:pPr>
      <w:r>
        <w:rPr>
          <w:rFonts w:ascii="Times New Roman" w:hAnsi="Times New Roman" w:eastAsia="仿宋_GB2312"/>
          <w:color w:val="222222"/>
          <w:sz w:val="32"/>
          <w:szCs w:val="32"/>
        </w:rPr>
        <w:t>（二）部门预算收支决算情况</w:t>
      </w:r>
    </w:p>
    <w:p>
      <w:pPr>
        <w:pStyle w:val="129"/>
        <w:spacing w:before="0" w:beforeAutospacing="0" w:after="2" w:afterAutospacing="0"/>
        <w:ind w:firstLine="64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2021年度收入合计1,705.84万元，其中：财政拨款收入1,705.84万元，占100%；上级补助收入0万元，占0%；事业收入0万元，占0%；经营收入0万元，占0%；附属单位上缴收入0万元，占0%；其他收入0万元，占0%。</w:t>
      </w:r>
    </w:p>
    <w:p>
      <w:pPr>
        <w:pStyle w:val="129"/>
        <w:spacing w:before="0" w:beforeAutospacing="0" w:after="2" w:afterAutospacing="0"/>
        <w:ind w:firstLine="64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2021年度支出合计1,729.19万元，其中：基本支出669万元，占38.69%；项目支出1,060.19万元，占61.31%；上缴上级支出0万元，占0%；经营支出0万元，占0%；对附属单位补助支出0万元，占0%。</w:t>
      </w:r>
    </w:p>
    <w:p>
      <w:pPr>
        <w:pStyle w:val="128"/>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pStyle w:val="129"/>
        <w:spacing w:before="0" w:beforeAutospacing="0" w:after="2" w:afterAutospacing="0"/>
        <w:ind w:firstLine="64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2021年度“三公”经费财政拨款支出决算中，公务接待费支出决算28.5万元，占95.16%，因公出国（境）费支出决算0万元，占0%，公务用车购置费及运行维护费支出决算1.45万元，占4.84%。其中：</w:t>
      </w:r>
    </w:p>
    <w:p>
      <w:pPr>
        <w:pStyle w:val="129"/>
        <w:spacing w:before="0" w:beforeAutospacing="0" w:after="2" w:afterAutospacing="0"/>
        <w:ind w:firstLine="64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1、因公出国（境）费支出决算为0万元，全年安排因公出国（境）团组0个，累计0人次，我单位2021年度无因公出国（境）费支出。</w:t>
      </w:r>
    </w:p>
    <w:p>
      <w:pPr>
        <w:pStyle w:val="129"/>
        <w:spacing w:before="0" w:beforeAutospacing="0" w:after="2" w:afterAutospacing="0"/>
        <w:ind w:firstLine="64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2、公务接待费支出决算为28.5万元，全年共接待来访团组300个、来宾3,700人次，主要是脱贫攻坚迎检、创建省级红旗财政所以及各站所公务接待发生的接待支出。</w:t>
      </w:r>
    </w:p>
    <w:p>
      <w:pPr>
        <w:pStyle w:val="129"/>
        <w:spacing w:before="0" w:beforeAutospacing="0" w:after="2" w:afterAutospacing="0"/>
        <w:ind w:firstLine="640"/>
        <w:rPr>
          <w:rFonts w:ascii="仿宋" w:hAnsi="仿宋" w:eastAsia="仿宋" w:cs="仿宋"/>
          <w:color w:val="000000" w:themeColor="text1"/>
          <w:kern w:val="2"/>
          <w:sz w:val="32"/>
          <w:szCs w:val="32"/>
        </w:rPr>
      </w:pPr>
      <w:r>
        <w:rPr>
          <w:rFonts w:hint="eastAsia" w:ascii="仿宋" w:hAnsi="仿宋" w:eastAsia="仿宋" w:cs="仿宋"/>
          <w:color w:val="000000" w:themeColor="text1"/>
          <w:kern w:val="2"/>
          <w:sz w:val="32"/>
          <w:szCs w:val="32"/>
        </w:rPr>
        <w:t>3、公务用车购置费及运行维护费支出决算为1.45万元，其中：公务用车购置费0万元，澧县人民政府澧浦街道办事处更新公务用车</w:t>
      </w:r>
      <w:r>
        <w:rPr>
          <w:rFonts w:hint="eastAsia" w:ascii="仿宋" w:hAnsi="仿宋" w:eastAsia="仿宋" w:cs="仿宋"/>
          <w:color w:val="000000" w:themeColor="text1"/>
          <w:kern w:val="2"/>
        </w:rPr>
        <w:t>0</w:t>
      </w:r>
      <w:r>
        <w:rPr>
          <w:rFonts w:hint="eastAsia" w:ascii="仿宋" w:hAnsi="仿宋" w:eastAsia="仿宋" w:cs="仿宋"/>
          <w:color w:val="000000" w:themeColor="text1"/>
          <w:kern w:val="2"/>
          <w:sz w:val="32"/>
          <w:szCs w:val="32"/>
        </w:rPr>
        <w:t>辆。公务用车运行维护费1.45万元，主要是加油维修保养及保险费支出，截至2021年12月31日，我单位开支财政拨款的公务用车保有量为1辆。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firstLine="420" w:firstLineChars="200"/>
        <w:rPr>
          <w:rFonts w:ascii="仿宋" w:hAnsi="仿宋" w:eastAsia="仿宋" w:cs="仿宋"/>
          <w:color w:val="000000" w:themeColor="text1"/>
          <w:sz w:val="32"/>
          <w:szCs w:val="32"/>
        </w:rPr>
      </w:pPr>
      <w:r>
        <w:rPr>
          <w:rFonts w:hint="eastAsia"/>
          <w:color w:val="FF0000"/>
        </w:rPr>
        <w:t xml:space="preserve"> </w:t>
      </w:r>
      <w:r>
        <w:rPr>
          <w:rFonts w:hint="eastAsia" w:ascii="仿宋" w:hAnsi="仿宋" w:eastAsia="仿宋" w:cs="仿宋"/>
          <w:color w:val="000000" w:themeColor="text1"/>
          <w:sz w:val="32"/>
          <w:szCs w:val="32"/>
        </w:rPr>
        <w:t>(一)落实主体责任，形成工作合力。按照“谁主管、谁使用、谁负责”的原则，强化预算部门绩效管理的主体责任，将绩效目标、绩效监控、部门自评等绩效工具，作为提高资金使用效益的重要抓手;财政部门通过检查、督促、重点评价等方式进行监督管理。为了提高财政重点绩效评价的质量，我们将继续邀请部分专业领域的人大代表和政协委员共同参与,合谋共评。</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推动绩效管理提质扩面，将财政重点延伸到事前，推进全过程绩效管理。为了更紧密衔接预算，将财政绩效工作重点从事后延伸至预算编制前端。通过审核绩效目标来确定项目预算资金额度，并建立起不同年度间的可量化绩效目标数据对比，提高预算编审的科学性，结合项目库建设，进一步加大财政事前评审工作力度。围绕预算编制中的改革需求，以重要性为原则精选项目，组织专门力量进行集中评审，并将评审结果作为项目入库、预算安排的重要依据。</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加强评价结果应用，提高部门绩效监控和自评工作质量。对监控中预算无绩效、低绩效、达不到主要预期目标的项目，预算部门要及时将资金调剂用于其他有条件项目，加快支出进度;对自评开展较好的预算部门，将在今后预算安排时予以优先支持，对开展较差的项目将按规定停止拨款、调减预算。对未按规定开展绩效监控和单位自评的，由镇财政在一定范围内予以通报，并作为街道办对各部门绩效考核的重要依据。</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逐步公开，营造良好的社会氛围。绩效管理工作最终目标是打造一个透明高效的政府。逐步推动各预算单位将绩效目标、自评结果等在一定范围内公开。对一些社会关注度高、影响力大的民生项目和重点项目的绩效情况，将逐步依法向社会公开。通过在“阳光下”运行，提升绩效管理工作的质量和效果。</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1、严格落实《预算法》及主管部门绩效管理的相关制度和规定，进一步规范和落实财政资金的专项管理，强化财政支出绩效理念，提高资金使用效益。</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根据绩效评价的要求，我单位领导高度重视，成立了自评工作领导小组，由分管财务负责人任组长，相关站所负责人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1.党的建设不断</w:t>
      </w:r>
      <w:r>
        <w:rPr>
          <w:rFonts w:ascii="楷体_GB2312" w:hAnsi="楷体_GB2312" w:eastAsia="楷体_GB2312" w:cs="楷体_GB2312"/>
          <w:sz w:val="32"/>
          <w:szCs w:val="32"/>
        </w:rPr>
        <w:t>深化</w:t>
      </w:r>
      <w:r>
        <w:rPr>
          <w:rFonts w:hint="eastAsia" w:ascii="楷体_GB2312" w:hAnsi="楷体_GB2312" w:eastAsia="楷体_GB2312" w:cs="楷体_GB2312"/>
          <w:sz w:val="32"/>
          <w:szCs w:val="32"/>
        </w:rPr>
        <w:t>。</w:t>
      </w:r>
    </w:p>
    <w:p>
      <w:pPr>
        <w:pStyle w:val="11"/>
        <w:spacing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一是着力抓好思想建设。</w:t>
      </w:r>
      <w:r>
        <w:rPr>
          <w:rFonts w:hint="eastAsia" w:ascii="仿宋_GB2312" w:hAnsi="仿宋_GB2312" w:eastAsia="仿宋_GB2312" w:cs="仿宋_GB2312"/>
          <w:sz w:val="32"/>
          <w:szCs w:val="32"/>
        </w:rPr>
        <w:t>深入学习</w:t>
      </w:r>
      <w:r>
        <w:rPr>
          <w:rFonts w:hint="eastAsia" w:ascii="仿宋_GB2312" w:hAnsi="仿宋_GB2312" w:eastAsia="仿宋_GB2312" w:cs="仿宋_GB2312"/>
          <w:sz w:val="32"/>
          <w:szCs w:val="32"/>
          <w:lang w:val="en-US" w:eastAsia="zh-CN"/>
        </w:rPr>
        <w:t>贯彻</w:t>
      </w:r>
      <w:bookmarkStart w:id="1" w:name="_GoBack"/>
      <w:bookmarkEnd w:id="1"/>
      <w:r>
        <w:rPr>
          <w:rFonts w:hint="eastAsia" w:ascii="仿宋_GB2312" w:hAnsi="仿宋_GB2312" w:eastAsia="仿宋_GB2312" w:cs="仿宋_GB2312"/>
          <w:sz w:val="32"/>
          <w:szCs w:val="32"/>
          <w:lang w:val="en-US" w:eastAsia="zh-CN"/>
        </w:rPr>
        <w:t>党的</w:t>
      </w:r>
      <w:r>
        <w:rPr>
          <w:rFonts w:hint="eastAsia" w:ascii="仿宋_GB2312" w:hAnsi="仿宋_GB2312" w:eastAsia="仿宋_GB2312" w:cs="仿宋_GB2312"/>
          <w:sz w:val="32"/>
          <w:szCs w:val="32"/>
        </w:rPr>
        <w:t>十九大精神和十九届六中全会精神等系列讲话精神，结合党史学习教育工作，党的建设不断加强。发挥各界监督作用，落实依法、民主、科学的监督机制，努力完善保持党员先进性的长效机制，不断加强基层党组织建设，提高基层党组织的凝聚力和战斗力。</w:t>
      </w:r>
    </w:p>
    <w:p>
      <w:pPr>
        <w:pStyle w:val="11"/>
        <w:spacing w:line="56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二是加强干部队伍建设。</w:t>
      </w:r>
      <w:r>
        <w:rPr>
          <w:rFonts w:hint="eastAsia" w:ascii="仿宋_GB2312" w:hAnsi="仿宋_GB2312" w:eastAsia="仿宋_GB2312" w:cs="仿宋_GB2312"/>
          <w:sz w:val="32"/>
          <w:szCs w:val="32"/>
        </w:rPr>
        <w:t>村社换届圆满完成，新增35岁以下党组织书记3名，“两委”干部平均年龄下降6岁，大专学历以上占比57%，队伍结构进一步优化。加强对党组织书记和两委干部的教育培训，严把握新标准，认真落实“三会一课”制度，今年共纳新党员29名，全面提升基层党员素质和能力。支部“五化”全部达标，“一门式”服务推进有力。</w:t>
      </w:r>
    </w:p>
    <w:p>
      <w:pPr>
        <w:pStyle w:val="11"/>
        <w:spacing w:line="560" w:lineRule="exact"/>
        <w:ind w:left="0" w:leftChars="0"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三是强化意识形态管理</w:t>
      </w:r>
      <w:r>
        <w:rPr>
          <w:rFonts w:ascii="仿宋_GB2312" w:hAnsi="仿宋_GB2312" w:eastAsia="仿宋_GB2312" w:cs="仿宋_GB2312"/>
          <w:b/>
          <w:bCs/>
          <w:sz w:val="32"/>
          <w:szCs w:val="32"/>
        </w:rPr>
        <w:t>。</w:t>
      </w:r>
      <w:r>
        <w:rPr>
          <w:rFonts w:ascii="仿宋_GB2312" w:hAnsi="仿宋_GB2312" w:eastAsia="仿宋_GB2312" w:cs="仿宋_GB2312"/>
          <w:sz w:val="32"/>
          <w:szCs w:val="32"/>
        </w:rPr>
        <w:t>坚持</w:t>
      </w:r>
      <w:r>
        <w:rPr>
          <w:rFonts w:ascii="Times New Roman" w:hAnsi="Times New Roman" w:eastAsia="仿宋_GB2312" w:cs="Times New Roman"/>
          <w:sz w:val="32"/>
          <w:szCs w:val="32"/>
        </w:rPr>
        <w:t>党管意识形态原则，</w:t>
      </w:r>
      <w:r>
        <w:rPr>
          <w:rFonts w:hint="eastAsia" w:ascii="Times New Roman" w:hAnsi="Times New Roman" w:eastAsia="仿宋_GB2312" w:cs="Times New Roman"/>
          <w:sz w:val="32"/>
          <w:szCs w:val="32"/>
        </w:rPr>
        <w:t>压实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四个</w:t>
      </w:r>
      <w:r>
        <w:rPr>
          <w:rFonts w:ascii="Times New Roman" w:hAnsi="Times New Roman" w:eastAsia="仿宋_GB2312" w:cs="Times New Roman"/>
          <w:sz w:val="32"/>
          <w:szCs w:val="32"/>
        </w:rPr>
        <w:t>责任”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做到“</w:t>
      </w:r>
      <w:r>
        <w:rPr>
          <w:rFonts w:hint="eastAsia" w:ascii="Times New Roman" w:hAnsi="Times New Roman" w:eastAsia="仿宋_GB2312" w:cs="Times New Roman"/>
          <w:sz w:val="32"/>
          <w:szCs w:val="32"/>
        </w:rPr>
        <w:t>四个</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牢牢把握意识形态工作领导权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认真履行职责，定期部署研判，</w:t>
      </w:r>
      <w:r>
        <w:rPr>
          <w:rFonts w:hint="eastAsia" w:ascii="Times New Roman" w:hAnsi="Times New Roman" w:eastAsia="仿宋_GB2312" w:cs="Times New Roman"/>
          <w:sz w:val="32"/>
          <w:szCs w:val="32"/>
        </w:rPr>
        <w:t>定期</w:t>
      </w:r>
      <w:r>
        <w:rPr>
          <w:rFonts w:ascii="Times New Roman" w:hAnsi="Times New Roman" w:eastAsia="仿宋_GB2312" w:cs="Times New Roman"/>
          <w:sz w:val="32"/>
          <w:szCs w:val="32"/>
        </w:rPr>
        <w:t>召开专题会议，牢牢把控工作主动权。以党员的学习教育为重点，</w:t>
      </w:r>
      <w:r>
        <w:rPr>
          <w:rFonts w:hint="eastAsia" w:ascii="Times New Roman" w:hAnsi="Times New Roman" w:eastAsia="仿宋_GB2312" w:cs="Times New Roman"/>
          <w:sz w:val="32"/>
          <w:szCs w:val="32"/>
        </w:rPr>
        <w:t>今年</w:t>
      </w:r>
      <w:r>
        <w:rPr>
          <w:rFonts w:ascii="Times New Roman" w:hAnsi="Times New Roman" w:eastAsia="仿宋_GB2312" w:cs="Times New Roman"/>
          <w:sz w:val="32"/>
          <w:szCs w:val="32"/>
        </w:rPr>
        <w:t>来</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中心组学习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0次，党课教育</w:t>
      </w: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余次。引导党员加强“学习强国”学习，确保工作不偏向、不走调。打造幸福屋场，制定村规民约、家规家训。</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四是加强党风廉政建设。</w:t>
      </w:r>
      <w:r>
        <w:rPr>
          <w:rFonts w:hint="eastAsia" w:ascii="仿宋_GB2312" w:hAnsi="仿宋_GB2312" w:eastAsia="仿宋_GB2312" w:cs="仿宋_GB2312"/>
          <w:sz w:val="32"/>
          <w:szCs w:val="32"/>
        </w:rPr>
        <w:t>今年</w:t>
      </w:r>
      <w:r>
        <w:rPr>
          <w:rFonts w:ascii="仿宋_GB2312" w:hAnsi="仿宋_GB2312" w:eastAsia="仿宋_GB2312" w:cs="仿宋_GB2312"/>
          <w:sz w:val="32"/>
          <w:szCs w:val="32"/>
        </w:rPr>
        <w:t>来共立案审查违纪党员干部2人，其中党内警告处分1人，留党察看1人，追缴各类违纪资金共计43700元。</w:t>
      </w:r>
      <w:r>
        <w:rPr>
          <w:rFonts w:hint="eastAsia" w:ascii="仿宋_GB2312" w:hAnsi="仿宋_GB2312" w:eastAsia="仿宋_GB2312" w:cs="仿宋_GB2312"/>
          <w:sz w:val="32"/>
          <w:szCs w:val="32"/>
        </w:rPr>
        <w:t>坚持谈心谈话制度、“以案说纪”活动和组织建制干部观看廉政教育片，以“身边人、身边事”教育应道干部廉洁从政；加大推介力度，全年信息上稿5篇。</w:t>
      </w:r>
      <w:r>
        <w:rPr>
          <w:rFonts w:hint="eastAsia" w:ascii="仿宋_GB2312" w:hAnsi="仿宋_GB2312" w:eastAsia="仿宋_GB2312" w:cs="仿宋_GB2312"/>
          <w:bCs/>
          <w:sz w:val="32"/>
          <w:szCs w:val="32"/>
        </w:rPr>
        <w:t>全力支持配合县委巡察工作，</w:t>
      </w:r>
      <w:r>
        <w:rPr>
          <w:rFonts w:hint="eastAsia" w:ascii="仿宋_GB2312" w:hAnsi="仿宋_GB2312" w:eastAsia="仿宋_GB2312" w:cs="仿宋_GB2312"/>
          <w:sz w:val="32"/>
          <w:szCs w:val="32"/>
        </w:rPr>
        <w:t>对巡察发现的问题不遮掩、不回避，积极整改反馈问题。</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2.乡村</w:t>
      </w:r>
      <w:r>
        <w:rPr>
          <w:rFonts w:ascii="楷体_GB2312" w:hAnsi="楷体_GB2312" w:eastAsia="楷体_GB2312" w:cs="楷体_GB2312"/>
          <w:sz w:val="32"/>
          <w:szCs w:val="32"/>
        </w:rPr>
        <w:t>振兴</w:t>
      </w:r>
      <w:r>
        <w:rPr>
          <w:rFonts w:hint="eastAsia" w:ascii="楷体_GB2312" w:hAnsi="楷体_GB2312" w:eastAsia="楷体_GB2312" w:cs="楷体_GB2312"/>
          <w:sz w:val="32"/>
          <w:szCs w:val="32"/>
        </w:rPr>
        <w:t>成效显著。</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一是农业工作圆满完成。</w:t>
      </w:r>
      <w:r>
        <w:rPr>
          <w:rFonts w:hint="eastAsia" w:ascii="仿宋_GB2312" w:hAnsi="仿宋_GB2312" w:eastAsia="仿宋_GB2312" w:cs="仿宋_GB2312"/>
          <w:sz w:val="32"/>
          <w:szCs w:val="32"/>
        </w:rPr>
        <w:t>完成粮油生产，完成5000亩的粮食生产任务。发放油菜种子、绿肥，助力提质增效。耕地地力保护补贴等惠农政策落到实处。加大监管农产品质量，全年送检各类果蔬样品全部达标合格，确保蔬菜环节安全，圆满完成受污染耕地调查。加强“大棚房”日常巡查治理，对辖区内“大棚房”进行全面摸排，发现问题，迅速整改。扎实推进“厕所革命”。深入农户家中挨家挨户上门宣传，对标对表、挂图作战，积极协调上级主管部门，进行现场指导施工标准和系统录入，密切联系厂家，确保厕具安装质量，目前厕具已全部埋设完毕。圆满完成春秋季动防工作。规范城市养犬行为，对辖区肉品摊位定期进行巡查检查，非瘟防控常态化，重点部位重点场所消毒灭源常态化，确保辖区不发生重大动物疫病，保证动物源性食品安全。推进退捕禁捕工作，配合县渔政日夜巡查，共出动车辆100余台次，出动人员400余人次。立案处理1人，收缴违规渔具30余件，有效遏制了辖区的非法捕捞行为，形成长效机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二是林业工作有力推进。</w:t>
      </w:r>
      <w:r>
        <w:rPr>
          <w:rFonts w:hint="eastAsia" w:ascii="仿宋_GB2312" w:hAnsi="仿宋_GB2312" w:eastAsia="仿宋_GB2312" w:cs="仿宋_GB2312"/>
          <w:sz w:val="32"/>
          <w:szCs w:val="32"/>
        </w:rPr>
        <w:t>3月份牵头组织了街道义务植树现场，义务植树7.8万株，完成中幼林抚育面积200亩，十回港村示范路三公里香橼和红叶石楠球改造。去冬今春共造植苗木3000余株，完成新建绿色庭院户50户，对辖区的树木进行了两次的修剪整形并刷白防虫，并聘请护林员落实树木管护责任。认真落实森林防火工作责任，结合疫情防控，更进一步落实对集贸市场和各类餐馆的巡查力度，确保辖区不发生一起非法野生动物交易事件发生。</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三是稳步推进产业发展。</w:t>
      </w:r>
      <w:r>
        <w:rPr>
          <w:rFonts w:hint="eastAsia" w:ascii="仿宋_GB2312" w:hAnsi="仿宋_GB2312" w:eastAsia="仿宋_GB2312" w:cs="仿宋_GB2312"/>
          <w:sz w:val="32"/>
          <w:szCs w:val="32"/>
        </w:rPr>
        <w:t>街道现有脱贫户、监测户共计253户699人。有产业发展意愿、有劳动能力、参与产业发展的贫困户40户。参与实用技术培训60余人次；合作社3个，带动脱贫户25户；家庭农场2个，带动38户。针对有产业发展能力和意愿的脱贫户，与企业、合作社协调，积极帮助发展种植、养殖产业，通过发放生产物资、供应低价化肥、提供技术服务等措施帮助发展。技术指导员入户指导种植技术，通过入户走访，指导脱贫户相关技术问题，讲解产业发展各方面要点，目前脱贫户对产业发展的认可度有所提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四是全面防治秸秆禁烧。</w:t>
      </w:r>
      <w:r>
        <w:rPr>
          <w:rFonts w:hint="eastAsia" w:ascii="仿宋_GB2312" w:hAnsi="仿宋_GB2312" w:eastAsia="仿宋_GB2312" w:cs="仿宋_GB2312"/>
          <w:sz w:val="32"/>
          <w:szCs w:val="32"/>
        </w:rPr>
        <w:t>春秋两季重点时段实行值班值守情况日报告，发放宣传资料2万余份，对社区村巡查发现火点及时督导扑灭，对上级检测督查发现的火点，及时汇同主管部门查处到位，责令写出公开检查、以案说法、以儆效尤。在皇山、十回港大面积水稻秸秆集中区域组织粉碎还田1500亩以上，刹住了遍地乱烧的现象。结合秸控办蓝天卫士网上火警报警系统，更好推动秸秆禁烧。</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五是防汛抗旱工作常抓不懈。</w:t>
      </w:r>
      <w:r>
        <w:rPr>
          <w:rFonts w:hint="eastAsia" w:ascii="仿宋_GB2312" w:hAnsi="仿宋_GB2312" w:eastAsia="仿宋_GB2312" w:cs="仿宋_GB2312"/>
          <w:sz w:val="32"/>
          <w:szCs w:val="32"/>
        </w:rPr>
        <w:t>安排专人对大堤穿堤建筑物、村管机埠、主要涵闸进行检查，街道辖区主排渠已疏通，村管支渠今年秋冬修已规划基本完成清淤扫障任务，二个农业村蓄水保水工程完好。组建营连防汛队伍，全体指挥所成员、营连干部对各自的防汛堤段和河渠集体踏勘和安全检查，并召开防汛演练大会。加强了防汛会商，坚持24小时值班制度，加强信息报送，确保防汛抗旱上传下达，政令畅通不误战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六是推进人居环境推进</w:t>
      </w:r>
      <w:r>
        <w:rPr>
          <w:rFonts w:ascii="仿宋_GB2312" w:hAnsi="仿宋_GB2312" w:eastAsia="仿宋_GB2312" w:cs="仿宋_GB2312"/>
          <w:b/>
          <w:bCs/>
          <w:sz w:val="32"/>
          <w:szCs w:val="32"/>
        </w:rPr>
        <w:t>有序</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成立了街道农村人居环境整治“挂图作战、星级管理”工作领导小组，建立健全卫生管理制度及村规民约。十回港村根据实际建立健全村容村貌环境卫生管理、村规民约、卫生检查评比等规章制度，落实农户“门前三包”。街道成立专班每日巡查、当日交办、确保不留死角，对巡查发现的问题及时整改，确保达到整齐、美观、清洁的效果。狠抓G207国道提质改造，公路沿线10米内扫障、平整已全部完成，空地安装了围网；共拆除立式广告牌60多块，对4家无证作坊立案调查，对10家脏乱作坊设立绿色围挡；十回港村对G207段房前有菜园的43户农户进行集中整理规划,全部退后到公路路基10米以外，统一设置了绿色围网；</w:t>
      </w:r>
      <w:r>
        <w:rPr>
          <w:rFonts w:ascii="仿宋_GB2312" w:hAnsi="仿宋_GB2312" w:eastAsia="仿宋_GB2312" w:cs="仿宋_GB2312"/>
          <w:sz w:val="32"/>
          <w:szCs w:val="32"/>
        </w:rPr>
        <w:t>全面完成G207沿线违建拆除</w:t>
      </w:r>
      <w:r>
        <w:rPr>
          <w:rFonts w:hint="eastAsia" w:ascii="仿宋_GB2312" w:hAns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3.安全生产平稳向好。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一是加强宣传教育，提升安全意识</w:t>
      </w:r>
      <w:bookmarkStart w:id="0" w:name="gkstk3"/>
      <w:bookmarkEnd w:id="0"/>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通过悬挂横幅，张贴宣传标语、以会代训等形式，广泛宣传安全、消防等法律法规，全面提高人民群众的安全防范意识，增强安全生产责任感和紧迫感，逐步形成了人人想安全，人人讲安全、人人关心安全的良好氛围。</w:t>
      </w:r>
      <w:r>
        <w:rPr>
          <w:rFonts w:hint="eastAsia" w:ascii="仿宋_GB2312" w:hAnsi="仿宋_GB2312" w:eastAsia="仿宋_GB2312" w:cs="仿宋_GB2312"/>
          <w:b/>
          <w:bCs/>
          <w:sz w:val="32"/>
          <w:szCs w:val="32"/>
        </w:rPr>
        <w:t>二是加强监督管理，严格执法检查。</w:t>
      </w:r>
      <w:r>
        <w:rPr>
          <w:rFonts w:hint="eastAsia" w:ascii="仿宋_GB2312" w:hAnsi="仿宋_GB2312" w:eastAsia="仿宋_GB2312" w:cs="仿宋_GB2312"/>
          <w:sz w:val="32"/>
          <w:szCs w:val="32"/>
        </w:rPr>
        <w:t>严格隐患排查治理。加强对隐患排查治理工作的监督检查和指导，制订制度措施，规范监督检查的方法和程序，每月定期组织相关部门深入生产一线督促指导。</w:t>
      </w:r>
      <w:r>
        <w:rPr>
          <w:rFonts w:hint="eastAsia" w:ascii="仿宋_GB2312" w:hAnsi="仿宋_GB2312" w:eastAsia="仿宋_GB2312" w:cs="仿宋_GB2312"/>
          <w:b/>
          <w:bCs/>
          <w:sz w:val="32"/>
          <w:szCs w:val="32"/>
        </w:rPr>
        <w:t>三是完善监管机制，强化责任落实。</w:t>
      </w:r>
      <w:r>
        <w:rPr>
          <w:rFonts w:hint="eastAsia" w:ascii="仿宋_GB2312" w:hAnsi="仿宋_GB2312" w:eastAsia="仿宋_GB2312" w:cs="仿宋_GB2312"/>
          <w:sz w:val="32"/>
          <w:szCs w:val="32"/>
        </w:rPr>
        <w:t>制订考核细则，完善考核奖惩机制，进一步明确工作职责，各单位履职情况同年终考核考评挂钩，严格落实安全生产“一票否决”制，对于确因工作失职失责而引发的生产安全事故，将严肃追究相关人员责任。</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4.综合治理扎实有效。</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一是平安建设工作。</w:t>
      </w:r>
      <w:r>
        <w:rPr>
          <w:rFonts w:hint="eastAsia" w:ascii="仿宋_GB2312" w:hAnsi="仿宋_GB2312" w:eastAsia="仿宋_GB2312" w:cs="仿宋_GB2312"/>
          <w:sz w:val="32"/>
          <w:szCs w:val="32"/>
        </w:rPr>
        <w:t>开展平安创建志愿者活动，充分发挥干部积极性，推行义务治安巡逻活动常态化运行，大力推进雪亮工程工作，灵活机动的采取与三大运营商合作的方式，互利互惠的为民办好事、办实事,为民众生活提供了更高的安全保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二是信访稳定工作。</w:t>
      </w:r>
      <w:r>
        <w:rPr>
          <w:rFonts w:hint="eastAsia" w:ascii="仿宋_GB2312" w:hAnsi="仿宋_GB2312" w:eastAsia="仿宋_GB2312" w:cs="仿宋_GB2312"/>
          <w:sz w:val="32"/>
          <w:szCs w:val="32"/>
        </w:rPr>
        <w:t>提升信访办理质量，建立起公信力和诚信度，今年共受理和办理信访事项56件，化解信访积案3起。解答政策咨询20多次，化解各类矛盾纠纷100余起。全面摸排梳理涉稳对象，及时更新信息，制定措施，确保反应迅速、稳控到位。开展重点人群走访，听取诉求建议，了解当前现状，给予组织关怀，进一步促进了社会和谐稳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三是禁毒工作。</w:t>
      </w:r>
      <w:r>
        <w:rPr>
          <w:rFonts w:hint="eastAsia" w:ascii="仿宋_GB2312" w:hAnsi="仿宋_GB2312" w:eastAsia="仿宋_GB2312" w:cs="仿宋_GB2312"/>
          <w:sz w:val="32"/>
          <w:szCs w:val="32"/>
        </w:rPr>
        <w:t>完善涉毒人员基本情况和基础信息台账登记，积极开展禁毒日宣传活动。进行帮扶教育，对辖区涉毒人员进行帮助教育谈话，检查身体状况。定期集中对全体干部进行吸毒检测。</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四是民调工作。</w:t>
      </w:r>
      <w:r>
        <w:rPr>
          <w:rFonts w:hint="eastAsia" w:ascii="仿宋_GB2312" w:hAnsi="仿宋_GB2312" w:eastAsia="仿宋_GB2312" w:cs="仿宋_GB2312"/>
          <w:sz w:val="32"/>
          <w:szCs w:val="32"/>
        </w:rPr>
        <w:t>开展模拟问卷调查和下社区（村）督导工作、召开通报会，巩固工作成效。全方位宣传，下发“平安创建我参与倡议书”和“参与平安家庭创建承诺书”3万余份，开展民调工作入户走访活动，全面提升民调宣传工作的覆盖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5.社会事业不断发展。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（1）疫情防控成为常态。</w:t>
      </w:r>
      <w:r>
        <w:rPr>
          <w:rFonts w:hint="eastAsia" w:ascii="仿宋_GB2312" w:hAnsi="仿宋_GB2312" w:eastAsia="仿宋_GB2312" w:cs="仿宋_GB2312"/>
          <w:sz w:val="32"/>
          <w:szCs w:val="32"/>
        </w:rPr>
        <w:t>一是抓风险人员摸排。建立地毯式摸排责任制，全覆盖村组、小区、楼栋，定期推送疫情信息到居民微信群，发动群众联防联控。二是抓重点人员管控。对摸排出来的境外及高中风险地区人员落实五包一包保，进行集中隔离和居家隔离，实现无缝对接、闭环管理。三是抓重点场所管理。落实四方责任，推广三查一询，加强重点场所落实疫情防控常态化要求的督导，对冷链行业登记建立管控台帐，落实货物溯源、消毒检测等措施。坚持疫情防控、复工复产两不误，促进经济稳定发展。四是全力推进疫苗接种。截止目前，18岁及以上人群目标已接种第一剂42424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（2）项目建设快速推进。</w:t>
      </w:r>
      <w:r>
        <w:rPr>
          <w:rFonts w:hint="eastAsia" w:ascii="仿宋_GB2312" w:hAnsi="仿宋_GB2312" w:eastAsia="仿宋_GB2312" w:cs="仿宋_GB2312"/>
          <w:sz w:val="32"/>
          <w:szCs w:val="32"/>
        </w:rPr>
        <w:t>今年动用机械50余台次，城管、公安、特警、街道、社区干部600余人次，组织推青扫障，所有项目实现了净地交付。全年完成征拆项目14个，征地584.49亩，拆迁182户。体育中心北、经十四路、纬一路、澹水老河糟、卢家地块、襄阳九澧学府北、消防二站、尚东府西等重点项目推进迅速，得到了上级认可。按照“一切围绕项目、一切服务项目、一切服从项目”的工作思路，通过定人定责定量的原则，倒排工期，挂图作战，每个项目都按上级规定的时间节点完成征拆任务，保证了项目的顺利实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（3）城市管理水平不断提升。</w:t>
      </w:r>
      <w:r>
        <w:rPr>
          <w:rFonts w:hint="eastAsia" w:ascii="仿宋_GB2312" w:hAnsi="仿宋_GB2312" w:eastAsia="仿宋_GB2312" w:cs="仿宋_GB2312"/>
          <w:sz w:val="32"/>
          <w:szCs w:val="32"/>
        </w:rPr>
        <w:t>一是全力以赴开展迎国卫复审。街道统一安排部署，实行网格化精细管理，明确划分责任区域，分段包保，广泛发动干部、职工、群众参与迎国卫复审工作，紧盯重点区域，对标进行整改，逐一对账销号。加大督导检查，对推诿扯皮等问题严肃追究责任。通过行动，辖区内市民文明素质、交通卫生经营秩序大有改观。二是严格“两违”管控。认真贯彻“两违”管控政策，严格落实管理，狠抓日常制度，化解纠纷矛盾，组织专门巡查队伍，对全办辖区实行不定时督查，全年来共巡查发现“两违”行为52起，处置52起，其中自行纠正32起，拆除10起，现场纠正10起，有效及时的制止了违法违章现象的发生。三是全面推进城镇老旧小区改造。城镇老旧小区改造是重大民生工程和发展工程，辖区内目前改造中的有襄阳社区鑫隆苑小区、多安桥社区凤凰林小区、工商之家小区、澧阳社区澧阳安置小区。各个小区改造工程正在有序推进中，提高了城市基础设施水平，有效促进经济高质量发展，小区面貌焕然一新。</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（4）“一门式”服务群众办事方便快捷。</w:t>
      </w:r>
      <w:r>
        <w:rPr>
          <w:rFonts w:hint="eastAsia" w:ascii="仿宋_GB2312" w:hAnsi="仿宋_GB2312" w:eastAsia="仿宋_GB2312" w:cs="仿宋_GB2312"/>
          <w:sz w:val="32"/>
          <w:szCs w:val="32"/>
        </w:rPr>
        <w:t>街道本级、13个社区（村）全部按县里标准建起“一门式”服务平台，新建一处社区服务平台，五个社区完成平台选址等前期准备工作。今年来街道政务中心和村社便民服务中心共收到办件申请21818件，办结21821件，其中网上办件671件，窗口办件21150件，办结率100.01％，评价率96.11％。“一件事一次办”微信小程序推广工作，街道超额完成任务，被行政审批服务局表彰为先进单位。</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（5）是宣传、教育、文化活动有声有色。</w:t>
      </w:r>
      <w:r>
        <w:rPr>
          <w:rFonts w:hint="eastAsia" w:ascii="仿宋_GB2312" w:hAnsi="仿宋_GB2312" w:eastAsia="仿宋_GB2312" w:cs="仿宋_GB2312"/>
          <w:sz w:val="32"/>
          <w:szCs w:val="32"/>
        </w:rPr>
        <w:t>街道开展文明创建活动，各项指标达到规定标准，省、市、县文明社区创建活动如火如荼，青年志愿服务活动成常态，居民幸福指数不断攀升。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6.民生</w:t>
      </w:r>
      <w:r>
        <w:rPr>
          <w:rFonts w:ascii="楷体_GB2312" w:hAnsi="楷体_GB2312" w:eastAsia="楷体_GB2312" w:cs="楷体_GB2312"/>
          <w:sz w:val="32"/>
          <w:szCs w:val="32"/>
        </w:rPr>
        <w:t>事业蒸蒸日上</w:t>
      </w:r>
      <w:r>
        <w:rPr>
          <w:rFonts w:hint="eastAsia" w:ascii="楷体_GB2312" w:hAnsi="楷体_GB2312" w:eastAsia="楷体_GB2312" w:cs="楷体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一是开展社会救助专项治理。</w:t>
      </w:r>
      <w:r>
        <w:rPr>
          <w:rFonts w:hint="eastAsia" w:ascii="仿宋_GB2312" w:hAnsi="仿宋_GB2312" w:eastAsia="仿宋_GB2312" w:cs="仿宋_GB2312"/>
          <w:sz w:val="32"/>
          <w:szCs w:val="32"/>
        </w:rPr>
        <w:t>对所有在册低保、特困供养、经常性临时救助对象进行低收入认定。共清理出城镇低保49户56人，农村低保12户16人，经常性临时救助18户28人。今年发放医疗救助、临时救助和受灾救助资金66.5万元，为低收入群体和困难居民做好住房保障共计124户。开展走访慰问留守儿童，建立台帐，指导羊古、黄沙湾等社区搞好儿童之家建设，街道现有孤儿4人，事实无人抚养儿童19人。狠抓残疾人扶助工作。为做好残疾人康复工作，发放轮椅26部、拐杖16付，坐便器、坐便椅6副、助听器1个、精神药物18人，10月份残联上门服务办理残疾人达46人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二是完成养老保险待遇核查“回头看”工作。</w:t>
      </w:r>
      <w:r>
        <w:rPr>
          <w:rFonts w:hint="eastAsia" w:ascii="仿宋_GB2312" w:hAnsi="仿宋_GB2312" w:eastAsia="仿宋_GB2312" w:cs="仿宋_GB2312"/>
          <w:sz w:val="32"/>
          <w:szCs w:val="32"/>
        </w:rPr>
        <w:t>核查养老保险待遇发放人数40057人，社保卡1770张，核查出死亡冒领人数271人，金额153530元，追缴95153元，另有58377元未追回，正在按要求全力追缴。</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三是退役军人政策落实有力。</w:t>
      </w:r>
      <w:r>
        <w:rPr>
          <w:rFonts w:hint="eastAsia" w:ascii="仿宋_GB2312" w:hAnsi="仿宋_GB2312" w:eastAsia="仿宋_GB2312" w:cs="仿宋_GB2312"/>
          <w:sz w:val="32"/>
          <w:szCs w:val="32"/>
        </w:rPr>
        <w:t>为对辖区内近1300名退伍老兵送去温暖，“八一”建军节发放优抚对象发放慰问品1054份，慰问金65300元。</w:t>
      </w:r>
    </w:p>
    <w:p>
      <w:pPr>
        <w:spacing w:line="560" w:lineRule="exact"/>
        <w:ind w:firstLine="643" w:firstLineChars="200"/>
      </w:pPr>
      <w:r>
        <w:rPr>
          <w:rFonts w:hint="eastAsia" w:ascii="仿宋_GB2312" w:hAnsi="仿宋_GB2312" w:eastAsia="仿宋_GB2312" w:cs="仿宋_GB2312"/>
          <w:b/>
          <w:bCs/>
          <w:sz w:val="32"/>
          <w:szCs w:val="32"/>
        </w:rPr>
        <w:t>四是强力推进城乡居民医保和养老保险工作。</w:t>
      </w:r>
      <w:r>
        <w:rPr>
          <w:rFonts w:hint="eastAsia" w:ascii="仿宋_GB2312" w:hAnsi="仿宋_GB2312" w:eastAsia="仿宋_GB2312" w:cs="仿宋_GB2312"/>
          <w:sz w:val="32"/>
          <w:szCs w:val="32"/>
        </w:rPr>
        <w:t>力争做到应保尽保，应缴尽缴，今年共有30000余人缴纳了城乡居民医保，进度在全县排名靠前位置</w:t>
      </w:r>
    </w:p>
    <w:p>
      <w:pPr>
        <w:spacing w:line="560" w:lineRule="exact"/>
        <w:jc w:val="center"/>
        <w:rPr>
          <w:rFonts w:hint="eastAsia"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b/>
          <w:bCs/>
          <w:kern w:val="0"/>
          <w:sz w:val="32"/>
          <w:szCs w:val="32"/>
        </w:rPr>
      </w:pPr>
    </w:p>
    <w:tbl>
      <w:tblPr>
        <w:tblStyle w:val="13"/>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hAnsi="宋体"/>
                <w:kern w:val="0"/>
                <w:sz w:val="24"/>
                <w:szCs w:val="24"/>
              </w:rPr>
              <w:br w:type="textWrapping"/>
            </w: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　</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10</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10</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8</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883"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cs="宋体"/>
                <w:kern w:val="0"/>
                <w:sz w:val="24"/>
                <w:szCs w:val="24"/>
              </w:rPr>
            </w:pPr>
          </w:p>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cs="宋体"/>
                <w:kern w:val="0"/>
                <w:sz w:val="24"/>
                <w:szCs w:val="24"/>
              </w:rPr>
            </w:pPr>
          </w:p>
          <w:p>
            <w:pPr>
              <w:spacing w:line="280" w:lineRule="exact"/>
              <w:jc w:val="left"/>
              <w:rPr>
                <w:rFonts w:ascii="宋体" w:hAnsi="宋体"/>
                <w:kern w:val="0"/>
                <w:sz w:val="24"/>
                <w:szCs w:val="24"/>
              </w:rPr>
            </w:pPr>
            <w:r>
              <w:rPr>
                <w:rFonts w:hint="eastAsia"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ind w:left="359" w:leftChars="171"/>
              <w:rPr>
                <w:rFonts w:ascii="宋体" w:hAnsi="宋体" w:cs="宋体"/>
                <w:kern w:val="0"/>
                <w:sz w:val="24"/>
                <w:szCs w:val="24"/>
              </w:rPr>
            </w:pPr>
            <w:r>
              <w:rPr>
                <w:rFonts w:hint="eastAsia" w:ascii="宋体" w:hAnsi="宋体" w:cs="宋体"/>
                <w:kern w:val="0"/>
                <w:sz w:val="24"/>
                <w:szCs w:val="24"/>
              </w:rPr>
              <w:t xml:space="preserve">               </w:t>
            </w:r>
          </w:p>
          <w:p>
            <w:pPr>
              <w:widowControl/>
              <w:spacing w:line="280" w:lineRule="exac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r>
              <w:rPr>
                <w:rFonts w:ascii="宋体"/>
                <w:kern w:val="0"/>
                <w:sz w:val="24"/>
                <w:szCs w:val="24"/>
              </w:rPr>
              <w:br w:type="textWrapping"/>
            </w: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85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218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trHeight w:val="140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93</w:t>
            </w:r>
          </w:p>
        </w:tc>
      </w:tr>
    </w:tbl>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495"/>
          <w:tab w:val="left" w:pos="4791"/>
          <w:tab w:val="left" w:pos="5951"/>
          <w:tab w:val="left" w:pos="7071"/>
          <w:tab w:val="left" w:pos="7710"/>
          <w:tab w:val="left" w:pos="8955"/>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澧县人民政府澧浦街道办事处</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r>
        <w:rPr>
          <w:rFonts w:ascii="Times New Roman" w:hAnsi="Times New Roman" w:eastAsia="仿宋_GB2312"/>
          <w:kern w:val="0"/>
          <w:sz w:val="24"/>
        </w:rPr>
        <w:tab/>
      </w:r>
    </w:p>
    <w:tbl>
      <w:tblPr>
        <w:tblStyle w:val="13"/>
        <w:tblW w:w="10339" w:type="dxa"/>
        <w:jc w:val="center"/>
        <w:tblLayout w:type="fixed"/>
        <w:tblCellMar>
          <w:top w:w="0" w:type="dxa"/>
          <w:left w:w="108" w:type="dxa"/>
          <w:bottom w:w="0" w:type="dxa"/>
          <w:right w:w="108" w:type="dxa"/>
        </w:tblCellMar>
      </w:tblPr>
      <w:tblGrid>
        <w:gridCol w:w="3550"/>
        <w:gridCol w:w="2360"/>
        <w:gridCol w:w="2595"/>
        <w:gridCol w:w="183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21</w:t>
            </w:r>
            <w:r>
              <w:rPr>
                <w:rFonts w:ascii="Times New Roman" w:hAnsi="Times New Roman" w:eastAsia="仿宋_GB2312"/>
                <w:b/>
                <w:bCs/>
                <w:kern w:val="0"/>
                <w:sz w:val="24"/>
              </w:rPr>
              <w:t>年实际在职人数</w:t>
            </w:r>
          </w:p>
        </w:tc>
        <w:tc>
          <w:tcPr>
            <w:tcW w:w="1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54</w:t>
            </w:r>
          </w:p>
        </w:tc>
        <w:tc>
          <w:tcPr>
            <w:tcW w:w="25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53</w:t>
            </w:r>
          </w:p>
        </w:tc>
        <w:tc>
          <w:tcPr>
            <w:tcW w:w="18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kern w:val="0"/>
                <w:sz w:val="24"/>
              </w:rPr>
            </w:pPr>
            <w:r>
              <w:rPr>
                <w:rFonts w:hint="eastAsia" w:ascii="Times New Roman" w:hAnsi="Times New Roman" w:eastAsia="仿宋_GB2312"/>
                <w:kern w:val="0"/>
                <w:sz w:val="24"/>
              </w:rPr>
              <w:t>98%</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21</w:t>
            </w:r>
            <w:r>
              <w:rPr>
                <w:rFonts w:ascii="Times New Roman" w:hAnsi="Times New Roman" w:eastAsia="仿宋_GB2312"/>
                <w:b/>
                <w:bCs/>
                <w:kern w:val="0"/>
                <w:sz w:val="24"/>
              </w:rPr>
              <w:t>年预算数</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21</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30.5</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29.95</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29.95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1.5</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1.45</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29</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28.5</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28.5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116.63</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141.05</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141.05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29.54</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37.38</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37.38</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10.9</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17.3</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17.3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8.5</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8.41</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8.41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16.75</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p>
      <w:pPr>
        <w:spacing w:line="560" w:lineRule="exact"/>
        <w:ind w:firstLine="1793" w:firstLineChars="496"/>
        <w:rPr>
          <w:rFonts w:asciiTheme="majorEastAsia" w:hAnsiTheme="majorEastAsia" w:eastAsiaTheme="majorEastAsia" w:cstheme="majorEastAsia"/>
          <w:b/>
          <w:bCs/>
          <w:kern w:val="0"/>
          <w:sz w:val="36"/>
          <w:szCs w:val="36"/>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36D0F9-8A6F-4DB8-A6D2-134F253622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CB2E7649-0300-4B40-A3C8-B16AAAD923F8}"/>
  </w:font>
  <w:font w:name="仿宋_GB2312">
    <w:panose1 w:val="02010609030101010101"/>
    <w:charset w:val="86"/>
    <w:family w:val="modern"/>
    <w:pitch w:val="default"/>
    <w:sig w:usb0="00000001" w:usb1="080E0000" w:usb2="00000000" w:usb3="00000000" w:csb0="00040000" w:csb1="00000000"/>
    <w:embedRegular r:id="rId3" w:fontKey="{39891FF3-68BC-476C-A9C2-30C431DF14FA}"/>
  </w:font>
  <w:font w:name="仿宋">
    <w:panose1 w:val="02010609060101010101"/>
    <w:charset w:val="86"/>
    <w:family w:val="modern"/>
    <w:pitch w:val="default"/>
    <w:sig w:usb0="800002BF" w:usb1="38CF7CFA" w:usb2="00000016" w:usb3="00000000" w:csb0="00040001" w:csb1="00000000"/>
    <w:embedRegular r:id="rId4" w:fontKey="{7BA75C2E-67B8-4C10-9608-C6F511B223BB}"/>
  </w:font>
  <w:font w:name="楷体_GB2312">
    <w:panose1 w:val="02010609030101010101"/>
    <w:charset w:val="86"/>
    <w:family w:val="modern"/>
    <w:pitch w:val="default"/>
    <w:sig w:usb0="00000001" w:usb1="080E0000" w:usb2="00000000" w:usb3="00000000" w:csb0="00040000" w:csb1="00000000"/>
    <w:embedRegular r:id="rId5" w:fontKey="{00BB4742-F472-4AFD-9394-85D609C82A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s>
  <w:rsids>
    <w:rsidRoot w:val="007974AB"/>
    <w:rsid w:val="0000298E"/>
    <w:rsid w:val="00002AE4"/>
    <w:rsid w:val="0002235E"/>
    <w:rsid w:val="0003050A"/>
    <w:rsid w:val="00031747"/>
    <w:rsid w:val="0003456A"/>
    <w:rsid w:val="00037035"/>
    <w:rsid w:val="000469BA"/>
    <w:rsid w:val="000516DC"/>
    <w:rsid w:val="00051DA6"/>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E5410"/>
    <w:rsid w:val="000F21D6"/>
    <w:rsid w:val="000F41D4"/>
    <w:rsid w:val="000F61BE"/>
    <w:rsid w:val="000F73AE"/>
    <w:rsid w:val="001062E8"/>
    <w:rsid w:val="00107BAB"/>
    <w:rsid w:val="00112EB7"/>
    <w:rsid w:val="00114AFB"/>
    <w:rsid w:val="001167EB"/>
    <w:rsid w:val="00121B82"/>
    <w:rsid w:val="00122D73"/>
    <w:rsid w:val="00126F08"/>
    <w:rsid w:val="0013478D"/>
    <w:rsid w:val="001415B7"/>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7BA7"/>
    <w:rsid w:val="001A5697"/>
    <w:rsid w:val="001A64A0"/>
    <w:rsid w:val="001A780E"/>
    <w:rsid w:val="001A7BCA"/>
    <w:rsid w:val="001B465B"/>
    <w:rsid w:val="001C12AA"/>
    <w:rsid w:val="001C15DF"/>
    <w:rsid w:val="001C7486"/>
    <w:rsid w:val="001D0ECC"/>
    <w:rsid w:val="001D4E15"/>
    <w:rsid w:val="001D65E5"/>
    <w:rsid w:val="001D6602"/>
    <w:rsid w:val="001E4F39"/>
    <w:rsid w:val="001E5B80"/>
    <w:rsid w:val="001E6BFE"/>
    <w:rsid w:val="001F6D73"/>
    <w:rsid w:val="001F766E"/>
    <w:rsid w:val="001F7E71"/>
    <w:rsid w:val="00202F69"/>
    <w:rsid w:val="00205440"/>
    <w:rsid w:val="002102DB"/>
    <w:rsid w:val="002129C1"/>
    <w:rsid w:val="00214D7C"/>
    <w:rsid w:val="00221432"/>
    <w:rsid w:val="00221B76"/>
    <w:rsid w:val="00222B27"/>
    <w:rsid w:val="00222E30"/>
    <w:rsid w:val="00225256"/>
    <w:rsid w:val="002305A2"/>
    <w:rsid w:val="00231C6E"/>
    <w:rsid w:val="00232F9D"/>
    <w:rsid w:val="0023666C"/>
    <w:rsid w:val="002367FF"/>
    <w:rsid w:val="00245BA5"/>
    <w:rsid w:val="00254482"/>
    <w:rsid w:val="00261A82"/>
    <w:rsid w:val="0026227A"/>
    <w:rsid w:val="00273F87"/>
    <w:rsid w:val="00286A75"/>
    <w:rsid w:val="00291511"/>
    <w:rsid w:val="00292E06"/>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1038E"/>
    <w:rsid w:val="00312736"/>
    <w:rsid w:val="003134F7"/>
    <w:rsid w:val="00313CA6"/>
    <w:rsid w:val="00317AB2"/>
    <w:rsid w:val="00320962"/>
    <w:rsid w:val="00324952"/>
    <w:rsid w:val="00332598"/>
    <w:rsid w:val="00341012"/>
    <w:rsid w:val="00342BE8"/>
    <w:rsid w:val="00344BD5"/>
    <w:rsid w:val="00344CA7"/>
    <w:rsid w:val="00345181"/>
    <w:rsid w:val="00345B18"/>
    <w:rsid w:val="00346169"/>
    <w:rsid w:val="003478B2"/>
    <w:rsid w:val="00351E0E"/>
    <w:rsid w:val="00362473"/>
    <w:rsid w:val="00362E31"/>
    <w:rsid w:val="00372621"/>
    <w:rsid w:val="00374987"/>
    <w:rsid w:val="00377B71"/>
    <w:rsid w:val="0038212B"/>
    <w:rsid w:val="00383377"/>
    <w:rsid w:val="00383992"/>
    <w:rsid w:val="00383D6A"/>
    <w:rsid w:val="00392B58"/>
    <w:rsid w:val="00394ABB"/>
    <w:rsid w:val="003A4ACA"/>
    <w:rsid w:val="003A7FDD"/>
    <w:rsid w:val="003B23EB"/>
    <w:rsid w:val="003B2F4F"/>
    <w:rsid w:val="003B6A53"/>
    <w:rsid w:val="003B7FA2"/>
    <w:rsid w:val="003C5232"/>
    <w:rsid w:val="003C6182"/>
    <w:rsid w:val="003D4854"/>
    <w:rsid w:val="003E3CB2"/>
    <w:rsid w:val="003E45F8"/>
    <w:rsid w:val="003E52E4"/>
    <w:rsid w:val="003E7F3D"/>
    <w:rsid w:val="00400BCF"/>
    <w:rsid w:val="00402211"/>
    <w:rsid w:val="00403A98"/>
    <w:rsid w:val="00404BE5"/>
    <w:rsid w:val="00410AE1"/>
    <w:rsid w:val="00410FF6"/>
    <w:rsid w:val="00411330"/>
    <w:rsid w:val="00412456"/>
    <w:rsid w:val="004140EF"/>
    <w:rsid w:val="00415D60"/>
    <w:rsid w:val="0041767C"/>
    <w:rsid w:val="00417BC1"/>
    <w:rsid w:val="0042047E"/>
    <w:rsid w:val="0042330A"/>
    <w:rsid w:val="00427D9D"/>
    <w:rsid w:val="00431F52"/>
    <w:rsid w:val="00434B10"/>
    <w:rsid w:val="00446CFB"/>
    <w:rsid w:val="004503A8"/>
    <w:rsid w:val="004506ED"/>
    <w:rsid w:val="004527DA"/>
    <w:rsid w:val="004561C6"/>
    <w:rsid w:val="00457A5D"/>
    <w:rsid w:val="004621CC"/>
    <w:rsid w:val="00464EC8"/>
    <w:rsid w:val="00473D54"/>
    <w:rsid w:val="00477A24"/>
    <w:rsid w:val="00477B78"/>
    <w:rsid w:val="00481926"/>
    <w:rsid w:val="0048366A"/>
    <w:rsid w:val="00483F92"/>
    <w:rsid w:val="004948B2"/>
    <w:rsid w:val="00496F6D"/>
    <w:rsid w:val="004A0757"/>
    <w:rsid w:val="004A483D"/>
    <w:rsid w:val="004B09F8"/>
    <w:rsid w:val="004B154B"/>
    <w:rsid w:val="004B4B8D"/>
    <w:rsid w:val="004C10B1"/>
    <w:rsid w:val="004C2AEE"/>
    <w:rsid w:val="004D5F90"/>
    <w:rsid w:val="004D74AD"/>
    <w:rsid w:val="004E0E7F"/>
    <w:rsid w:val="004E1AF5"/>
    <w:rsid w:val="004E2593"/>
    <w:rsid w:val="004E394D"/>
    <w:rsid w:val="004E6235"/>
    <w:rsid w:val="004E6E44"/>
    <w:rsid w:val="004F40BB"/>
    <w:rsid w:val="004F4E0C"/>
    <w:rsid w:val="004F53C1"/>
    <w:rsid w:val="00500075"/>
    <w:rsid w:val="00503CDE"/>
    <w:rsid w:val="00505F55"/>
    <w:rsid w:val="00507BC7"/>
    <w:rsid w:val="00510B86"/>
    <w:rsid w:val="0051464E"/>
    <w:rsid w:val="00514E72"/>
    <w:rsid w:val="00536A21"/>
    <w:rsid w:val="005377C3"/>
    <w:rsid w:val="005421E4"/>
    <w:rsid w:val="0054315D"/>
    <w:rsid w:val="005438D0"/>
    <w:rsid w:val="0054486C"/>
    <w:rsid w:val="005473E0"/>
    <w:rsid w:val="0055022D"/>
    <w:rsid w:val="00550C9A"/>
    <w:rsid w:val="00553BA4"/>
    <w:rsid w:val="0057789D"/>
    <w:rsid w:val="00585BED"/>
    <w:rsid w:val="005916AB"/>
    <w:rsid w:val="00592496"/>
    <w:rsid w:val="00593595"/>
    <w:rsid w:val="005A1B71"/>
    <w:rsid w:val="005A3424"/>
    <w:rsid w:val="005A662C"/>
    <w:rsid w:val="005A6E3C"/>
    <w:rsid w:val="005B537E"/>
    <w:rsid w:val="005B70C2"/>
    <w:rsid w:val="005C1C09"/>
    <w:rsid w:val="005C488D"/>
    <w:rsid w:val="005C60E3"/>
    <w:rsid w:val="005C6117"/>
    <w:rsid w:val="005C6D48"/>
    <w:rsid w:val="005C778B"/>
    <w:rsid w:val="005D5007"/>
    <w:rsid w:val="005D50CB"/>
    <w:rsid w:val="005E0ACC"/>
    <w:rsid w:val="005E0C80"/>
    <w:rsid w:val="005E63A3"/>
    <w:rsid w:val="005F1452"/>
    <w:rsid w:val="005F1576"/>
    <w:rsid w:val="005F247D"/>
    <w:rsid w:val="005F2E6C"/>
    <w:rsid w:val="006024A8"/>
    <w:rsid w:val="0061181B"/>
    <w:rsid w:val="00614AA8"/>
    <w:rsid w:val="0061768E"/>
    <w:rsid w:val="00620930"/>
    <w:rsid w:val="00636CF9"/>
    <w:rsid w:val="00640E29"/>
    <w:rsid w:val="006412C9"/>
    <w:rsid w:val="00651EB6"/>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01D0"/>
    <w:rsid w:val="006F1419"/>
    <w:rsid w:val="006F3485"/>
    <w:rsid w:val="00700CD4"/>
    <w:rsid w:val="00701DF4"/>
    <w:rsid w:val="00702069"/>
    <w:rsid w:val="00704174"/>
    <w:rsid w:val="00704536"/>
    <w:rsid w:val="0071201B"/>
    <w:rsid w:val="00723417"/>
    <w:rsid w:val="00725B1D"/>
    <w:rsid w:val="0073058B"/>
    <w:rsid w:val="007349D4"/>
    <w:rsid w:val="00737891"/>
    <w:rsid w:val="007441FB"/>
    <w:rsid w:val="00754120"/>
    <w:rsid w:val="00756B93"/>
    <w:rsid w:val="0076124E"/>
    <w:rsid w:val="00766862"/>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1F3"/>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7E67"/>
    <w:rsid w:val="00832102"/>
    <w:rsid w:val="00833FA8"/>
    <w:rsid w:val="0084564C"/>
    <w:rsid w:val="00850144"/>
    <w:rsid w:val="00851F1E"/>
    <w:rsid w:val="00853362"/>
    <w:rsid w:val="008662AB"/>
    <w:rsid w:val="00867DE4"/>
    <w:rsid w:val="00885497"/>
    <w:rsid w:val="008862A7"/>
    <w:rsid w:val="00892869"/>
    <w:rsid w:val="008A3FCC"/>
    <w:rsid w:val="008B03AA"/>
    <w:rsid w:val="008B1FF5"/>
    <w:rsid w:val="008B33CC"/>
    <w:rsid w:val="008B3530"/>
    <w:rsid w:val="008D36D8"/>
    <w:rsid w:val="008D5806"/>
    <w:rsid w:val="008D614F"/>
    <w:rsid w:val="008D7CE8"/>
    <w:rsid w:val="008E6AF7"/>
    <w:rsid w:val="008E7DED"/>
    <w:rsid w:val="008E7F9D"/>
    <w:rsid w:val="008F0E86"/>
    <w:rsid w:val="0090366D"/>
    <w:rsid w:val="00905011"/>
    <w:rsid w:val="00911DD8"/>
    <w:rsid w:val="00917770"/>
    <w:rsid w:val="00917BD6"/>
    <w:rsid w:val="00921D22"/>
    <w:rsid w:val="00921EF0"/>
    <w:rsid w:val="00931AA0"/>
    <w:rsid w:val="00937CB6"/>
    <w:rsid w:val="00940031"/>
    <w:rsid w:val="0094137E"/>
    <w:rsid w:val="00943B87"/>
    <w:rsid w:val="009442C5"/>
    <w:rsid w:val="0094685F"/>
    <w:rsid w:val="00954435"/>
    <w:rsid w:val="0095529F"/>
    <w:rsid w:val="00956048"/>
    <w:rsid w:val="00961BF1"/>
    <w:rsid w:val="0096338E"/>
    <w:rsid w:val="009709F2"/>
    <w:rsid w:val="00971562"/>
    <w:rsid w:val="0097377E"/>
    <w:rsid w:val="0097487E"/>
    <w:rsid w:val="00977060"/>
    <w:rsid w:val="00980482"/>
    <w:rsid w:val="0098378E"/>
    <w:rsid w:val="00986F29"/>
    <w:rsid w:val="009901AD"/>
    <w:rsid w:val="00991324"/>
    <w:rsid w:val="00991EA4"/>
    <w:rsid w:val="009943A8"/>
    <w:rsid w:val="009947D3"/>
    <w:rsid w:val="009965AB"/>
    <w:rsid w:val="009A078F"/>
    <w:rsid w:val="009A55AE"/>
    <w:rsid w:val="009B0D0F"/>
    <w:rsid w:val="009B2AC1"/>
    <w:rsid w:val="009B5011"/>
    <w:rsid w:val="009B5851"/>
    <w:rsid w:val="009C09EB"/>
    <w:rsid w:val="009C406D"/>
    <w:rsid w:val="009C5DDA"/>
    <w:rsid w:val="009D6DA7"/>
    <w:rsid w:val="009E02A8"/>
    <w:rsid w:val="009E265C"/>
    <w:rsid w:val="009E5869"/>
    <w:rsid w:val="009E5A22"/>
    <w:rsid w:val="009F404C"/>
    <w:rsid w:val="00A00330"/>
    <w:rsid w:val="00A025CE"/>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E82"/>
    <w:rsid w:val="00A949AD"/>
    <w:rsid w:val="00AA1753"/>
    <w:rsid w:val="00AA3397"/>
    <w:rsid w:val="00AB11DB"/>
    <w:rsid w:val="00AC2C79"/>
    <w:rsid w:val="00AC3596"/>
    <w:rsid w:val="00AC5189"/>
    <w:rsid w:val="00AD0292"/>
    <w:rsid w:val="00AD09F4"/>
    <w:rsid w:val="00AD797A"/>
    <w:rsid w:val="00AE0BC2"/>
    <w:rsid w:val="00AE2DA1"/>
    <w:rsid w:val="00AE4204"/>
    <w:rsid w:val="00AE777B"/>
    <w:rsid w:val="00AF02BC"/>
    <w:rsid w:val="00AF1354"/>
    <w:rsid w:val="00B04987"/>
    <w:rsid w:val="00B0551B"/>
    <w:rsid w:val="00B067B2"/>
    <w:rsid w:val="00B07A1C"/>
    <w:rsid w:val="00B12151"/>
    <w:rsid w:val="00B13B33"/>
    <w:rsid w:val="00B13F7B"/>
    <w:rsid w:val="00B15F5B"/>
    <w:rsid w:val="00B1669E"/>
    <w:rsid w:val="00B21F2B"/>
    <w:rsid w:val="00B23A19"/>
    <w:rsid w:val="00B23AE6"/>
    <w:rsid w:val="00B3064B"/>
    <w:rsid w:val="00B30E1F"/>
    <w:rsid w:val="00B32F56"/>
    <w:rsid w:val="00B4272F"/>
    <w:rsid w:val="00B5069E"/>
    <w:rsid w:val="00B54FA2"/>
    <w:rsid w:val="00B559AE"/>
    <w:rsid w:val="00B576D4"/>
    <w:rsid w:val="00B57CA9"/>
    <w:rsid w:val="00B605B4"/>
    <w:rsid w:val="00B65994"/>
    <w:rsid w:val="00B718B5"/>
    <w:rsid w:val="00B7695F"/>
    <w:rsid w:val="00B80C73"/>
    <w:rsid w:val="00B824FB"/>
    <w:rsid w:val="00B8579B"/>
    <w:rsid w:val="00B85D54"/>
    <w:rsid w:val="00B86E61"/>
    <w:rsid w:val="00B90483"/>
    <w:rsid w:val="00B90FCE"/>
    <w:rsid w:val="00B9269A"/>
    <w:rsid w:val="00B93DBC"/>
    <w:rsid w:val="00B97A2C"/>
    <w:rsid w:val="00BA21E0"/>
    <w:rsid w:val="00BA3557"/>
    <w:rsid w:val="00BB02A3"/>
    <w:rsid w:val="00BB0D8B"/>
    <w:rsid w:val="00BB59D4"/>
    <w:rsid w:val="00BB7153"/>
    <w:rsid w:val="00BD1277"/>
    <w:rsid w:val="00BD600A"/>
    <w:rsid w:val="00BD7C07"/>
    <w:rsid w:val="00BE2E9A"/>
    <w:rsid w:val="00BE6894"/>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C58E2"/>
    <w:rsid w:val="00CC6085"/>
    <w:rsid w:val="00CD2BBD"/>
    <w:rsid w:val="00CD35A0"/>
    <w:rsid w:val="00CE087F"/>
    <w:rsid w:val="00CE0DAB"/>
    <w:rsid w:val="00CE563D"/>
    <w:rsid w:val="00CE76B8"/>
    <w:rsid w:val="00CF402D"/>
    <w:rsid w:val="00CF75DD"/>
    <w:rsid w:val="00CF7E02"/>
    <w:rsid w:val="00D05ACC"/>
    <w:rsid w:val="00D14DCC"/>
    <w:rsid w:val="00D204FD"/>
    <w:rsid w:val="00D251C2"/>
    <w:rsid w:val="00D258CC"/>
    <w:rsid w:val="00D30AEF"/>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D65C0"/>
    <w:rsid w:val="00DD7E04"/>
    <w:rsid w:val="00DE04EC"/>
    <w:rsid w:val="00DE1D58"/>
    <w:rsid w:val="00DE53FD"/>
    <w:rsid w:val="00DE5A27"/>
    <w:rsid w:val="00DF0050"/>
    <w:rsid w:val="00DF192B"/>
    <w:rsid w:val="00DF3708"/>
    <w:rsid w:val="00DF422E"/>
    <w:rsid w:val="00DF763C"/>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4A7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25B6"/>
    <w:rsid w:val="00F15C5B"/>
    <w:rsid w:val="00F204D5"/>
    <w:rsid w:val="00F31077"/>
    <w:rsid w:val="00F3377F"/>
    <w:rsid w:val="00F34647"/>
    <w:rsid w:val="00F37A95"/>
    <w:rsid w:val="00F40D7F"/>
    <w:rsid w:val="00F41262"/>
    <w:rsid w:val="00F438FF"/>
    <w:rsid w:val="00F5082F"/>
    <w:rsid w:val="00F5169F"/>
    <w:rsid w:val="00F53D8C"/>
    <w:rsid w:val="00F5551B"/>
    <w:rsid w:val="00F60D1E"/>
    <w:rsid w:val="00F62E20"/>
    <w:rsid w:val="00F631D3"/>
    <w:rsid w:val="00F64039"/>
    <w:rsid w:val="00F647D2"/>
    <w:rsid w:val="00F64A66"/>
    <w:rsid w:val="00F67480"/>
    <w:rsid w:val="00F67A2E"/>
    <w:rsid w:val="00F7046B"/>
    <w:rsid w:val="00F70AE0"/>
    <w:rsid w:val="00F71779"/>
    <w:rsid w:val="00F81E51"/>
    <w:rsid w:val="00F921CA"/>
    <w:rsid w:val="00FA27F4"/>
    <w:rsid w:val="00FA5A76"/>
    <w:rsid w:val="00FB0000"/>
    <w:rsid w:val="00FB5CB5"/>
    <w:rsid w:val="00FD0185"/>
    <w:rsid w:val="00FD0186"/>
    <w:rsid w:val="00FD03F6"/>
    <w:rsid w:val="00FD1260"/>
    <w:rsid w:val="00FD4154"/>
    <w:rsid w:val="00FD47E3"/>
    <w:rsid w:val="00FE15F4"/>
    <w:rsid w:val="00FF2FCA"/>
    <w:rsid w:val="00FF5CAC"/>
    <w:rsid w:val="05C024C2"/>
    <w:rsid w:val="0B5B5A73"/>
    <w:rsid w:val="17203872"/>
    <w:rsid w:val="20C51591"/>
    <w:rsid w:val="396D698D"/>
    <w:rsid w:val="3B1C521F"/>
    <w:rsid w:val="57E714CD"/>
    <w:rsid w:val="64CC7F22"/>
    <w:rsid w:val="6E825B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6"/>
    <w:semiHidden/>
    <w:qFormat/>
    <w:uiPriority w:val="99"/>
    <w:pPr>
      <w:widowControl/>
      <w:jc w:val="left"/>
    </w:pPr>
    <w:rPr>
      <w:rFonts w:ascii="宋体" w:hAnsi="宋体" w:cs="宋体"/>
      <w:kern w:val="0"/>
      <w:sz w:val="24"/>
      <w:szCs w:val="24"/>
    </w:rPr>
  </w:style>
  <w:style w:type="paragraph" w:styleId="9">
    <w:name w:val="footer"/>
    <w:basedOn w:val="1"/>
    <w:link w:val="125"/>
    <w:qFormat/>
    <w:uiPriority w:val="99"/>
    <w:pPr>
      <w:tabs>
        <w:tab w:val="center" w:pos="4153"/>
        <w:tab w:val="right" w:pos="8306"/>
      </w:tabs>
      <w:snapToGrid w:val="0"/>
      <w:jc w:val="left"/>
    </w:pPr>
    <w:rPr>
      <w:sz w:val="18"/>
      <w:szCs w:val="18"/>
    </w:rPr>
  </w:style>
  <w:style w:type="paragraph" w:styleId="10">
    <w:name w:val="header"/>
    <w:basedOn w:val="1"/>
    <w:link w:val="124"/>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locked/>
    <w:uiPriority w:val="0"/>
    <w:pPr>
      <w:ind w:left="420" w:leftChars="200"/>
    </w:pPr>
    <w:rPr>
      <w:rFonts w:asciiTheme="minorHAnsi" w:hAnsiTheme="minorHAnsi" w:eastAsiaTheme="minorEastAsia" w:cstheme="minorBidi"/>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FollowedHyperlink"/>
    <w:basedOn w:val="14"/>
    <w:semiHidden/>
    <w:qFormat/>
    <w:uiPriority w:val="99"/>
    <w:rPr>
      <w:rFonts w:cs="Times New Roman"/>
      <w:color w:val="252525"/>
      <w:u w:val="none"/>
    </w:rPr>
  </w:style>
  <w:style w:type="character" w:styleId="16">
    <w:name w:val="Emphasis"/>
    <w:basedOn w:val="14"/>
    <w:qFormat/>
    <w:uiPriority w:val="99"/>
    <w:rPr>
      <w:rFonts w:cs="Times New Roman"/>
    </w:rPr>
  </w:style>
  <w:style w:type="character" w:styleId="17">
    <w:name w:val="Hyperlink"/>
    <w:basedOn w:val="14"/>
    <w:semiHidden/>
    <w:qFormat/>
    <w:uiPriority w:val="99"/>
    <w:rPr>
      <w:rFonts w:cs="Times New Roman"/>
      <w:color w:val="252525"/>
      <w:u w:val="none"/>
    </w:rPr>
  </w:style>
  <w:style w:type="character" w:styleId="18">
    <w:name w:val="HTML Code"/>
    <w:basedOn w:val="14"/>
    <w:semiHidden/>
    <w:qFormat/>
    <w:uiPriority w:val="99"/>
    <w:rPr>
      <w:rFonts w:ascii="宋体" w:hAnsi="宋体" w:eastAsia="宋体" w:cs="宋体"/>
      <w:sz w:val="24"/>
      <w:szCs w:val="24"/>
    </w:rPr>
  </w:style>
  <w:style w:type="character" w:styleId="19">
    <w:name w:val="HTML Cite"/>
    <w:basedOn w:val="14"/>
    <w:semiHidden/>
    <w:qFormat/>
    <w:uiPriority w:val="99"/>
    <w:rPr>
      <w:rFonts w:cs="Times New Roman"/>
    </w:rPr>
  </w:style>
  <w:style w:type="character" w:customStyle="1" w:styleId="20">
    <w:name w:val="标题 1 Char"/>
    <w:basedOn w:val="14"/>
    <w:link w:val="2"/>
    <w:qFormat/>
    <w:locked/>
    <w:uiPriority w:val="99"/>
    <w:rPr>
      <w:rFonts w:ascii="宋体" w:hAnsi="宋体" w:eastAsia="宋体" w:cs="宋体"/>
      <w:kern w:val="36"/>
      <w:sz w:val="48"/>
      <w:szCs w:val="48"/>
    </w:rPr>
  </w:style>
  <w:style w:type="character" w:customStyle="1" w:styleId="21">
    <w:name w:val="标题 2 Char"/>
    <w:basedOn w:val="14"/>
    <w:link w:val="3"/>
    <w:qFormat/>
    <w:locked/>
    <w:uiPriority w:val="99"/>
    <w:rPr>
      <w:rFonts w:ascii="宋体" w:hAnsi="宋体" w:eastAsia="宋体" w:cs="宋体"/>
      <w:kern w:val="0"/>
      <w:sz w:val="36"/>
      <w:szCs w:val="36"/>
    </w:rPr>
  </w:style>
  <w:style w:type="character" w:customStyle="1" w:styleId="22">
    <w:name w:val="标题 3 Char"/>
    <w:basedOn w:val="14"/>
    <w:link w:val="4"/>
    <w:qFormat/>
    <w:locked/>
    <w:uiPriority w:val="99"/>
    <w:rPr>
      <w:rFonts w:ascii="宋体" w:hAnsi="宋体" w:eastAsia="宋体" w:cs="宋体"/>
      <w:kern w:val="0"/>
      <w:sz w:val="27"/>
      <w:szCs w:val="27"/>
    </w:rPr>
  </w:style>
  <w:style w:type="character" w:customStyle="1" w:styleId="23">
    <w:name w:val="标题 4 Char"/>
    <w:basedOn w:val="14"/>
    <w:link w:val="5"/>
    <w:qFormat/>
    <w:locked/>
    <w:uiPriority w:val="99"/>
    <w:rPr>
      <w:rFonts w:ascii="宋体" w:hAnsi="宋体" w:eastAsia="宋体" w:cs="宋体"/>
      <w:kern w:val="0"/>
      <w:sz w:val="24"/>
      <w:szCs w:val="24"/>
    </w:rPr>
  </w:style>
  <w:style w:type="character" w:customStyle="1" w:styleId="24">
    <w:name w:val="标题 5 Char"/>
    <w:basedOn w:val="14"/>
    <w:link w:val="6"/>
    <w:qFormat/>
    <w:locked/>
    <w:uiPriority w:val="99"/>
    <w:rPr>
      <w:rFonts w:ascii="宋体" w:hAnsi="宋体" w:eastAsia="宋体" w:cs="宋体"/>
      <w:kern w:val="0"/>
      <w:sz w:val="20"/>
      <w:szCs w:val="20"/>
    </w:rPr>
  </w:style>
  <w:style w:type="character" w:customStyle="1" w:styleId="25">
    <w:name w:val="标题 6 Char"/>
    <w:basedOn w:val="14"/>
    <w:link w:val="7"/>
    <w:qFormat/>
    <w:locked/>
    <w:uiPriority w:val="99"/>
    <w:rPr>
      <w:rFonts w:ascii="宋体" w:hAnsi="宋体" w:eastAsia="宋体" w:cs="宋体"/>
      <w:kern w:val="0"/>
      <w:sz w:val="15"/>
      <w:szCs w:val="15"/>
    </w:rPr>
  </w:style>
  <w:style w:type="character" w:customStyle="1" w:styleId="26">
    <w:name w:val="HTML 地址 Char"/>
    <w:basedOn w:val="14"/>
    <w:link w:val="8"/>
    <w:semiHidden/>
    <w:qFormat/>
    <w:locked/>
    <w:uiPriority w:val="99"/>
    <w:rPr>
      <w:rFonts w:ascii="宋体" w:hAnsi="宋体" w:eastAsia="宋体" w:cs="宋体"/>
      <w:kern w:val="0"/>
      <w:sz w:val="24"/>
      <w:szCs w:val="24"/>
    </w:rPr>
  </w:style>
  <w:style w:type="paragraph" w:customStyle="1" w:styleId="27">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8">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9">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0">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1">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2">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3">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6">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8">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2">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3">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6">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7">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8">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0">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1">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4">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5">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3">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4">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5">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6">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2">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3">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5">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6">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7">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8">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9">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0">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2">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3">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hj-easyread-speakerprocesser-position-action-icon"/>
    <w:basedOn w:val="14"/>
    <w:qFormat/>
    <w:uiPriority w:val="99"/>
    <w:rPr>
      <w:rFonts w:cs="Times New Roman"/>
    </w:rPr>
  </w:style>
  <w:style w:type="paragraph" w:customStyle="1" w:styleId="104">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qFormat/>
    <w:uiPriority w:val="99"/>
    <w:pPr>
      <w:widowControl/>
      <w:spacing w:line="660" w:lineRule="atLeast"/>
      <w:jc w:val="left"/>
    </w:pPr>
    <w:rPr>
      <w:rFonts w:ascii="宋体" w:hAnsi="宋体" w:cs="宋体"/>
      <w:kern w:val="0"/>
      <w:sz w:val="24"/>
      <w:szCs w:val="24"/>
    </w:rPr>
  </w:style>
  <w:style w:type="paragraph" w:customStyle="1" w:styleId="107">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uiPriority w:val="99"/>
    <w:pPr>
      <w:widowControl/>
      <w:jc w:val="left"/>
    </w:pPr>
    <w:rPr>
      <w:rFonts w:ascii="宋体" w:hAnsi="宋体" w:cs="宋体"/>
      <w:kern w:val="0"/>
      <w:sz w:val="24"/>
      <w:szCs w:val="24"/>
    </w:rPr>
  </w:style>
  <w:style w:type="paragraph" w:customStyle="1" w:styleId="118">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0">
    <w:name w:val="hj-easyread-speakerprocesser-position-action-icon1"/>
    <w:basedOn w:val="14"/>
    <w:qFormat/>
    <w:uiPriority w:val="99"/>
    <w:rPr>
      <w:rFonts w:cs="Times New Roman"/>
      <w:shd w:val="clear" w:color="auto" w:fill="auto"/>
    </w:rPr>
  </w:style>
  <w:style w:type="paragraph" w:customStyle="1" w:styleId="121">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2">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3">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4">
    <w:name w:val="页眉 Char"/>
    <w:basedOn w:val="14"/>
    <w:link w:val="10"/>
    <w:semiHidden/>
    <w:qFormat/>
    <w:locked/>
    <w:uiPriority w:val="99"/>
    <w:rPr>
      <w:rFonts w:cs="Times New Roman"/>
      <w:sz w:val="18"/>
      <w:szCs w:val="18"/>
    </w:rPr>
  </w:style>
  <w:style w:type="character" w:customStyle="1" w:styleId="125">
    <w:name w:val="页脚 Char"/>
    <w:basedOn w:val="14"/>
    <w:link w:val="9"/>
    <w:locked/>
    <w:uiPriority w:val="99"/>
    <w:rPr>
      <w:rFonts w:cs="Times New Roman"/>
      <w:sz w:val="18"/>
      <w:szCs w:val="18"/>
    </w:rPr>
  </w:style>
  <w:style w:type="paragraph" w:styleId="126">
    <w:name w:val="List Paragraph"/>
    <w:basedOn w:val="1"/>
    <w:qFormat/>
    <w:uiPriority w:val="99"/>
    <w:pPr>
      <w:ind w:firstLine="420" w:firstLineChars="200"/>
    </w:pPr>
  </w:style>
  <w:style w:type="paragraph" w:customStyle="1" w:styleId="1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9">
    <w:name w:val="18"/>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30">
    <w:name w:val="peoplefilling"/>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16</Pages>
  <Words>8618</Words>
  <Characters>9189</Characters>
  <Lines>68</Lines>
  <Paragraphs>19</Paragraphs>
  <TotalTime>352</TotalTime>
  <ScaleCrop>false</ScaleCrop>
  <LinksUpToDate>false</LinksUpToDate>
  <CharactersWithSpaces>9271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2020-10-15T03:47:00Z</dcterms:created>
  <dc:creator>ASUS</dc:creator>
  <cp:lastModifiedBy>陈木沐</cp:lastModifiedBy>
  <cp:lastPrinted>2020-10-15T05:26:00Z</cp:lastPrinted>
  <dcterms:modified xsi:type="dcterms:W3CDTF">2025-07-18T08:58:44Z</dcterms:modified>
  <dc:title>2014年度常德市社会劳动保险处</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4384E9EF00954C569B50D7F64A5E1B82_12</vt:lpwstr>
  </property>
</Properties>
</file>