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方正小标宋_GBK" w:cs="Times New Roman"/>
          <w:b/>
          <w:bCs/>
          <w:kern w:val="0"/>
          <w:sz w:val="36"/>
          <w:szCs w:val="36"/>
        </w:rPr>
      </w:pPr>
    </w:p>
    <w:p>
      <w:pPr>
        <w:spacing w:line="580" w:lineRule="exact"/>
        <w:rPr>
          <w:rFonts w:ascii="Times New Roman" w:hAnsi="Times New Roman" w:eastAsia="方正小标宋_GBK" w:cs="Times New Roman"/>
          <w:b/>
          <w:bCs/>
          <w:kern w:val="0"/>
          <w:sz w:val="36"/>
          <w:szCs w:val="36"/>
        </w:rPr>
      </w:pPr>
    </w:p>
    <w:p>
      <w:pPr>
        <w:spacing w:line="580" w:lineRule="exact"/>
        <w:jc w:val="center"/>
        <w:rPr>
          <w:rFonts w:ascii="方正小标宋简体" w:hAnsi="Times New Roman" w:eastAsia="方正小标宋简体" w:cs="Times New Roman"/>
          <w:kern w:val="0"/>
          <w:sz w:val="44"/>
          <w:szCs w:val="44"/>
        </w:rPr>
      </w:pPr>
      <w:r>
        <w:rPr>
          <w:rFonts w:ascii="方正小标宋简体" w:hAnsi="Times New Roman" w:eastAsia="方正小标宋简体" w:cs="方正小标宋简体"/>
          <w:kern w:val="0"/>
          <w:sz w:val="44"/>
          <w:szCs w:val="44"/>
        </w:rPr>
        <w:t>2020</w:t>
      </w:r>
      <w:r>
        <w:rPr>
          <w:rFonts w:hint="eastAsia" w:ascii="方正小标宋简体" w:hAnsi="Times New Roman" w:eastAsia="方正小标宋简体" w:cs="方正小标宋简体"/>
          <w:kern w:val="0"/>
          <w:sz w:val="44"/>
          <w:szCs w:val="44"/>
        </w:rPr>
        <w:t>年度中共澧县县委编制委员会办公室部门整体支出绩效报告</w:t>
      </w:r>
    </w:p>
    <w:p>
      <w:pPr>
        <w:widowControl/>
        <w:spacing w:line="580" w:lineRule="exact"/>
        <w:ind w:firstLine="640" w:firstLineChars="200"/>
        <w:rPr>
          <w:rFonts w:ascii="方正小标宋简体" w:hAnsi="Times New Roman" w:eastAsia="方正小标宋简体" w:cs="Times New Roman"/>
          <w:kern w:val="0"/>
          <w:sz w:val="32"/>
          <w:szCs w:val="32"/>
        </w:rPr>
      </w:pPr>
    </w:p>
    <w:p>
      <w:pPr>
        <w:widowControl/>
        <w:spacing w:line="580" w:lineRule="exact"/>
        <w:ind w:firstLine="960" w:firstLineChars="300"/>
        <w:rPr>
          <w:rFonts w:ascii="黑体" w:hAnsi="黑体" w:eastAsia="黑体" w:cs="Times New Roman"/>
          <w:color w:val="222222"/>
          <w:kern w:val="0"/>
          <w:sz w:val="32"/>
          <w:szCs w:val="32"/>
        </w:rPr>
      </w:pPr>
      <w:r>
        <w:rPr>
          <w:rFonts w:hint="eastAsia" w:ascii="黑体" w:hAnsi="黑体" w:eastAsia="黑体" w:cs="黑体"/>
          <w:color w:val="222222"/>
          <w:kern w:val="0"/>
          <w:sz w:val="32"/>
          <w:szCs w:val="32"/>
        </w:rPr>
        <w:t>一、部门概况</w:t>
      </w:r>
    </w:p>
    <w:p>
      <w:pPr>
        <w:widowControl/>
        <w:spacing w:line="580" w:lineRule="exact"/>
        <w:ind w:firstLine="640" w:firstLineChars="200"/>
        <w:rPr>
          <w:rFonts w:ascii="楷体" w:hAnsi="楷体" w:eastAsia="楷体" w:cs="Times New Roman"/>
          <w:kern w:val="0"/>
          <w:sz w:val="32"/>
          <w:szCs w:val="32"/>
        </w:rPr>
      </w:pPr>
      <w:r>
        <w:rPr>
          <w:rFonts w:hint="eastAsia" w:ascii="楷体" w:hAnsi="楷体" w:eastAsia="楷体" w:cs="楷体"/>
          <w:kern w:val="0"/>
          <w:sz w:val="32"/>
          <w:szCs w:val="32"/>
        </w:rPr>
        <w:t>（一）</w:t>
      </w:r>
      <w:r>
        <w:rPr>
          <w:rFonts w:ascii="楷体" w:hAnsi="楷体" w:eastAsia="楷体" w:cs="楷体"/>
          <w:kern w:val="0"/>
          <w:sz w:val="32"/>
          <w:szCs w:val="32"/>
        </w:rPr>
        <w:t xml:space="preserve"> </w:t>
      </w:r>
      <w:r>
        <w:rPr>
          <w:rFonts w:hint="eastAsia" w:ascii="楷体" w:hAnsi="楷体" w:eastAsia="楷体" w:cs="楷体"/>
          <w:kern w:val="0"/>
          <w:sz w:val="32"/>
          <w:szCs w:val="32"/>
        </w:rPr>
        <w:t>机构、人员构成</w:t>
      </w:r>
    </w:p>
    <w:p>
      <w:pPr>
        <w:widowControl/>
        <w:spacing w:line="58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县委编办作为县委工作机关，归口县委组织部管理。</w:t>
      </w:r>
      <w:r>
        <w:rPr>
          <w:rFonts w:ascii="仿宋_GB2312" w:eastAsia="仿宋_GB2312" w:cs="仿宋_GB2312"/>
          <w:sz w:val="32"/>
          <w:szCs w:val="32"/>
        </w:rPr>
        <w:t> </w:t>
      </w:r>
      <w:r>
        <w:rPr>
          <w:rFonts w:hint="eastAsia" w:ascii="仿宋_GB2312" w:hAnsi="仿宋_GB2312" w:eastAsia="仿宋_GB2312" w:cs="仿宋_GB2312"/>
          <w:sz w:val="32"/>
          <w:szCs w:val="32"/>
        </w:rPr>
        <w:t>负责全县行政管理体制与机构改革及机关事业单位职能配置、机构设置、人员编制、领导职数和事业单位登记管理工作。现有</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个内设机构，归口管理县机构编制事务中心。</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年共核定编制</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名，其中</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行政编制</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名、全额拨款事业编制</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名。</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年实有人员</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人，其中：在职人员</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人，退休人员</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人。</w:t>
      </w:r>
    </w:p>
    <w:p>
      <w:pPr>
        <w:widowControl/>
        <w:tabs>
          <w:tab w:val="left" w:pos="7800"/>
        </w:tabs>
        <w:spacing w:line="580" w:lineRule="exact"/>
        <w:ind w:firstLine="480" w:firstLineChars="150"/>
        <w:rPr>
          <w:rFonts w:ascii="楷体" w:hAnsi="楷体" w:eastAsia="楷体" w:cs="Times New Roman"/>
          <w:color w:val="222222"/>
          <w:kern w:val="0"/>
          <w:sz w:val="32"/>
          <w:szCs w:val="32"/>
        </w:rPr>
      </w:pPr>
      <w:r>
        <w:rPr>
          <w:rFonts w:hint="eastAsia" w:ascii="楷体" w:hAnsi="楷体" w:eastAsia="楷体" w:cs="楷体"/>
          <w:color w:val="222222"/>
          <w:kern w:val="0"/>
          <w:sz w:val="32"/>
          <w:szCs w:val="32"/>
        </w:rPr>
        <w:t>（二）</w:t>
      </w:r>
      <w:r>
        <w:rPr>
          <w:rFonts w:ascii="楷体" w:hAnsi="楷体" w:eastAsia="楷体" w:cs="楷体"/>
          <w:color w:val="222222"/>
          <w:kern w:val="0"/>
          <w:sz w:val="32"/>
          <w:szCs w:val="32"/>
        </w:rPr>
        <w:t xml:space="preserve"> </w:t>
      </w:r>
      <w:r>
        <w:rPr>
          <w:rFonts w:hint="eastAsia" w:ascii="楷体" w:hAnsi="楷体" w:eastAsia="楷体" w:cs="楷体"/>
          <w:color w:val="222222"/>
          <w:kern w:val="0"/>
          <w:sz w:val="32"/>
          <w:szCs w:val="32"/>
        </w:rPr>
        <w:t>单位主要职责</w:t>
      </w:r>
      <w:r>
        <w:rPr>
          <w:rFonts w:ascii="楷体" w:hAnsi="楷体" w:eastAsia="楷体" w:cs="Times New Roman"/>
          <w:color w:val="222222"/>
          <w:kern w:val="0"/>
          <w:sz w:val="32"/>
          <w:szCs w:val="32"/>
        </w:rPr>
        <w:tab/>
      </w:r>
    </w:p>
    <w:p>
      <w:pPr>
        <w:widowControl/>
        <w:spacing w:line="580" w:lineRule="exact"/>
        <w:ind w:firstLine="640" w:firstLineChars="200"/>
        <w:jc w:val="left"/>
        <w:rPr>
          <w:rFonts w:ascii="仿宋_GB2312" w:hAnsi="宋体" w:eastAsia="仿宋_GB2312" w:cs="Times New Roman"/>
          <w:color w:val="101010"/>
          <w:kern w:val="0"/>
          <w:sz w:val="32"/>
          <w:szCs w:val="32"/>
        </w:rPr>
      </w:pPr>
      <w:r>
        <w:rPr>
          <w:rFonts w:ascii="仿宋_GB2312" w:hAnsi="宋体" w:eastAsia="仿宋_GB2312" w:cs="仿宋_GB2312"/>
          <w:color w:val="101010"/>
          <w:kern w:val="0"/>
          <w:sz w:val="32"/>
          <w:szCs w:val="32"/>
        </w:rPr>
        <w:t>1</w:t>
      </w:r>
      <w:r>
        <w:rPr>
          <w:rFonts w:hint="eastAsia" w:ascii="仿宋_GB2312" w:hAnsi="宋体" w:eastAsia="仿宋_GB2312" w:cs="仿宋_GB2312"/>
          <w:color w:val="101010"/>
          <w:kern w:val="0"/>
          <w:sz w:val="32"/>
          <w:szCs w:val="32"/>
        </w:rPr>
        <w:t>、贯彻执行党和国家关于行政管理体制改革和机构改革及机构编制工作的方针、政策、法规，拟定我县行政管理体制改革和机构改革及机构编制管理的实施办法，统一管理全县党政机关和人大、政协、法院、检察院机关以及民主党派、人民团体机关的机构编制工作，检查监督行政管理体制改革和机构改革方案以及机构编制执行情况。</w:t>
      </w:r>
    </w:p>
    <w:p>
      <w:pPr>
        <w:rPr>
          <w:rFonts w:ascii="仿宋_GB2312" w:eastAsia="仿宋_GB2312" w:cs="Times New Roman"/>
          <w:kern w:val="0"/>
          <w:sz w:val="32"/>
          <w:szCs w:val="32"/>
        </w:rPr>
      </w:pPr>
      <w:r>
        <w:rPr>
          <w:kern w:val="0"/>
        </w:rPr>
        <w:t xml:space="preserve">  </w:t>
      </w:r>
      <w:r>
        <w:rPr>
          <w:rFonts w:ascii="仿宋_GB2312" w:eastAsia="仿宋_GB2312" w:cs="仿宋_GB2312"/>
          <w:kern w:val="0"/>
          <w:sz w:val="32"/>
          <w:szCs w:val="32"/>
        </w:rPr>
        <w:t xml:space="preserve">  2</w:t>
      </w:r>
      <w:r>
        <w:rPr>
          <w:rFonts w:hint="eastAsia" w:ascii="仿宋_GB2312" w:eastAsia="仿宋_GB2312" w:cs="仿宋_GB2312"/>
          <w:kern w:val="0"/>
          <w:sz w:val="32"/>
          <w:szCs w:val="32"/>
        </w:rPr>
        <w:t>、研究拟定全县行政管理体制改革与机构改革方案及有关规定；审核县直各部门和乡镇机关机构改革方案；指导、协调行政管理体制改革和机构改革以及机构编制管理工作。</w:t>
      </w:r>
    </w:p>
    <w:p>
      <w:pPr>
        <w:widowControl/>
        <w:spacing w:line="580" w:lineRule="exact"/>
        <w:ind w:firstLine="640" w:firstLineChars="200"/>
        <w:jc w:val="left"/>
        <w:rPr>
          <w:rFonts w:ascii="宋体" w:cs="Times New Roman"/>
          <w:kern w:val="0"/>
          <w:sz w:val="32"/>
          <w:szCs w:val="32"/>
        </w:rPr>
      </w:pPr>
      <w:r>
        <w:rPr>
          <w:rFonts w:ascii="仿宋_GB2312" w:hAnsi="宋体" w:eastAsia="仿宋_GB2312" w:cs="仿宋_GB2312"/>
          <w:color w:val="101010"/>
          <w:kern w:val="0"/>
          <w:sz w:val="32"/>
          <w:szCs w:val="32"/>
        </w:rPr>
        <w:t>3</w:t>
      </w:r>
      <w:r>
        <w:rPr>
          <w:rFonts w:hint="eastAsia" w:ascii="仿宋_GB2312" w:hAnsi="宋体" w:eastAsia="仿宋_GB2312" w:cs="仿宋_GB2312"/>
          <w:color w:val="101010"/>
          <w:kern w:val="0"/>
          <w:sz w:val="32"/>
          <w:szCs w:val="32"/>
        </w:rPr>
        <w:t>、协调县委、县政府各部门的职能配置及其调整；协调县委各部门之间、县政府各部门之间、县委各部门与县政府各部门之间以及各部门与乡镇之间的职责分工。</w:t>
      </w:r>
    </w:p>
    <w:p>
      <w:pPr>
        <w:widowControl/>
        <w:spacing w:line="580" w:lineRule="exact"/>
        <w:ind w:firstLine="640" w:firstLineChars="200"/>
        <w:jc w:val="left"/>
        <w:rPr>
          <w:rFonts w:ascii="宋体" w:cs="Times New Roman"/>
          <w:kern w:val="0"/>
          <w:sz w:val="32"/>
          <w:szCs w:val="32"/>
        </w:rPr>
      </w:pPr>
      <w:r>
        <w:rPr>
          <w:rFonts w:ascii="仿宋_GB2312" w:hAnsi="宋体" w:eastAsia="仿宋_GB2312" w:cs="仿宋_GB2312"/>
          <w:color w:val="101010"/>
          <w:kern w:val="0"/>
          <w:sz w:val="32"/>
          <w:szCs w:val="32"/>
        </w:rPr>
        <w:t>4</w:t>
      </w:r>
      <w:r>
        <w:rPr>
          <w:rFonts w:hint="eastAsia" w:ascii="仿宋_GB2312" w:hAnsi="宋体" w:eastAsia="仿宋_GB2312" w:cs="仿宋_GB2312"/>
          <w:color w:val="101010"/>
          <w:kern w:val="0"/>
          <w:sz w:val="32"/>
          <w:szCs w:val="32"/>
        </w:rPr>
        <w:t>、负责县委、县政府各部门的机构设置、人员编制的审核和二级机构的审批，指出各部门领导班子职数配备的建议。</w:t>
      </w:r>
    </w:p>
    <w:p>
      <w:pPr>
        <w:widowControl/>
        <w:spacing w:line="580" w:lineRule="exact"/>
        <w:ind w:firstLine="640" w:firstLineChars="200"/>
        <w:jc w:val="left"/>
        <w:rPr>
          <w:rFonts w:ascii="宋体" w:cs="Times New Roman"/>
          <w:kern w:val="0"/>
          <w:sz w:val="32"/>
          <w:szCs w:val="32"/>
        </w:rPr>
      </w:pPr>
      <w:r>
        <w:rPr>
          <w:rFonts w:ascii="仿宋_GB2312" w:hAnsi="宋体" w:eastAsia="仿宋_GB2312" w:cs="仿宋_GB2312"/>
          <w:color w:val="101010"/>
          <w:kern w:val="0"/>
          <w:sz w:val="32"/>
          <w:szCs w:val="32"/>
        </w:rPr>
        <w:t>5</w:t>
      </w:r>
      <w:r>
        <w:rPr>
          <w:rFonts w:hint="eastAsia" w:ascii="仿宋_GB2312" w:hAnsi="宋体" w:eastAsia="仿宋_GB2312" w:cs="仿宋_GB2312"/>
          <w:color w:val="101010"/>
          <w:kern w:val="0"/>
          <w:sz w:val="32"/>
          <w:szCs w:val="32"/>
        </w:rPr>
        <w:t>、负责县人大、县政协、县人民法院、县人民检察院机关和各民主党派、人民团体机关的机构设置、人员编制的审核和领导职数的审批，提出领导班子职数配备的建议。</w:t>
      </w:r>
    </w:p>
    <w:p>
      <w:pPr>
        <w:widowControl/>
        <w:spacing w:line="580" w:lineRule="exact"/>
        <w:ind w:firstLine="640" w:firstLineChars="200"/>
        <w:jc w:val="left"/>
        <w:rPr>
          <w:rFonts w:ascii="宋体" w:cs="Times New Roman"/>
          <w:kern w:val="0"/>
          <w:sz w:val="32"/>
          <w:szCs w:val="32"/>
        </w:rPr>
      </w:pPr>
      <w:r>
        <w:rPr>
          <w:rFonts w:ascii="仿宋_GB2312" w:hAnsi="宋体" w:eastAsia="仿宋_GB2312" w:cs="仿宋_GB2312"/>
          <w:color w:val="101010"/>
          <w:kern w:val="0"/>
          <w:sz w:val="32"/>
          <w:szCs w:val="32"/>
        </w:rPr>
        <w:t>6</w:t>
      </w:r>
      <w:r>
        <w:rPr>
          <w:rFonts w:hint="eastAsia" w:ascii="仿宋_GB2312" w:hAnsi="宋体" w:eastAsia="仿宋_GB2312" w:cs="仿宋_GB2312"/>
          <w:color w:val="101010"/>
          <w:kern w:val="0"/>
          <w:sz w:val="32"/>
          <w:szCs w:val="32"/>
        </w:rPr>
        <w:t>、研究拟定全县事业单位管理体制和机构改革方案，负责事业单位机构编制管理工作；负责事业单位机构设置、职能配置、人员编制的审核和领导职数的审批。</w:t>
      </w:r>
    </w:p>
    <w:p>
      <w:pPr>
        <w:widowControl/>
        <w:spacing w:line="580" w:lineRule="exact"/>
        <w:ind w:firstLine="640" w:firstLineChars="200"/>
        <w:jc w:val="left"/>
        <w:rPr>
          <w:rFonts w:ascii="宋体" w:cs="Times New Roman"/>
          <w:kern w:val="0"/>
          <w:sz w:val="32"/>
          <w:szCs w:val="32"/>
        </w:rPr>
      </w:pPr>
      <w:r>
        <w:rPr>
          <w:rFonts w:ascii="仿宋_GB2312" w:hAnsi="宋体" w:eastAsia="仿宋_GB2312" w:cs="仿宋_GB2312"/>
          <w:color w:val="101010"/>
          <w:kern w:val="0"/>
          <w:sz w:val="32"/>
          <w:szCs w:val="32"/>
        </w:rPr>
        <w:t>7</w:t>
      </w:r>
      <w:r>
        <w:rPr>
          <w:rFonts w:hint="eastAsia" w:ascii="仿宋_GB2312" w:hAnsi="宋体" w:eastAsia="仿宋_GB2312" w:cs="仿宋_GB2312"/>
          <w:color w:val="101010"/>
          <w:kern w:val="0"/>
          <w:sz w:val="32"/>
          <w:szCs w:val="32"/>
        </w:rPr>
        <w:t>、研究拟定全县机构编制宏观规划和年度计划，并监督实施；办理机关事业单位上下编事宜；协同有关部门做好县直机关事业单位人员调入、录用和政策性分配安置工作。</w:t>
      </w:r>
    </w:p>
    <w:p>
      <w:pPr>
        <w:widowControl/>
        <w:spacing w:line="580" w:lineRule="exact"/>
        <w:ind w:firstLine="640" w:firstLineChars="200"/>
        <w:jc w:val="left"/>
        <w:rPr>
          <w:rFonts w:ascii="仿宋_GB2312" w:hAnsi="宋体" w:eastAsia="仿宋_GB2312" w:cs="Times New Roman"/>
          <w:color w:val="101010"/>
          <w:kern w:val="0"/>
          <w:sz w:val="32"/>
          <w:szCs w:val="32"/>
        </w:rPr>
      </w:pPr>
      <w:r>
        <w:rPr>
          <w:rFonts w:ascii="仿宋_GB2312" w:hAnsi="宋体" w:eastAsia="仿宋_GB2312" w:cs="仿宋_GB2312"/>
          <w:color w:val="101010"/>
          <w:kern w:val="0"/>
          <w:sz w:val="32"/>
          <w:szCs w:val="32"/>
        </w:rPr>
        <w:t>8</w:t>
      </w:r>
      <w:r>
        <w:rPr>
          <w:rFonts w:hint="eastAsia" w:ascii="仿宋_GB2312" w:hAnsi="宋体" w:eastAsia="仿宋_GB2312" w:cs="仿宋_GB2312"/>
          <w:color w:val="101010"/>
          <w:kern w:val="0"/>
          <w:sz w:val="32"/>
          <w:szCs w:val="32"/>
        </w:rPr>
        <w:t>、贯彻执行国家和省有关事业单位登记管理的法律、法规、规章，拟定全县事业单位登记管理的规范性文件，并组织实施；负责全县事业单位的登记、年检年审和监督管理工作；负责事业单位登记管理行政复议、行政诉讼应诉工作。</w:t>
      </w:r>
    </w:p>
    <w:p>
      <w:pPr>
        <w:widowControl/>
        <w:spacing w:line="580" w:lineRule="exact"/>
        <w:ind w:firstLine="640" w:firstLineChars="200"/>
        <w:jc w:val="left"/>
        <w:rPr>
          <w:rFonts w:ascii="宋体" w:cs="Times New Roman"/>
          <w:kern w:val="0"/>
          <w:sz w:val="32"/>
          <w:szCs w:val="32"/>
        </w:rPr>
      </w:pPr>
      <w:r>
        <w:rPr>
          <w:rFonts w:ascii="仿宋_GB2312" w:hAnsi="宋体" w:eastAsia="仿宋_GB2312" w:cs="仿宋_GB2312"/>
          <w:color w:val="101010"/>
          <w:kern w:val="0"/>
          <w:sz w:val="32"/>
          <w:szCs w:val="32"/>
        </w:rPr>
        <w:t>9</w:t>
      </w:r>
      <w:r>
        <w:rPr>
          <w:rFonts w:hint="eastAsia" w:ascii="仿宋_GB2312" w:hAnsi="宋体" w:eastAsia="仿宋_GB2312" w:cs="仿宋_GB2312"/>
          <w:color w:val="101010"/>
          <w:kern w:val="0"/>
          <w:sz w:val="32"/>
          <w:szCs w:val="32"/>
        </w:rPr>
        <w:t>、负责机构改革和机构编制管理有关信息的采集和情况综合，负责机构编制统计工作。</w:t>
      </w:r>
    </w:p>
    <w:p>
      <w:pPr>
        <w:widowControl/>
        <w:spacing w:line="580" w:lineRule="exact"/>
        <w:ind w:firstLine="640" w:firstLineChars="200"/>
        <w:rPr>
          <w:rFonts w:eastAsia="仿宋_GB2312" w:cs="Times New Roman"/>
          <w:color w:val="222222"/>
          <w:kern w:val="0"/>
          <w:sz w:val="32"/>
          <w:szCs w:val="32"/>
        </w:rPr>
      </w:pPr>
      <w:r>
        <w:rPr>
          <w:rFonts w:ascii="仿宋_GB2312" w:hAnsi="宋体" w:eastAsia="仿宋_GB2312" w:cs="仿宋_GB2312"/>
          <w:color w:val="101010"/>
          <w:kern w:val="0"/>
          <w:sz w:val="32"/>
          <w:szCs w:val="32"/>
        </w:rPr>
        <w:t>10</w:t>
      </w:r>
      <w:r>
        <w:rPr>
          <w:rFonts w:hint="eastAsia" w:ascii="仿宋_GB2312" w:hAnsi="宋体" w:eastAsia="仿宋_GB2312" w:cs="仿宋_GB2312"/>
          <w:color w:val="101010"/>
          <w:kern w:val="0"/>
          <w:sz w:val="32"/>
          <w:szCs w:val="32"/>
        </w:rPr>
        <w:t>、承办县委、县政府交办的其它事项。</w:t>
      </w:r>
    </w:p>
    <w:p>
      <w:pPr>
        <w:widowControl/>
        <w:spacing w:line="580" w:lineRule="exact"/>
        <w:ind w:firstLine="640" w:firstLineChars="200"/>
        <w:rPr>
          <w:rFonts w:ascii="黑体" w:hAnsi="黑体" w:eastAsia="黑体" w:cs="Times New Roman"/>
          <w:color w:val="222222"/>
          <w:kern w:val="0"/>
          <w:sz w:val="32"/>
          <w:szCs w:val="32"/>
        </w:rPr>
      </w:pPr>
      <w:r>
        <w:rPr>
          <w:rFonts w:hint="eastAsia" w:ascii="黑体" w:hAnsi="黑体" w:eastAsia="黑体" w:cs="黑体"/>
          <w:color w:val="222222"/>
          <w:kern w:val="0"/>
          <w:sz w:val="32"/>
          <w:szCs w:val="32"/>
        </w:rPr>
        <w:t>二、部门财务情况</w:t>
      </w:r>
    </w:p>
    <w:p>
      <w:pPr>
        <w:widowControl/>
        <w:spacing w:line="580" w:lineRule="exact"/>
        <w:ind w:firstLine="640" w:firstLineChars="200"/>
        <w:rPr>
          <w:rFonts w:ascii="楷体" w:hAnsi="楷体" w:eastAsia="楷体" w:cs="Times New Roman"/>
          <w:color w:val="222222"/>
          <w:kern w:val="0"/>
          <w:sz w:val="32"/>
          <w:szCs w:val="32"/>
        </w:rPr>
      </w:pPr>
      <w:r>
        <w:rPr>
          <w:rFonts w:hint="eastAsia" w:ascii="楷体" w:hAnsi="楷体" w:eastAsia="楷体" w:cs="楷体"/>
          <w:color w:val="222222"/>
          <w:kern w:val="0"/>
          <w:sz w:val="32"/>
          <w:szCs w:val="32"/>
        </w:rPr>
        <w:t>（一）部门整体支出情况</w:t>
      </w:r>
    </w:p>
    <w:p>
      <w:pPr>
        <w:spacing w:line="58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县委编委办</w:t>
      </w:r>
      <w:r>
        <w:rPr>
          <w:rFonts w:ascii="仿宋_GB2312" w:eastAsia="仿宋_GB2312" w:cs="仿宋_GB2312"/>
          <w:sz w:val="32"/>
          <w:szCs w:val="32"/>
        </w:rPr>
        <w:t>2020</w:t>
      </w:r>
      <w:r>
        <w:rPr>
          <w:rFonts w:hint="eastAsia" w:ascii="仿宋_GB2312" w:eastAsia="仿宋_GB2312" w:cs="仿宋_GB2312"/>
          <w:sz w:val="32"/>
          <w:szCs w:val="32"/>
        </w:rPr>
        <w:t>年度收入总计</w:t>
      </w:r>
      <w:r>
        <w:rPr>
          <w:rFonts w:ascii="仿宋_GB2312" w:eastAsia="仿宋_GB2312" w:cs="仿宋_GB2312"/>
          <w:sz w:val="32"/>
          <w:szCs w:val="32"/>
        </w:rPr>
        <w:t>267.4</w:t>
      </w:r>
      <w:r>
        <w:rPr>
          <w:rFonts w:hint="eastAsia" w:ascii="仿宋_GB2312" w:eastAsia="仿宋_GB2312" w:cs="仿宋_GB2312"/>
          <w:sz w:val="32"/>
          <w:szCs w:val="32"/>
        </w:rPr>
        <w:t>万元，其中财政拨款收入</w:t>
      </w:r>
      <w:r>
        <w:rPr>
          <w:rFonts w:ascii="仿宋_GB2312" w:eastAsia="仿宋_GB2312" w:cs="仿宋_GB2312"/>
          <w:sz w:val="32"/>
          <w:szCs w:val="32"/>
        </w:rPr>
        <w:t>233.37</w:t>
      </w:r>
      <w:r>
        <w:rPr>
          <w:rFonts w:hint="eastAsia" w:ascii="仿宋_GB2312" w:eastAsia="仿宋_GB2312" w:cs="仿宋_GB2312"/>
          <w:sz w:val="32"/>
          <w:szCs w:val="32"/>
        </w:rPr>
        <w:t>万元，上年结转和结余</w:t>
      </w:r>
      <w:r>
        <w:rPr>
          <w:rFonts w:ascii="仿宋_GB2312" w:eastAsia="仿宋_GB2312" w:cs="仿宋_GB2312"/>
          <w:sz w:val="32"/>
          <w:szCs w:val="32"/>
        </w:rPr>
        <w:t>34.03</w:t>
      </w:r>
      <w:r>
        <w:rPr>
          <w:rFonts w:hint="eastAsia" w:ascii="仿宋_GB2312" w:eastAsia="仿宋_GB2312" w:cs="仿宋_GB2312"/>
          <w:sz w:val="32"/>
          <w:szCs w:val="32"/>
        </w:rPr>
        <w:t>万元。</w:t>
      </w:r>
      <w:r>
        <w:rPr>
          <w:rFonts w:ascii="仿宋_GB2312" w:eastAsia="仿宋_GB2312" w:cs="仿宋_GB2312"/>
          <w:sz w:val="32"/>
          <w:szCs w:val="32"/>
        </w:rPr>
        <w:t>2020</w:t>
      </w:r>
      <w:r>
        <w:rPr>
          <w:rFonts w:hint="eastAsia" w:ascii="仿宋_GB2312" w:eastAsia="仿宋_GB2312" w:cs="仿宋_GB2312"/>
          <w:sz w:val="32"/>
          <w:szCs w:val="32"/>
        </w:rPr>
        <w:t>年度全年总支出</w:t>
      </w:r>
      <w:r>
        <w:rPr>
          <w:rFonts w:ascii="仿宋_GB2312" w:eastAsia="仿宋_GB2312" w:cs="仿宋_GB2312"/>
          <w:sz w:val="32"/>
          <w:szCs w:val="32"/>
        </w:rPr>
        <w:t>239.41</w:t>
      </w:r>
      <w:r>
        <w:rPr>
          <w:rFonts w:hint="eastAsia" w:ascii="仿宋_GB2312" w:eastAsia="仿宋_GB2312" w:cs="仿宋_GB2312"/>
          <w:sz w:val="32"/>
          <w:szCs w:val="32"/>
        </w:rPr>
        <w:t>万元，其中：工资福利支出</w:t>
      </w:r>
      <w:r>
        <w:rPr>
          <w:rFonts w:ascii="仿宋_GB2312" w:eastAsia="仿宋_GB2312" w:cs="仿宋_GB2312"/>
          <w:sz w:val="32"/>
          <w:szCs w:val="32"/>
        </w:rPr>
        <w:t>173.2</w:t>
      </w:r>
      <w:r>
        <w:rPr>
          <w:rFonts w:hint="eastAsia" w:ascii="仿宋_GB2312" w:eastAsia="仿宋_GB2312" w:cs="仿宋_GB2312"/>
          <w:sz w:val="32"/>
          <w:szCs w:val="32"/>
        </w:rPr>
        <w:t>万元、商品和服务支出</w:t>
      </w:r>
      <w:r>
        <w:rPr>
          <w:rFonts w:ascii="仿宋_GB2312" w:eastAsia="仿宋_GB2312" w:cs="仿宋_GB2312"/>
          <w:sz w:val="32"/>
          <w:szCs w:val="32"/>
        </w:rPr>
        <w:t>18.55</w:t>
      </w:r>
      <w:r>
        <w:rPr>
          <w:rFonts w:hint="eastAsia" w:ascii="仿宋_GB2312" w:eastAsia="仿宋_GB2312" w:cs="仿宋_GB2312"/>
          <w:sz w:val="32"/>
          <w:szCs w:val="32"/>
        </w:rPr>
        <w:t>万元，项目支出</w:t>
      </w:r>
      <w:r>
        <w:rPr>
          <w:rFonts w:ascii="仿宋_GB2312" w:eastAsia="仿宋_GB2312" w:cs="仿宋_GB2312"/>
          <w:sz w:val="32"/>
          <w:szCs w:val="32"/>
        </w:rPr>
        <w:t>47.66</w:t>
      </w:r>
      <w:r>
        <w:rPr>
          <w:rFonts w:hint="eastAsia" w:ascii="仿宋_GB2312" w:eastAsia="仿宋_GB2312" w:cs="仿宋_GB2312"/>
          <w:sz w:val="32"/>
          <w:szCs w:val="32"/>
        </w:rPr>
        <w:t>万元。</w:t>
      </w:r>
    </w:p>
    <w:p>
      <w:pPr>
        <w:widowControl/>
        <w:spacing w:line="580" w:lineRule="exact"/>
        <w:ind w:firstLine="640" w:firstLineChars="200"/>
        <w:rPr>
          <w:rFonts w:ascii="楷体" w:hAnsi="楷体" w:eastAsia="楷体" w:cs="Times New Roman"/>
          <w:color w:val="222222"/>
          <w:kern w:val="0"/>
          <w:sz w:val="32"/>
          <w:szCs w:val="32"/>
        </w:rPr>
      </w:pPr>
      <w:r>
        <w:rPr>
          <w:rFonts w:hint="eastAsia" w:ascii="楷体" w:hAnsi="楷体" w:eastAsia="楷体" w:cs="楷体"/>
          <w:color w:val="222222"/>
          <w:kern w:val="0"/>
          <w:sz w:val="32"/>
          <w:szCs w:val="32"/>
        </w:rPr>
        <w:t>（二）部门预算收支决算情况</w:t>
      </w:r>
    </w:p>
    <w:p>
      <w:pPr>
        <w:spacing w:line="58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我办</w:t>
      </w:r>
      <w:r>
        <w:rPr>
          <w:rFonts w:ascii="仿宋_GB2312" w:eastAsia="仿宋_GB2312" w:cs="仿宋_GB2312"/>
          <w:sz w:val="32"/>
          <w:szCs w:val="32"/>
        </w:rPr>
        <w:t>2020</w:t>
      </w:r>
      <w:r>
        <w:rPr>
          <w:rFonts w:hint="eastAsia" w:ascii="仿宋_GB2312" w:eastAsia="仿宋_GB2312" w:cs="仿宋_GB2312"/>
          <w:sz w:val="32"/>
          <w:szCs w:val="32"/>
        </w:rPr>
        <w:t>年年初预算支出</w:t>
      </w:r>
      <w:r>
        <w:rPr>
          <w:rFonts w:ascii="仿宋_GB2312" w:eastAsia="仿宋_GB2312" w:cs="仿宋_GB2312"/>
          <w:sz w:val="32"/>
          <w:szCs w:val="32"/>
        </w:rPr>
        <w:t>174.83</w:t>
      </w:r>
      <w:r>
        <w:rPr>
          <w:rFonts w:hint="eastAsia" w:ascii="仿宋_GB2312" w:eastAsia="仿宋_GB2312" w:cs="仿宋_GB2312"/>
          <w:sz w:val="32"/>
          <w:szCs w:val="32"/>
        </w:rPr>
        <w:t>万元，决算支出</w:t>
      </w:r>
      <w:r>
        <w:rPr>
          <w:rFonts w:ascii="仿宋_GB2312" w:eastAsia="仿宋_GB2312" w:cs="仿宋_GB2312"/>
          <w:sz w:val="32"/>
          <w:szCs w:val="32"/>
        </w:rPr>
        <w:t>239.41</w:t>
      </w:r>
      <w:r>
        <w:rPr>
          <w:rFonts w:hint="eastAsia" w:ascii="仿宋_GB2312" w:eastAsia="仿宋_GB2312" w:cs="仿宋_GB2312"/>
          <w:sz w:val="32"/>
          <w:szCs w:val="32"/>
        </w:rPr>
        <w:t>万元。决算数大于预算数主要因为：一是在职人员工资、社会保障费增加。二是年度专项工作多、业务工作量有较大增长，追加了工作经费，增加了行政运行成本。</w:t>
      </w:r>
    </w:p>
    <w:p>
      <w:pPr>
        <w:widowControl/>
        <w:spacing w:line="580" w:lineRule="exact"/>
        <w:ind w:firstLine="640" w:firstLineChars="200"/>
        <w:rPr>
          <w:rFonts w:ascii="楷体" w:hAnsi="楷体" w:eastAsia="楷体" w:cs="Times New Roman"/>
          <w:color w:val="222222"/>
          <w:kern w:val="0"/>
          <w:sz w:val="32"/>
          <w:szCs w:val="32"/>
        </w:rPr>
      </w:pPr>
      <w:r>
        <w:rPr>
          <w:rFonts w:hint="eastAsia" w:ascii="楷体" w:hAnsi="楷体" w:eastAsia="楷体" w:cs="楷体"/>
          <w:color w:val="222222"/>
          <w:kern w:val="0"/>
          <w:sz w:val="32"/>
          <w:szCs w:val="32"/>
        </w:rPr>
        <w:t>（三）</w:t>
      </w:r>
      <w:r>
        <w:rPr>
          <w:rFonts w:ascii="楷体" w:hAnsi="楷体" w:eastAsia="楷体" w:cs="楷体"/>
          <w:color w:val="222222"/>
          <w:kern w:val="0"/>
          <w:sz w:val="32"/>
          <w:szCs w:val="32"/>
        </w:rPr>
        <w:t xml:space="preserve"> </w:t>
      </w:r>
      <w:r>
        <w:rPr>
          <w:rFonts w:hint="eastAsia" w:ascii="楷体" w:hAnsi="楷体" w:eastAsia="楷体" w:cs="楷体"/>
          <w:color w:val="222222"/>
          <w:kern w:val="0"/>
          <w:sz w:val="32"/>
          <w:szCs w:val="32"/>
        </w:rPr>
        <w:t>“三公经费”支出使用和管理情况</w:t>
      </w:r>
    </w:p>
    <w:p>
      <w:pPr>
        <w:spacing w:line="580" w:lineRule="exact"/>
        <w:ind w:firstLine="640" w:firstLineChars="200"/>
        <w:rPr>
          <w:rFonts w:ascii="仿宋_GB2312" w:eastAsia="仿宋_GB2312" w:cs="Times New Roman"/>
          <w:sz w:val="32"/>
          <w:szCs w:val="32"/>
        </w:rPr>
      </w:pPr>
      <w:r>
        <w:rPr>
          <w:rFonts w:ascii="仿宋_GB2312" w:eastAsia="仿宋_GB2312" w:cs="仿宋_GB2312"/>
          <w:sz w:val="32"/>
          <w:szCs w:val="32"/>
        </w:rPr>
        <w:t>2020</w:t>
      </w:r>
      <w:r>
        <w:rPr>
          <w:rFonts w:hint="eastAsia" w:ascii="仿宋_GB2312" w:eastAsia="仿宋_GB2312" w:cs="仿宋_GB2312"/>
          <w:sz w:val="32"/>
          <w:szCs w:val="32"/>
        </w:rPr>
        <w:t>年我们严格执行中央八项规定和县委有关规定，完善相关管理制度，并从源头上根治了“三公”经费浪费问题。县委编委办“三公”经费支出总计</w:t>
      </w:r>
      <w:r>
        <w:rPr>
          <w:rFonts w:ascii="仿宋_GB2312" w:eastAsia="仿宋_GB2312" w:cs="仿宋_GB2312"/>
          <w:sz w:val="32"/>
          <w:szCs w:val="32"/>
        </w:rPr>
        <w:t>3</w:t>
      </w:r>
      <w:r>
        <w:rPr>
          <w:rFonts w:hint="eastAsia" w:ascii="仿宋_GB2312" w:eastAsia="仿宋_GB2312" w:cs="仿宋_GB2312"/>
          <w:sz w:val="32"/>
          <w:szCs w:val="32"/>
        </w:rPr>
        <w:t>万元</w:t>
      </w:r>
      <w:r>
        <w:rPr>
          <w:rFonts w:ascii="仿宋_GB2312" w:eastAsia="仿宋_GB2312" w:cs="仿宋_GB2312"/>
          <w:sz w:val="32"/>
          <w:szCs w:val="32"/>
        </w:rPr>
        <w:t>,</w:t>
      </w:r>
      <w:r>
        <w:rPr>
          <w:rFonts w:hint="eastAsia" w:ascii="仿宋_GB2312" w:eastAsia="仿宋_GB2312" w:cs="仿宋_GB2312"/>
          <w:sz w:val="32"/>
          <w:szCs w:val="32"/>
        </w:rPr>
        <w:t>其中：公务接待费</w:t>
      </w:r>
      <w:r>
        <w:rPr>
          <w:rFonts w:ascii="仿宋_GB2312" w:eastAsia="仿宋_GB2312" w:cs="仿宋_GB2312"/>
          <w:sz w:val="32"/>
          <w:szCs w:val="32"/>
        </w:rPr>
        <w:t>3</w:t>
      </w:r>
      <w:r>
        <w:rPr>
          <w:rFonts w:hint="eastAsia" w:ascii="仿宋_GB2312" w:eastAsia="仿宋_GB2312" w:cs="仿宋_GB2312"/>
          <w:sz w:val="32"/>
          <w:szCs w:val="32"/>
        </w:rPr>
        <w:t>万元，公务用车运行费</w:t>
      </w:r>
      <w:r>
        <w:rPr>
          <w:rFonts w:ascii="仿宋_GB2312" w:eastAsia="仿宋_GB2312" w:cs="仿宋_GB2312"/>
          <w:sz w:val="32"/>
          <w:szCs w:val="32"/>
        </w:rPr>
        <w:t>0</w:t>
      </w:r>
      <w:r>
        <w:rPr>
          <w:rFonts w:hint="eastAsia" w:ascii="仿宋_GB2312" w:eastAsia="仿宋_GB2312" w:cs="仿宋_GB2312"/>
          <w:sz w:val="32"/>
          <w:szCs w:val="32"/>
        </w:rPr>
        <w:t>万元，出国经费为</w:t>
      </w:r>
      <w:r>
        <w:rPr>
          <w:rFonts w:ascii="仿宋_GB2312" w:eastAsia="仿宋_GB2312" w:cs="仿宋_GB2312"/>
          <w:sz w:val="32"/>
          <w:szCs w:val="32"/>
        </w:rPr>
        <w:t>0,</w:t>
      </w:r>
      <w:r>
        <w:rPr>
          <w:rFonts w:hint="eastAsia" w:ascii="仿宋_GB2312" w:eastAsia="仿宋_GB2312" w:cs="仿宋_GB2312"/>
          <w:sz w:val="32"/>
          <w:szCs w:val="32"/>
        </w:rPr>
        <w:t>三公经费比</w:t>
      </w:r>
      <w:r>
        <w:rPr>
          <w:rFonts w:ascii="仿宋_GB2312" w:eastAsia="仿宋_GB2312" w:cs="仿宋_GB2312"/>
          <w:sz w:val="32"/>
          <w:szCs w:val="32"/>
        </w:rPr>
        <w:t>2019</w:t>
      </w:r>
      <w:r>
        <w:rPr>
          <w:rFonts w:hint="eastAsia" w:ascii="仿宋_GB2312" w:eastAsia="仿宋_GB2312" w:cs="仿宋_GB2312"/>
          <w:sz w:val="32"/>
          <w:szCs w:val="32"/>
        </w:rPr>
        <w:t>年总计减少</w:t>
      </w:r>
      <w:r>
        <w:rPr>
          <w:rFonts w:ascii="仿宋_GB2312" w:eastAsia="仿宋_GB2312" w:cs="仿宋_GB2312"/>
          <w:sz w:val="32"/>
          <w:szCs w:val="32"/>
        </w:rPr>
        <w:t>0.21</w:t>
      </w:r>
      <w:r>
        <w:rPr>
          <w:rFonts w:hint="eastAsia" w:ascii="仿宋_GB2312" w:eastAsia="仿宋_GB2312" w:cs="仿宋_GB2312"/>
          <w:sz w:val="32"/>
          <w:szCs w:val="32"/>
        </w:rPr>
        <w:t>万元，减少率为</w:t>
      </w:r>
      <w:r>
        <w:rPr>
          <w:rFonts w:ascii="仿宋_GB2312" w:eastAsia="仿宋_GB2312" w:cs="仿宋_GB2312"/>
          <w:sz w:val="32"/>
          <w:szCs w:val="32"/>
        </w:rPr>
        <w:t>6.5%</w:t>
      </w:r>
      <w:r>
        <w:rPr>
          <w:rFonts w:hint="eastAsia" w:ascii="仿宋_GB2312" w:eastAsia="仿宋_GB2312" w:cs="仿宋_GB2312"/>
          <w:sz w:val="32"/>
          <w:szCs w:val="32"/>
        </w:rPr>
        <w:t>。</w:t>
      </w:r>
    </w:p>
    <w:p>
      <w:pPr>
        <w:widowControl/>
        <w:spacing w:line="580" w:lineRule="exact"/>
        <w:ind w:firstLine="640" w:firstLineChars="200"/>
        <w:rPr>
          <w:rFonts w:ascii="黑体" w:hAnsi="黑体" w:eastAsia="黑体" w:cs="Times New Roman"/>
          <w:color w:val="222222"/>
          <w:kern w:val="0"/>
          <w:sz w:val="32"/>
          <w:szCs w:val="32"/>
        </w:rPr>
      </w:pPr>
      <w:r>
        <w:rPr>
          <w:rFonts w:hint="eastAsia" w:ascii="黑体" w:hAnsi="黑体" w:eastAsia="黑体" w:cs="黑体"/>
          <w:color w:val="222222"/>
          <w:kern w:val="0"/>
          <w:sz w:val="32"/>
          <w:szCs w:val="32"/>
        </w:rPr>
        <w:t>三、部门绩效目标</w:t>
      </w:r>
    </w:p>
    <w:p>
      <w:pPr>
        <w:ind w:firstLine="640" w:firstLineChars="200"/>
        <w:rPr>
          <w:rFonts w:ascii="仿宋_GB2312" w:eastAsia="仿宋_GB2312" w:cs="Times New Roman"/>
          <w:kern w:val="0"/>
          <w:sz w:val="32"/>
          <w:szCs w:val="32"/>
        </w:rPr>
      </w:pPr>
      <w:r>
        <w:rPr>
          <w:rFonts w:hint="eastAsia" w:ascii="仿宋_GB2312" w:eastAsia="仿宋_GB2312" w:cs="仿宋_GB2312"/>
          <w:kern w:val="0"/>
          <w:sz w:val="32"/>
          <w:szCs w:val="32"/>
        </w:rPr>
        <w:t>（一）部门绩效总目标</w:t>
      </w:r>
    </w:p>
    <w:p>
      <w:pPr>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全面贯彻党的十九大精神，以习近平新时代中国特色社会主义思想为指导</w:t>
      </w:r>
      <w:r>
        <w:rPr>
          <w:rFonts w:hint="eastAsia" w:ascii="仿宋_GB2312" w:hAnsi="仿宋" w:eastAsia="仿宋_GB2312" w:cs="仿宋_GB2312"/>
          <w:kern w:val="0"/>
          <w:sz w:val="32"/>
          <w:szCs w:val="32"/>
        </w:rPr>
        <w:t>，稳妥推进机构改革，优化资源配置，夯实业务基础，</w:t>
      </w:r>
      <w:r>
        <w:rPr>
          <w:rFonts w:hint="eastAsia" w:ascii="仿宋_GB2312" w:hAnsi="仿宋" w:eastAsia="仿宋_GB2312" w:cs="仿宋_GB2312"/>
          <w:sz w:val="32"/>
          <w:szCs w:val="32"/>
        </w:rPr>
        <w:t>强化自身建设，不断提升机构编制工作整体水平。</w:t>
      </w:r>
    </w:p>
    <w:p>
      <w:pPr>
        <w:widowControl/>
        <w:spacing w:line="58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（二）</w:t>
      </w:r>
      <w:r>
        <w:rPr>
          <w:rFonts w:ascii="仿宋_GB2312" w:hAnsi="仿宋" w:eastAsia="仿宋_GB2312" w:cs="仿宋_GB2312"/>
          <w:sz w:val="32"/>
          <w:szCs w:val="32"/>
        </w:rPr>
        <w:t>2020</w:t>
      </w:r>
      <w:r>
        <w:rPr>
          <w:rFonts w:hint="eastAsia" w:ascii="仿宋_GB2312" w:hAnsi="仿宋" w:eastAsia="仿宋_GB2312" w:cs="仿宋_GB2312"/>
          <w:sz w:val="32"/>
          <w:szCs w:val="32"/>
        </w:rPr>
        <w:t>年度部门绩效目标</w:t>
      </w:r>
    </w:p>
    <w:p>
      <w:pPr>
        <w:spacing w:line="580" w:lineRule="exact"/>
        <w:ind w:firstLine="640" w:firstLineChars="200"/>
        <w:rPr>
          <w:rFonts w:ascii="仿宋_GB2312" w:hAnsi="仿宋" w:eastAsia="仿宋_GB2312" w:cs="Times New Roman"/>
          <w:kern w:val="0"/>
          <w:sz w:val="32"/>
          <w:szCs w:val="32"/>
        </w:rPr>
      </w:pPr>
      <w:r>
        <w:rPr>
          <w:rFonts w:ascii="仿宋_GB2312" w:hAnsi="楷体" w:eastAsia="仿宋_GB2312" w:cs="仿宋_GB2312"/>
          <w:sz w:val="32"/>
          <w:szCs w:val="32"/>
        </w:rPr>
        <w:t>1</w:t>
      </w:r>
      <w:r>
        <w:rPr>
          <w:rFonts w:hint="eastAsia" w:ascii="仿宋_GB2312" w:hAnsi="楷体" w:eastAsia="仿宋_GB2312" w:cs="仿宋_GB2312"/>
          <w:sz w:val="32"/>
          <w:szCs w:val="32"/>
        </w:rPr>
        <w:t>、深化事业单位改革。</w:t>
      </w:r>
      <w:r>
        <w:rPr>
          <w:rFonts w:hint="eastAsia" w:ascii="仿宋_GB2312" w:hAnsi="仿宋" w:eastAsia="仿宋_GB2312" w:cs="仿宋_GB2312"/>
          <w:kern w:val="0"/>
          <w:sz w:val="32"/>
          <w:szCs w:val="32"/>
        </w:rPr>
        <w:t>完成涉改科级事业单位“三定”方案。</w:t>
      </w:r>
    </w:p>
    <w:p>
      <w:pPr>
        <w:spacing w:line="580" w:lineRule="exact"/>
        <w:ind w:firstLine="640" w:firstLineChars="200"/>
        <w:rPr>
          <w:rFonts w:ascii="仿宋_GB2312" w:hAnsi="仿宋" w:eastAsia="仿宋_GB2312" w:cs="Times New Roman"/>
          <w:sz w:val="32"/>
          <w:szCs w:val="32"/>
        </w:rPr>
      </w:pPr>
      <w:r>
        <w:rPr>
          <w:rFonts w:ascii="仿宋_GB2312" w:hAnsi="楷体" w:eastAsia="仿宋_GB2312" w:cs="仿宋_GB2312"/>
          <w:sz w:val="32"/>
          <w:szCs w:val="32"/>
        </w:rPr>
        <w:t>2</w:t>
      </w:r>
      <w:r>
        <w:rPr>
          <w:rFonts w:hint="eastAsia" w:ascii="仿宋_GB2312" w:hAnsi="楷体" w:eastAsia="仿宋_GB2312" w:cs="仿宋_GB2312"/>
          <w:sz w:val="32"/>
          <w:szCs w:val="32"/>
        </w:rPr>
        <w:t>、继续推进综合行政执法改革。</w:t>
      </w:r>
      <w:r>
        <w:rPr>
          <w:rFonts w:hint="eastAsia" w:ascii="仿宋_GB2312" w:hAnsi="仿宋" w:eastAsia="仿宋_GB2312" w:cs="仿宋_GB2312"/>
          <w:sz w:val="32"/>
          <w:szCs w:val="32"/>
        </w:rPr>
        <w:t>重点抓好</w:t>
      </w:r>
      <w:r>
        <w:rPr>
          <w:rFonts w:hint="eastAsia" w:ascii="仿宋_GB2312" w:hAnsi="仿宋" w:eastAsia="仿宋_GB2312" w:cs="仿宋_GB2312"/>
          <w:kern w:val="0"/>
          <w:sz w:val="32"/>
          <w:szCs w:val="32"/>
        </w:rPr>
        <w:t>市场监管、生态环境保护、文化市场、交通运输、农业、城市管理等</w:t>
      </w:r>
      <w:r>
        <w:rPr>
          <w:rFonts w:ascii="仿宋_GB2312" w:hAnsi="仿宋" w:eastAsia="仿宋_GB2312" w:cs="仿宋_GB2312"/>
          <w:kern w:val="0"/>
          <w:sz w:val="32"/>
          <w:szCs w:val="32"/>
        </w:rPr>
        <w:t>6</w:t>
      </w:r>
      <w:r>
        <w:rPr>
          <w:rFonts w:hint="eastAsia" w:ascii="仿宋_GB2312" w:hAnsi="仿宋" w:eastAsia="仿宋_GB2312" w:cs="仿宋_GB2312"/>
          <w:kern w:val="0"/>
          <w:sz w:val="32"/>
          <w:szCs w:val="32"/>
        </w:rPr>
        <w:t>个领域综合执法改革。</w:t>
      </w:r>
    </w:p>
    <w:p>
      <w:pPr>
        <w:adjustRightInd w:val="0"/>
        <w:snapToGrid w:val="0"/>
        <w:spacing w:line="580" w:lineRule="exact"/>
        <w:ind w:firstLine="640"/>
        <w:rPr>
          <w:rFonts w:ascii="仿宋_GB2312" w:hAnsi="仿宋" w:eastAsia="仿宋_GB2312" w:cs="Times New Roman"/>
          <w:sz w:val="32"/>
          <w:szCs w:val="32"/>
        </w:rPr>
      </w:pPr>
      <w:r>
        <w:rPr>
          <w:rFonts w:ascii="仿宋_GB2312" w:hAnsi="楷体" w:eastAsia="仿宋_GB2312" w:cs="仿宋_GB2312"/>
          <w:sz w:val="32"/>
          <w:szCs w:val="32"/>
        </w:rPr>
        <w:t>3</w:t>
      </w:r>
      <w:r>
        <w:rPr>
          <w:rFonts w:hint="eastAsia" w:ascii="仿宋_GB2312" w:hAnsi="楷体" w:eastAsia="仿宋_GB2312" w:cs="仿宋_GB2312"/>
          <w:sz w:val="32"/>
          <w:szCs w:val="32"/>
        </w:rPr>
        <w:t>、切实加强自身建设。</w:t>
      </w:r>
      <w:r>
        <w:rPr>
          <w:rFonts w:hint="eastAsia" w:ascii="仿宋_GB2312" w:hAnsi="仿宋" w:eastAsia="仿宋_GB2312" w:cs="仿宋_GB2312"/>
          <w:sz w:val="32"/>
          <w:szCs w:val="32"/>
        </w:rPr>
        <w:t>深入学习党的十九大和习近平总书记系列重要讲话以及中央、省市县有关会议精神，牢固树立“四</w:t>
      </w:r>
      <w:r>
        <w:rPr>
          <w:rFonts w:hint="eastAsia" w:ascii="仿宋_GB2312" w:hAnsi="仿宋" w:eastAsia="仿宋_GB2312" w:cs="仿宋_GB2312"/>
          <w:sz w:val="32"/>
          <w:szCs w:val="32"/>
          <w:lang w:val="en-US" w:eastAsia="zh-CN"/>
        </w:rPr>
        <w:t>个</w:t>
      </w:r>
      <w:bookmarkStart w:id="0" w:name="_GoBack"/>
      <w:bookmarkEnd w:id="0"/>
      <w:r>
        <w:rPr>
          <w:rFonts w:hint="eastAsia" w:ascii="仿宋_GB2312" w:hAnsi="仿宋" w:eastAsia="仿宋_GB2312" w:cs="仿宋_GB2312"/>
          <w:sz w:val="32"/>
          <w:szCs w:val="32"/>
        </w:rPr>
        <w:t>意识”，强化政治纪律和政治规矩，确保从思想上和党中央保持高度一致。加强机关党的建设，严肃党内政治生活，强化党员日常管理。</w:t>
      </w:r>
    </w:p>
    <w:p>
      <w:pPr>
        <w:widowControl/>
        <w:spacing w:line="580" w:lineRule="exact"/>
        <w:ind w:firstLine="640" w:firstLineChars="200"/>
        <w:rPr>
          <w:rFonts w:ascii="黑体" w:hAnsi="黑体" w:eastAsia="黑体" w:cs="Times New Roman"/>
          <w:color w:val="222222"/>
          <w:kern w:val="0"/>
          <w:sz w:val="32"/>
          <w:szCs w:val="32"/>
        </w:rPr>
      </w:pPr>
      <w:r>
        <w:rPr>
          <w:rFonts w:hint="eastAsia" w:ascii="黑体" w:hAnsi="黑体" w:eastAsia="黑体" w:cs="黑体"/>
          <w:color w:val="222222"/>
          <w:kern w:val="0"/>
          <w:sz w:val="32"/>
          <w:szCs w:val="32"/>
        </w:rPr>
        <w:t>四、绩效评价工作情况</w:t>
      </w:r>
    </w:p>
    <w:p>
      <w:pPr>
        <w:widowControl/>
        <w:spacing w:line="580" w:lineRule="exact"/>
        <w:ind w:firstLine="640" w:firstLineChars="200"/>
        <w:jc w:val="left"/>
        <w:rPr>
          <w:rFonts w:ascii="仿宋_GB2312" w:eastAsia="仿宋_GB2312" w:cs="Times New Roman"/>
          <w:sz w:val="32"/>
          <w:szCs w:val="32"/>
        </w:rPr>
      </w:pPr>
      <w:r>
        <w:rPr>
          <w:rFonts w:hint="eastAsia" w:ascii="仿宋_GB2312" w:hAnsi="仿宋" w:eastAsia="仿宋_GB2312" w:cs="仿宋_GB2312"/>
          <w:sz w:val="32"/>
          <w:szCs w:val="32"/>
        </w:rPr>
        <w:t>为进一步增强本单位支出管理的责任，优化支出结构，提高财政资金使用效益，保障更好地履行职责，根据县财政局关于开</w:t>
      </w:r>
      <w:r>
        <w:rPr>
          <w:rFonts w:hint="eastAsia" w:ascii="仿宋_GB2312" w:eastAsia="仿宋_GB2312" w:cs="仿宋_GB2312"/>
          <w:sz w:val="32"/>
          <w:szCs w:val="32"/>
        </w:rPr>
        <w:t>展财政资金绩效自评工作相关文件要求，本单位制定了部门整体支出绩效评价的工作方案、评价指标，成立了绩效评价工作领导小组、绩效评价工作组，在评价过程中，结合单位实际情况，实施了包含核实数据、查阅资料、发放调查问卷、归纳汇总、根据评价材料结合各项评价指标进行分析评分、形成绩效评价自评报告等工作程序，确保了绩效评估工作按照相关文件精神不走样。</w:t>
      </w:r>
    </w:p>
    <w:p>
      <w:pPr>
        <w:widowControl/>
        <w:spacing w:line="580" w:lineRule="exact"/>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五、综合评价结果</w:t>
      </w:r>
    </w:p>
    <w:p>
      <w:pPr>
        <w:widowControl/>
        <w:spacing w:line="580" w:lineRule="exact"/>
        <w:ind w:firstLine="640" w:firstLineChars="200"/>
        <w:jc w:val="left"/>
        <w:rPr>
          <w:rFonts w:ascii="仿宋_GB2312" w:hAnsi="仿宋" w:eastAsia="仿宋_GB2312" w:cs="Times New Roman"/>
          <w:sz w:val="32"/>
          <w:szCs w:val="32"/>
        </w:rPr>
      </w:pPr>
      <w:r>
        <w:rPr>
          <w:rFonts w:hint="eastAsia" w:ascii="仿宋_GB2312" w:hAnsi="仿宋" w:eastAsia="仿宋_GB2312" w:cs="仿宋_GB2312"/>
          <w:sz w:val="32"/>
          <w:szCs w:val="32"/>
        </w:rPr>
        <w:t>根据《部门整体支出绩效评价指标表》评分，县编办部门整体支出绩效评价得分是：投入绩效为</w:t>
      </w:r>
      <w:r>
        <w:rPr>
          <w:rFonts w:ascii="仿宋_GB2312" w:hAnsi="仿宋" w:eastAsia="仿宋_GB2312" w:cs="仿宋_GB2312"/>
          <w:sz w:val="32"/>
          <w:szCs w:val="32"/>
        </w:rPr>
        <w:t>13</w:t>
      </w:r>
      <w:r>
        <w:rPr>
          <w:rFonts w:hint="eastAsia" w:ascii="仿宋_GB2312" w:hAnsi="仿宋" w:eastAsia="仿宋_GB2312" w:cs="仿宋_GB2312"/>
          <w:sz w:val="32"/>
          <w:szCs w:val="32"/>
        </w:rPr>
        <w:t>分，过程绩效为</w:t>
      </w:r>
      <w:r>
        <w:rPr>
          <w:rFonts w:ascii="仿宋_GB2312" w:hAnsi="仿宋" w:eastAsia="仿宋_GB2312" w:cs="仿宋_GB2312"/>
          <w:sz w:val="32"/>
          <w:szCs w:val="32"/>
        </w:rPr>
        <w:t>58</w:t>
      </w:r>
      <w:r>
        <w:rPr>
          <w:rFonts w:hint="eastAsia" w:ascii="仿宋_GB2312" w:hAnsi="仿宋" w:eastAsia="仿宋_GB2312" w:cs="仿宋_GB2312"/>
          <w:sz w:val="32"/>
          <w:szCs w:val="32"/>
        </w:rPr>
        <w:t>分，产出及效率绩效为</w:t>
      </w:r>
      <w:r>
        <w:rPr>
          <w:rFonts w:ascii="仿宋_GB2312" w:hAnsi="仿宋" w:eastAsia="仿宋_GB2312" w:cs="仿宋_GB2312"/>
          <w:sz w:val="32"/>
          <w:szCs w:val="32"/>
        </w:rPr>
        <w:t>25</w:t>
      </w:r>
      <w:r>
        <w:rPr>
          <w:rFonts w:hint="eastAsia" w:ascii="仿宋_GB2312" w:hAnsi="仿宋" w:eastAsia="仿宋_GB2312" w:cs="仿宋_GB2312"/>
          <w:sz w:val="32"/>
          <w:szCs w:val="32"/>
        </w:rPr>
        <w:t>分，总绩效为</w:t>
      </w:r>
      <w:r>
        <w:rPr>
          <w:rFonts w:ascii="仿宋_GB2312" w:hAnsi="仿宋" w:eastAsia="仿宋_GB2312" w:cs="仿宋_GB2312"/>
          <w:sz w:val="32"/>
          <w:szCs w:val="32"/>
        </w:rPr>
        <w:t>96</w:t>
      </w:r>
      <w:r>
        <w:rPr>
          <w:rFonts w:hint="eastAsia" w:ascii="仿宋_GB2312" w:hAnsi="仿宋" w:eastAsia="仿宋_GB2312" w:cs="仿宋_GB2312"/>
          <w:sz w:val="32"/>
          <w:szCs w:val="32"/>
        </w:rPr>
        <w:t>分。</w:t>
      </w:r>
    </w:p>
    <w:p>
      <w:pPr>
        <w:widowControl/>
        <w:spacing w:line="580" w:lineRule="exact"/>
        <w:ind w:firstLine="640" w:firstLineChars="200"/>
        <w:rPr>
          <w:rFonts w:ascii="黑体" w:hAnsi="黑体" w:eastAsia="黑体" w:cs="Times New Roman"/>
          <w:color w:val="222222"/>
          <w:kern w:val="0"/>
          <w:sz w:val="32"/>
          <w:szCs w:val="32"/>
        </w:rPr>
      </w:pPr>
      <w:r>
        <w:rPr>
          <w:rFonts w:hint="eastAsia" w:ascii="黑体" w:hAnsi="黑体" w:eastAsia="黑体" w:cs="黑体"/>
          <w:color w:val="222222"/>
          <w:kern w:val="0"/>
          <w:sz w:val="32"/>
          <w:szCs w:val="32"/>
        </w:rPr>
        <w:t>六、部门整体支出绩效情况</w:t>
      </w:r>
    </w:p>
    <w:p>
      <w:pPr>
        <w:spacing w:line="580" w:lineRule="exact"/>
        <w:ind w:firstLine="640" w:firstLineChars="200"/>
        <w:rPr>
          <w:rFonts w:ascii="仿宋_GB2312" w:hAnsi="宋体" w:eastAsia="仿宋_GB2312" w:cs="Times New Roman"/>
          <w:sz w:val="32"/>
          <w:szCs w:val="32"/>
        </w:rPr>
      </w:pPr>
      <w:r>
        <w:rPr>
          <w:rFonts w:ascii="仿宋_GB2312" w:hAnsi="楷体" w:eastAsia="仿宋_GB2312" w:cs="仿宋_GB2312"/>
          <w:sz w:val="32"/>
          <w:szCs w:val="32"/>
          <w:shd w:val="clear" w:color="auto" w:fill="FFFFFF"/>
        </w:rPr>
        <w:t>1.</w:t>
      </w:r>
      <w:r>
        <w:rPr>
          <w:rFonts w:hint="eastAsia" w:ascii="仿宋_GB2312" w:hAnsi="楷体" w:eastAsia="仿宋_GB2312" w:cs="仿宋_GB2312"/>
          <w:sz w:val="32"/>
          <w:szCs w:val="32"/>
          <w:shd w:val="clear" w:color="auto" w:fill="FFFFFF"/>
        </w:rPr>
        <w:t>稳妥推进综合行政执法改革。</w:t>
      </w:r>
      <w:r>
        <w:rPr>
          <w:rFonts w:hint="eastAsia" w:ascii="仿宋_GB2312" w:eastAsia="仿宋_GB2312" w:cs="仿宋_GB2312"/>
          <w:sz w:val="32"/>
          <w:szCs w:val="32"/>
        </w:rPr>
        <w:t>已制定印发《市场监管等六个领域综合行政执法改革实施方案》。</w:t>
      </w:r>
      <w:r>
        <w:rPr>
          <w:rFonts w:ascii="仿宋_GB2312" w:eastAsia="仿宋_GB2312" w:cs="仿宋_GB2312"/>
          <w:sz w:val="32"/>
          <w:szCs w:val="32"/>
        </w:rPr>
        <w:t>4</w:t>
      </w:r>
      <w:r>
        <w:rPr>
          <w:rFonts w:hint="eastAsia" w:ascii="仿宋_GB2312" w:eastAsia="仿宋_GB2312" w:cs="仿宋_GB2312"/>
          <w:sz w:val="32"/>
          <w:szCs w:val="32"/>
        </w:rPr>
        <w:t>月份</w:t>
      </w:r>
      <w:r>
        <w:rPr>
          <w:rFonts w:hint="eastAsia" w:eastAsia="仿宋_GB2312" w:cs="仿宋_GB2312"/>
          <w:sz w:val="32"/>
          <w:szCs w:val="32"/>
        </w:rPr>
        <w:t>，县各领域主管部门按照县委机构改革办的要求完成挂牌工作；</w:t>
      </w:r>
      <w:r>
        <w:rPr>
          <w:rFonts w:ascii="仿宋_GB2312" w:eastAsia="仿宋_GB2312" w:cs="仿宋_GB2312"/>
          <w:sz w:val="32"/>
          <w:szCs w:val="32"/>
        </w:rPr>
        <w:t>9</w:t>
      </w:r>
      <w:r>
        <w:rPr>
          <w:rFonts w:hint="eastAsia" w:ascii="仿宋_GB2312" w:eastAsia="仿宋_GB2312" w:cs="仿宋_GB2312"/>
          <w:sz w:val="32"/>
          <w:szCs w:val="32"/>
        </w:rPr>
        <w:t>月份，</w:t>
      </w:r>
      <w:r>
        <w:rPr>
          <w:rFonts w:hint="eastAsia" w:ascii="仿宋_GB2312" w:hAnsi="宋体" w:eastAsia="仿宋_GB2312" w:cs="仿宋_GB2312"/>
          <w:sz w:val="32"/>
          <w:szCs w:val="32"/>
        </w:rPr>
        <w:t>完成县农业综合行政执法局、市场监管综合行政执法局、文化市场综合行政执法局、</w:t>
      </w:r>
      <w:r>
        <w:rPr>
          <w:rFonts w:hint="eastAsia" w:ascii="仿宋_GB2312" w:eastAsia="仿宋_GB2312" w:cs="仿宋_GB2312"/>
          <w:sz w:val="32"/>
          <w:szCs w:val="32"/>
        </w:rPr>
        <w:t>交通运输综合行政执法局等四个</w:t>
      </w:r>
      <w:r>
        <w:rPr>
          <w:rFonts w:hint="eastAsia" w:ascii="仿宋_GB2312" w:hAnsi="宋体" w:eastAsia="仿宋_GB2312" w:cs="仿宋_GB2312"/>
          <w:sz w:val="32"/>
          <w:szCs w:val="32"/>
        </w:rPr>
        <w:t>“三定”规定发文工作，城管领域综合行政执法改革已形成“三定”送审稿。对于人员转隶工作，目前文化市场领域人员转隶已基本完成，交通领域、农业领域、市场监督领域这三个领域人员转隶正在进行。</w:t>
      </w:r>
    </w:p>
    <w:p>
      <w:pPr>
        <w:tabs>
          <w:tab w:val="left" w:pos="3240"/>
        </w:tabs>
        <w:spacing w:line="580" w:lineRule="exact"/>
        <w:ind w:firstLine="640" w:firstLineChars="200"/>
        <w:rPr>
          <w:rFonts w:ascii="仿宋_GB2312" w:eastAsia="仿宋_GB2312" w:cs="Times New Roman"/>
          <w:sz w:val="32"/>
          <w:szCs w:val="32"/>
        </w:rPr>
      </w:pPr>
      <w:r>
        <w:rPr>
          <w:rFonts w:ascii="仿宋_GB2312" w:hAnsi="楷体" w:eastAsia="仿宋_GB2312" w:cs="仿宋_GB2312"/>
          <w:sz w:val="32"/>
          <w:szCs w:val="32"/>
          <w:shd w:val="clear" w:color="auto" w:fill="FFFFFF"/>
        </w:rPr>
        <w:t>2.</w:t>
      </w:r>
      <w:r>
        <w:rPr>
          <w:rFonts w:hint="eastAsia" w:ascii="仿宋_GB2312" w:hAnsi="楷体" w:eastAsia="仿宋_GB2312" w:cs="仿宋_GB2312"/>
          <w:sz w:val="32"/>
          <w:szCs w:val="32"/>
          <w:shd w:val="clear" w:color="auto" w:fill="FFFFFF"/>
        </w:rPr>
        <w:t>有序推进镇（街道）机构改革。</w:t>
      </w:r>
      <w:r>
        <w:rPr>
          <w:rFonts w:hint="eastAsia" w:ascii="仿宋_GB2312" w:eastAsia="仿宋_GB2312" w:cs="仿宋_GB2312"/>
          <w:sz w:val="32"/>
          <w:szCs w:val="32"/>
        </w:rPr>
        <w:t>据上级文件精神，我县下发了</w:t>
      </w:r>
      <w:r>
        <w:rPr>
          <w:rFonts w:hint="eastAsia" w:ascii="仿宋_GB2312" w:hAnsi="黑体" w:eastAsia="仿宋_GB2312" w:cs="仿宋_GB2312"/>
          <w:sz w:val="32"/>
          <w:szCs w:val="32"/>
        </w:rPr>
        <w:t>各镇（街）职能配置、机构设置和人员编制规定文件。</w:t>
      </w:r>
      <w:r>
        <w:rPr>
          <w:rFonts w:hint="eastAsia" w:ascii="仿宋_GB2312" w:eastAsia="仿宋_GB2312" w:cs="仿宋_GB2312"/>
          <w:sz w:val="32"/>
          <w:szCs w:val="32"/>
        </w:rPr>
        <w:t>我县</w:t>
      </w:r>
      <w:r>
        <w:rPr>
          <w:rFonts w:ascii="仿宋_GB2312" w:eastAsia="仿宋_GB2312" w:cs="仿宋_GB2312"/>
          <w:sz w:val="32"/>
          <w:szCs w:val="32"/>
        </w:rPr>
        <w:t>4</w:t>
      </w:r>
      <w:r>
        <w:rPr>
          <w:rFonts w:hint="eastAsia" w:ascii="仿宋_GB2312" w:eastAsia="仿宋_GB2312" w:cs="仿宋_GB2312"/>
          <w:sz w:val="32"/>
          <w:szCs w:val="32"/>
        </w:rPr>
        <w:t>个街道和</w:t>
      </w:r>
      <w:r>
        <w:rPr>
          <w:rFonts w:ascii="仿宋_GB2312" w:eastAsia="仿宋_GB2312" w:cs="仿宋_GB2312"/>
          <w:sz w:val="32"/>
          <w:szCs w:val="32"/>
        </w:rPr>
        <w:t>15</w:t>
      </w:r>
      <w:r>
        <w:rPr>
          <w:rFonts w:hint="eastAsia" w:ascii="仿宋_GB2312" w:eastAsia="仿宋_GB2312" w:cs="仿宋_GB2312"/>
          <w:sz w:val="32"/>
          <w:szCs w:val="32"/>
        </w:rPr>
        <w:t>个镇，严格按照上级有关机构限额要求，在各镇（街道）统一设置</w:t>
      </w:r>
      <w:r>
        <w:rPr>
          <w:rFonts w:hint="eastAsia" w:ascii="仿宋_GB2312" w:hAnsi="仿宋_GB2312" w:eastAsia="仿宋_GB2312" w:cs="仿宋_GB2312"/>
          <w:color w:val="000000"/>
          <w:sz w:val="32"/>
          <w:szCs w:val="32"/>
        </w:rPr>
        <w:t>党政办公室</w:t>
      </w:r>
      <w:r>
        <w:rPr>
          <w:rFonts w:hint="eastAsia" w:ascii="仿宋_GB2312" w:eastAsia="仿宋_GB2312" w:cs="仿宋_GB2312"/>
          <w:sz w:val="32"/>
          <w:szCs w:val="32"/>
        </w:rPr>
        <w:t>、党建办公室、经济发展办公室（加挂脱贫攻坚办公室牌子）、社会事务办</w:t>
      </w:r>
      <w:r>
        <w:rPr>
          <w:rFonts w:hint="eastAsia" w:ascii="仿宋_GB2312" w:hAnsi="仿宋_GB2312" w:eastAsia="仿宋_GB2312" w:cs="仿宋_GB2312"/>
          <w:color w:val="000000"/>
          <w:sz w:val="32"/>
          <w:szCs w:val="32"/>
        </w:rPr>
        <w:t>公室（加挂卫生健康办公室牌子）、自然资源和生态环境办公室、社会治安和应急管理办公室等</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内设机构；统一设置“三中心一站一队”，即设置政务服务中心（镇街加挂行政审批服务办公室牌子）、农业综合服务中心（镇加挂农村经营管理服务站牌子</w:t>
      </w:r>
      <w:r>
        <w:rPr>
          <w:rFonts w:hint="eastAsia" w:ascii="仿宋_GB2312" w:eastAsia="仿宋_GB2312" w:cs="仿宋_GB2312"/>
          <w:sz w:val="32"/>
          <w:szCs w:val="32"/>
        </w:rPr>
        <w:t>）、社会事务综合服务中心（镇街加挂安全生产监督管理站牌子、街道加挂城市管理服务站牌子）、退役军人服务站、综合行政执法队。核定</w:t>
      </w:r>
      <w:r>
        <w:rPr>
          <w:rFonts w:ascii="仿宋_GB2312" w:eastAsia="仿宋_GB2312" w:cs="仿宋_GB2312"/>
          <w:sz w:val="32"/>
          <w:szCs w:val="32"/>
        </w:rPr>
        <w:t>15</w:t>
      </w:r>
      <w:r>
        <w:rPr>
          <w:rFonts w:hint="eastAsia" w:ascii="仿宋_GB2312" w:eastAsia="仿宋_GB2312" w:cs="仿宋_GB2312"/>
          <w:sz w:val="32"/>
          <w:szCs w:val="32"/>
        </w:rPr>
        <w:t>个镇行政编制数</w:t>
      </w:r>
      <w:r>
        <w:rPr>
          <w:rFonts w:ascii="仿宋_GB2312" w:eastAsia="仿宋_GB2312" w:cs="仿宋_GB2312"/>
          <w:sz w:val="32"/>
          <w:szCs w:val="32"/>
        </w:rPr>
        <w:t>641</w:t>
      </w:r>
      <w:r>
        <w:rPr>
          <w:rFonts w:hint="eastAsia" w:ascii="仿宋_GB2312" w:eastAsia="仿宋_GB2312" w:cs="仿宋_GB2312"/>
          <w:sz w:val="32"/>
          <w:szCs w:val="32"/>
        </w:rPr>
        <w:t>名，事业编制数</w:t>
      </w:r>
      <w:r>
        <w:rPr>
          <w:rFonts w:ascii="仿宋_GB2312" w:eastAsia="仿宋_GB2312" w:cs="仿宋_GB2312"/>
          <w:sz w:val="32"/>
          <w:szCs w:val="32"/>
        </w:rPr>
        <w:t>728</w:t>
      </w:r>
      <w:r>
        <w:rPr>
          <w:rFonts w:hint="eastAsia" w:ascii="仿宋_GB2312" w:eastAsia="仿宋_GB2312" w:cs="仿宋_GB2312"/>
          <w:sz w:val="32"/>
          <w:szCs w:val="32"/>
        </w:rPr>
        <w:t>名；</w:t>
      </w:r>
      <w:r>
        <w:rPr>
          <w:rFonts w:ascii="仿宋_GB2312" w:eastAsia="仿宋_GB2312" w:cs="仿宋_GB2312"/>
          <w:sz w:val="32"/>
          <w:szCs w:val="32"/>
        </w:rPr>
        <w:t>4</w:t>
      </w:r>
      <w:r>
        <w:rPr>
          <w:rFonts w:hint="eastAsia" w:ascii="仿宋_GB2312" w:eastAsia="仿宋_GB2312" w:cs="仿宋_GB2312"/>
          <w:sz w:val="32"/>
          <w:szCs w:val="32"/>
        </w:rPr>
        <w:t>个街道行政编制数</w:t>
      </w:r>
      <w:r>
        <w:rPr>
          <w:rFonts w:ascii="仿宋_GB2312" w:eastAsia="仿宋_GB2312" w:cs="仿宋_GB2312"/>
          <w:sz w:val="32"/>
          <w:szCs w:val="32"/>
        </w:rPr>
        <w:t>128</w:t>
      </w:r>
      <w:r>
        <w:rPr>
          <w:rFonts w:hint="eastAsia" w:ascii="仿宋_GB2312" w:eastAsia="仿宋_GB2312" w:cs="仿宋_GB2312"/>
          <w:sz w:val="32"/>
          <w:szCs w:val="32"/>
        </w:rPr>
        <w:t>名，事业编制数</w:t>
      </w:r>
      <w:r>
        <w:rPr>
          <w:rFonts w:ascii="仿宋_GB2312" w:eastAsia="仿宋_GB2312" w:cs="仿宋_GB2312"/>
          <w:sz w:val="32"/>
          <w:szCs w:val="32"/>
        </w:rPr>
        <w:t>135</w:t>
      </w:r>
      <w:r>
        <w:rPr>
          <w:rFonts w:hint="eastAsia" w:ascii="仿宋_GB2312" w:eastAsia="仿宋_GB2312" w:cs="仿宋_GB2312"/>
          <w:sz w:val="32"/>
          <w:szCs w:val="32"/>
        </w:rPr>
        <w:t>名。已完成挂牌、人员转隶等各项工作。</w:t>
      </w:r>
    </w:p>
    <w:p>
      <w:pPr>
        <w:adjustRightInd w:val="0"/>
        <w:snapToGrid w:val="0"/>
        <w:spacing w:line="580" w:lineRule="exact"/>
        <w:ind w:firstLine="640" w:firstLineChars="200"/>
        <w:rPr>
          <w:rFonts w:ascii="仿宋_GB2312" w:hAnsi="仿宋_GB2312" w:eastAsia="仿宋_GB2312" w:cs="Times New Roman"/>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配合推进经营类事业单位改革。将澧县挖泥船队、澧县水利水电工程队和澧县建筑勘查设计院</w:t>
      </w:r>
      <w:r>
        <w:rPr>
          <w:rFonts w:ascii="仿宋_GB2312" w:hAnsi="仿宋" w:eastAsia="仿宋_GB2312" w:cs="仿宋_GB2312"/>
          <w:sz w:val="32"/>
          <w:szCs w:val="32"/>
        </w:rPr>
        <w:t>3</w:t>
      </w:r>
      <w:r>
        <w:rPr>
          <w:rFonts w:hint="eastAsia" w:ascii="仿宋_GB2312" w:hAnsi="仿宋" w:eastAsia="仿宋_GB2312" w:cs="仿宋_GB2312"/>
          <w:sz w:val="32"/>
          <w:szCs w:val="32"/>
        </w:rPr>
        <w:t>个股级经营类事业单位和湖州管理所</w:t>
      </w:r>
      <w:r>
        <w:rPr>
          <w:rFonts w:ascii="仿宋_GB2312" w:hAnsi="仿宋" w:eastAsia="仿宋_GB2312" w:cs="仿宋_GB2312"/>
          <w:sz w:val="32"/>
          <w:szCs w:val="32"/>
        </w:rPr>
        <w:t>1</w:t>
      </w:r>
      <w:r>
        <w:rPr>
          <w:rFonts w:hint="eastAsia" w:ascii="仿宋_GB2312" w:hAnsi="仿宋" w:eastAsia="仿宋_GB2312" w:cs="仿宋_GB2312"/>
          <w:sz w:val="32"/>
          <w:szCs w:val="32"/>
        </w:rPr>
        <w:t>个正科级事业单位进行改革，目前</w:t>
      </w:r>
      <w:r>
        <w:rPr>
          <w:rFonts w:ascii="仿宋_GB2312" w:hAnsi="仿宋" w:eastAsia="仿宋_GB2312" w:cs="仿宋_GB2312"/>
          <w:sz w:val="32"/>
          <w:szCs w:val="32"/>
        </w:rPr>
        <w:t>3</w:t>
      </w:r>
      <w:r>
        <w:rPr>
          <w:rFonts w:hint="eastAsia" w:ascii="仿宋_GB2312" w:hAnsi="仿宋" w:eastAsia="仿宋_GB2312" w:cs="仿宋_GB2312"/>
          <w:sz w:val="32"/>
          <w:szCs w:val="32"/>
        </w:rPr>
        <w:t>个股级事业单位已完成改革方案的审核审批工作，机构已撤销，编制已收回。湖州管理所的改革方案待上会研究审定，下一步将按上级要求稳步推进。</w:t>
      </w:r>
    </w:p>
    <w:p>
      <w:pPr>
        <w:adjustRightInd w:val="0"/>
        <w:snapToGrid w:val="0"/>
        <w:spacing w:line="580" w:lineRule="exact"/>
        <w:ind w:firstLine="640" w:firstLineChars="200"/>
        <w:rPr>
          <w:rFonts w:ascii="仿宋_GB2312" w:hAnsi="黑体" w:eastAsia="仿宋_GB2312" w:cs="Times New Roman"/>
          <w:sz w:val="32"/>
          <w:szCs w:val="32"/>
          <w:shd w:val="clear" w:color="auto" w:fill="FFFFFF"/>
        </w:rPr>
      </w:pPr>
      <w:r>
        <w:rPr>
          <w:rFonts w:ascii="仿宋_GB2312" w:eastAsia="仿宋_GB2312" w:cs="仿宋_GB2312"/>
          <w:sz w:val="32"/>
          <w:szCs w:val="32"/>
        </w:rPr>
        <w:t>4.</w:t>
      </w:r>
      <w:r>
        <w:rPr>
          <w:rFonts w:hint="eastAsia" w:ascii="仿宋_GB2312" w:eastAsia="仿宋_GB2312" w:cs="仿宋_GB2312"/>
          <w:sz w:val="32"/>
          <w:szCs w:val="32"/>
        </w:rPr>
        <w:t>规范机构编制事项审核审批服务。根据《中国共产党机构编制工作条例》，对照县委编委工作规则和县委编办工作细则，凡属机构编制事项，均按“动议、论证、审议决定、组织实施”等关键环节把握，进一步规范审核审批服务事项。</w:t>
      </w:r>
    </w:p>
    <w:p>
      <w:pPr>
        <w:adjustRightInd w:val="0"/>
        <w:snapToGrid w:val="0"/>
        <w:spacing w:line="580" w:lineRule="exact"/>
        <w:ind w:firstLine="640" w:firstLineChars="200"/>
        <w:rPr>
          <w:rFonts w:ascii="仿宋_GB2312" w:eastAsia="仿宋_GB2312" w:cs="Times New Roman"/>
          <w:sz w:val="32"/>
          <w:szCs w:val="32"/>
        </w:rPr>
      </w:pPr>
      <w:r>
        <w:rPr>
          <w:rFonts w:ascii="仿宋_GB2312" w:eastAsia="仿宋_GB2312" w:cs="仿宋_GB2312"/>
          <w:sz w:val="32"/>
          <w:szCs w:val="32"/>
        </w:rPr>
        <w:t>5.</w:t>
      </w:r>
      <w:r>
        <w:rPr>
          <w:rFonts w:hint="eastAsia" w:ascii="仿宋_GB2312" w:eastAsia="仿宋_GB2312" w:cs="仿宋_GB2312"/>
          <w:sz w:val="32"/>
          <w:szCs w:val="32"/>
        </w:rPr>
        <w:t>规范机构编制实名制管理服务。依据相关文件</w:t>
      </w:r>
      <w:r>
        <w:rPr>
          <w:rFonts w:hint="eastAsia" w:ascii="仿宋_GB2312" w:hAnsi="仿宋" w:eastAsia="仿宋_GB2312" w:cs="仿宋_GB2312"/>
          <w:kern w:val="0"/>
          <w:sz w:val="32"/>
          <w:szCs w:val="32"/>
        </w:rPr>
        <w:t>及时</w:t>
      </w:r>
      <w:r>
        <w:rPr>
          <w:rFonts w:hint="eastAsia" w:ascii="仿宋_GB2312" w:eastAsia="仿宋_GB2312" w:cs="仿宋_GB2312"/>
          <w:sz w:val="32"/>
          <w:szCs w:val="32"/>
        </w:rPr>
        <w:t>更新机构编制实名制管理平台数据，完成全县镇（街道）事业站所</w:t>
      </w:r>
      <w:r>
        <w:rPr>
          <w:rFonts w:ascii="仿宋_GB2312" w:eastAsia="仿宋_GB2312" w:cs="仿宋_GB2312"/>
          <w:sz w:val="32"/>
          <w:szCs w:val="32"/>
        </w:rPr>
        <w:t>661</w:t>
      </w:r>
      <w:r>
        <w:rPr>
          <w:rFonts w:hint="eastAsia" w:ascii="仿宋_GB2312" w:eastAsia="仿宋_GB2312" w:cs="仿宋_GB2312"/>
          <w:sz w:val="32"/>
          <w:szCs w:val="32"/>
        </w:rPr>
        <w:t>人的划转工作，办理人员异动</w:t>
      </w:r>
      <w:r>
        <w:rPr>
          <w:rFonts w:ascii="仿宋_GB2312" w:eastAsia="仿宋_GB2312" w:cs="仿宋_GB2312"/>
          <w:sz w:val="32"/>
          <w:szCs w:val="32"/>
        </w:rPr>
        <w:t>300</w:t>
      </w:r>
      <w:r>
        <w:rPr>
          <w:rFonts w:hint="eastAsia" w:ascii="仿宋_GB2312" w:eastAsia="仿宋_GB2312" w:cs="仿宋_GB2312"/>
          <w:sz w:val="32"/>
          <w:szCs w:val="32"/>
        </w:rPr>
        <w:t>人，办理</w:t>
      </w:r>
      <w:r>
        <w:rPr>
          <w:rFonts w:ascii="仿宋_GB2312" w:eastAsia="仿宋_GB2312" w:cs="仿宋_GB2312"/>
          <w:sz w:val="32"/>
          <w:szCs w:val="32"/>
        </w:rPr>
        <w:t>500</w:t>
      </w:r>
      <w:r>
        <w:rPr>
          <w:rFonts w:hint="eastAsia" w:ascii="仿宋_GB2312" w:eastAsia="仿宋_GB2312" w:cs="仿宋_GB2312"/>
          <w:sz w:val="32"/>
          <w:szCs w:val="32"/>
        </w:rPr>
        <w:t>人上编、</w:t>
      </w:r>
      <w:r>
        <w:rPr>
          <w:rFonts w:ascii="仿宋_GB2312" w:eastAsia="仿宋_GB2312" w:cs="仿宋_GB2312"/>
          <w:sz w:val="32"/>
          <w:szCs w:val="32"/>
        </w:rPr>
        <w:t>343</w:t>
      </w:r>
      <w:r>
        <w:rPr>
          <w:rFonts w:hint="eastAsia" w:ascii="仿宋_GB2312" w:eastAsia="仿宋_GB2312" w:cs="仿宋_GB2312"/>
          <w:sz w:val="32"/>
          <w:szCs w:val="32"/>
        </w:rPr>
        <w:t>人下编手续，印发</w:t>
      </w:r>
      <w:r>
        <w:rPr>
          <w:rFonts w:ascii="仿宋_GB2312" w:eastAsia="仿宋_GB2312" w:cs="仿宋_GB2312"/>
          <w:sz w:val="32"/>
          <w:szCs w:val="32"/>
        </w:rPr>
        <w:t>666</w:t>
      </w:r>
      <w:r>
        <w:rPr>
          <w:rFonts w:hint="eastAsia" w:ascii="仿宋_GB2312" w:eastAsia="仿宋_GB2312" w:cs="仿宋_GB2312"/>
          <w:sz w:val="32"/>
          <w:szCs w:val="32"/>
        </w:rPr>
        <w:t>本机构编制管理证，并对管理证上所填写内容予以解答并督促各单位完善相关信息。</w:t>
      </w:r>
    </w:p>
    <w:p>
      <w:pPr>
        <w:spacing w:line="580" w:lineRule="exact"/>
        <w:ind w:firstLine="640" w:firstLineChars="200"/>
        <w:jc w:val="left"/>
        <w:rPr>
          <w:rFonts w:ascii="仿宋_GB2312" w:hAnsi="仿宋" w:eastAsia="仿宋_GB2312" w:cs="Times New Roman"/>
          <w:kern w:val="0"/>
          <w:sz w:val="32"/>
          <w:szCs w:val="32"/>
        </w:rPr>
      </w:pPr>
      <w:r>
        <w:rPr>
          <w:rFonts w:ascii="仿宋_GB2312" w:eastAsia="仿宋_GB2312" w:cs="仿宋_GB2312"/>
          <w:sz w:val="32"/>
          <w:szCs w:val="32"/>
        </w:rPr>
        <w:t>6.</w:t>
      </w:r>
      <w:r>
        <w:rPr>
          <w:rFonts w:hint="eastAsia" w:ascii="仿宋_GB2312" w:eastAsia="仿宋_GB2312" w:cs="仿宋_GB2312"/>
          <w:sz w:val="32"/>
          <w:szCs w:val="32"/>
        </w:rPr>
        <w:t>规范事业单位登记管理服务。通过建立</w:t>
      </w:r>
      <w:r>
        <w:rPr>
          <w:rFonts w:ascii="仿宋_GB2312" w:eastAsia="仿宋_GB2312" w:cs="仿宋_GB2312"/>
          <w:sz w:val="32"/>
          <w:szCs w:val="32"/>
        </w:rPr>
        <w:t>QQ</w:t>
      </w:r>
      <w:r>
        <w:rPr>
          <w:rFonts w:hint="eastAsia" w:ascii="仿宋_GB2312" w:eastAsia="仿宋_GB2312" w:cs="仿宋_GB2312"/>
          <w:sz w:val="32"/>
          <w:szCs w:val="32"/>
        </w:rPr>
        <w:t>工作群，上传事业单位设立登记、年度报告公示、变更登记、简易注销登记等操作指南及证明样式。目前，共完成全县事业单位年度报告</w:t>
      </w:r>
      <w:r>
        <w:rPr>
          <w:rFonts w:ascii="仿宋_GB2312" w:eastAsia="仿宋_GB2312" w:cs="仿宋_GB2312"/>
          <w:sz w:val="32"/>
          <w:szCs w:val="32"/>
        </w:rPr>
        <w:t>305</w:t>
      </w:r>
      <w:r>
        <w:rPr>
          <w:rFonts w:hint="eastAsia" w:ascii="仿宋_GB2312" w:eastAsia="仿宋_GB2312" w:cs="仿宋_GB2312"/>
          <w:sz w:val="32"/>
          <w:szCs w:val="32"/>
        </w:rPr>
        <w:t>个，变更登记</w:t>
      </w:r>
      <w:r>
        <w:rPr>
          <w:rFonts w:ascii="仿宋_GB2312" w:eastAsia="仿宋_GB2312" w:cs="仿宋_GB2312"/>
          <w:sz w:val="32"/>
          <w:szCs w:val="32"/>
        </w:rPr>
        <w:t>161</w:t>
      </w:r>
      <w:r>
        <w:rPr>
          <w:rFonts w:hint="eastAsia" w:ascii="仿宋_GB2312" w:eastAsia="仿宋_GB2312" w:cs="仿宋_GB2312"/>
          <w:sz w:val="32"/>
          <w:szCs w:val="32"/>
        </w:rPr>
        <w:t>项，注销登记</w:t>
      </w:r>
      <w:r>
        <w:rPr>
          <w:rFonts w:ascii="仿宋_GB2312" w:eastAsia="仿宋_GB2312" w:cs="仿宋_GB2312"/>
          <w:sz w:val="32"/>
          <w:szCs w:val="32"/>
        </w:rPr>
        <w:t>52</w:t>
      </w:r>
      <w:r>
        <w:rPr>
          <w:rFonts w:hint="eastAsia" w:ascii="仿宋_GB2312" w:eastAsia="仿宋_GB2312" w:cs="仿宋_GB2312"/>
          <w:sz w:val="32"/>
          <w:szCs w:val="32"/>
        </w:rPr>
        <w:t>个，设立登记</w:t>
      </w:r>
      <w:r>
        <w:rPr>
          <w:rFonts w:ascii="仿宋_GB2312" w:eastAsia="仿宋_GB2312" w:cs="仿宋_GB2312"/>
          <w:sz w:val="32"/>
          <w:szCs w:val="32"/>
        </w:rPr>
        <w:t>5</w:t>
      </w:r>
      <w:r>
        <w:rPr>
          <w:rFonts w:hint="eastAsia" w:ascii="仿宋_GB2312" w:eastAsia="仿宋_GB2312" w:cs="仿宋_GB2312"/>
          <w:sz w:val="32"/>
          <w:szCs w:val="32"/>
        </w:rPr>
        <w:t>个，机关群团统一社会信用代码赋码换发证</w:t>
      </w:r>
      <w:r>
        <w:rPr>
          <w:rFonts w:ascii="仿宋_GB2312" w:eastAsia="仿宋_GB2312" w:cs="仿宋_GB2312"/>
          <w:sz w:val="32"/>
          <w:szCs w:val="32"/>
        </w:rPr>
        <w:t>23</w:t>
      </w:r>
      <w:r>
        <w:rPr>
          <w:rFonts w:hint="eastAsia" w:ascii="仿宋_GB2312" w:eastAsia="仿宋_GB2312" w:cs="仿宋_GB2312"/>
          <w:sz w:val="32"/>
          <w:szCs w:val="32"/>
        </w:rPr>
        <w:t>个，</w:t>
      </w:r>
      <w:r>
        <w:rPr>
          <w:rFonts w:hint="eastAsia" w:ascii="仿宋_GB2312" w:hAnsi="仿宋_GB2312" w:eastAsia="仿宋_GB2312" w:cs="仿宋_GB2312"/>
          <w:sz w:val="32"/>
          <w:szCs w:val="32"/>
        </w:rPr>
        <w:t>解决了遗留问题</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个</w:t>
      </w:r>
      <w:r>
        <w:rPr>
          <w:rFonts w:ascii="仿宋_GB2312" w:hAnsi="仿宋_GB2312" w:eastAsia="仿宋_GB2312" w:cs="仿宋_GB2312"/>
          <w:sz w:val="32"/>
          <w:szCs w:val="32"/>
        </w:rPr>
        <w:t>,</w:t>
      </w:r>
      <w:r>
        <w:rPr>
          <w:rFonts w:hint="eastAsia" w:ascii="仿宋_GB2312" w:eastAsia="仿宋_GB2312" w:cs="仿宋_GB2312"/>
          <w:sz w:val="32"/>
          <w:szCs w:val="32"/>
        </w:rPr>
        <w:t>已基本完成今年工作任务。</w:t>
      </w:r>
    </w:p>
    <w:p>
      <w:pPr>
        <w:adjustRightInd w:val="0"/>
        <w:snapToGrid w:val="0"/>
        <w:spacing w:line="580" w:lineRule="exact"/>
        <w:ind w:firstLine="640" w:firstLineChars="200"/>
        <w:rPr>
          <w:rFonts w:ascii="仿宋_GB2312" w:hAnsi="仿宋_GB2312" w:eastAsia="仿宋_GB2312" w:cs="Times New Roman"/>
          <w:kern w:val="0"/>
          <w:sz w:val="32"/>
          <w:szCs w:val="32"/>
        </w:rPr>
      </w:pPr>
      <w:r>
        <w:rPr>
          <w:rFonts w:ascii="仿宋_GB2312" w:hAnsi="楷体" w:eastAsia="仿宋_GB2312" w:cs="仿宋_GB2312"/>
          <w:sz w:val="32"/>
          <w:szCs w:val="32"/>
          <w:shd w:val="clear" w:color="auto" w:fill="FFFFFF"/>
        </w:rPr>
        <w:t>7.</w:t>
      </w:r>
      <w:r>
        <w:rPr>
          <w:rFonts w:hint="eastAsia" w:ascii="仿宋_GB2312" w:hAnsi="楷体" w:eastAsia="仿宋_GB2312" w:cs="仿宋_GB2312"/>
          <w:sz w:val="32"/>
          <w:szCs w:val="32"/>
          <w:shd w:val="clear" w:color="auto" w:fill="FFFFFF"/>
        </w:rPr>
        <w:t>强化基层党的建设。</w:t>
      </w:r>
      <w:r>
        <w:rPr>
          <w:rFonts w:hint="eastAsia" w:ascii="仿宋_GB2312" w:hAnsi="仿宋_GB2312" w:eastAsia="仿宋_GB2312" w:cs="仿宋_GB2312"/>
          <w:sz w:val="32"/>
          <w:szCs w:val="32"/>
        </w:rPr>
        <w:t>认真落实“三会一课”制度，以学习习近平新时代中国特色社会主义思想为主线，</w:t>
      </w:r>
      <w:r>
        <w:rPr>
          <w:rFonts w:hint="eastAsia" w:ascii="仿宋_GB2312" w:hAnsi="仿宋_GB2312" w:eastAsia="仿宋_GB2312" w:cs="仿宋_GB2312"/>
          <w:kern w:val="0"/>
          <w:sz w:val="32"/>
          <w:szCs w:val="32"/>
        </w:rPr>
        <w:t>以“主题党日”活动和学习强国为载体，坚持每月定期开展中心组学习。</w:t>
      </w:r>
      <w:r>
        <w:rPr>
          <w:rFonts w:hint="eastAsia" w:ascii="仿宋_GB2312" w:hAnsi="仿宋_GB2312" w:eastAsia="仿宋_GB2312" w:cs="仿宋_GB2312"/>
          <w:sz w:val="32"/>
          <w:szCs w:val="32"/>
        </w:rPr>
        <w:t>今年来共开展主题学习</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次、集中学习</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次，业务学习</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次，上党课</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次，开展为民服务活动</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次。</w:t>
      </w:r>
    </w:p>
    <w:p>
      <w:pPr>
        <w:widowControl/>
        <w:spacing w:line="580" w:lineRule="exact"/>
        <w:ind w:firstLine="640" w:firstLineChars="200"/>
        <w:rPr>
          <w:rFonts w:ascii="黑体" w:hAnsi="黑体" w:eastAsia="黑体" w:cs="Times New Roman"/>
          <w:color w:val="222222"/>
          <w:kern w:val="0"/>
          <w:sz w:val="32"/>
          <w:szCs w:val="32"/>
        </w:rPr>
      </w:pPr>
      <w:r>
        <w:rPr>
          <w:rFonts w:hint="eastAsia" w:ascii="黑体" w:hAnsi="黑体" w:eastAsia="黑体" w:cs="黑体"/>
          <w:color w:val="222222"/>
          <w:kern w:val="0"/>
          <w:sz w:val="32"/>
          <w:szCs w:val="32"/>
        </w:rPr>
        <w:t>七、存在的主要问题</w:t>
      </w:r>
    </w:p>
    <w:p>
      <w:pPr>
        <w:widowControl/>
        <w:spacing w:line="580" w:lineRule="exact"/>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本单位</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年预算执行情况总体较好，但也存在不太合理的的地方，主要表现为：</w:t>
      </w:r>
    </w:p>
    <w:p>
      <w:pPr>
        <w:widowControl/>
        <w:spacing w:line="580" w:lineRule="exact"/>
        <w:ind w:firstLine="800" w:firstLineChars="250"/>
        <w:jc w:val="left"/>
        <w:rPr>
          <w:rFonts w:ascii="仿宋_GB2312" w:hAnsi="仿宋_GB2312" w:eastAsia="仿宋_GB2312" w:cs="Times New Roman"/>
          <w:sz w:val="32"/>
          <w:szCs w:val="32"/>
        </w:rPr>
      </w:pPr>
      <w:r>
        <w:rPr>
          <w:rFonts w:ascii="仿宋_GB2312" w:hAnsi="仿宋_GB2312" w:eastAsia="仿宋_GB2312" w:cs="仿宋_GB2312"/>
          <w:sz w:val="32"/>
          <w:szCs w:val="32"/>
        </w:rPr>
        <w:t xml:space="preserve">1. </w:t>
      </w:r>
      <w:r>
        <w:rPr>
          <w:rFonts w:hint="eastAsia" w:ascii="仿宋_GB2312" w:hAnsi="仿宋_GB2312" w:eastAsia="仿宋_GB2312" w:cs="仿宋_GB2312"/>
          <w:sz w:val="32"/>
          <w:szCs w:val="32"/>
        </w:rPr>
        <w:t>年初预算时无法全面考虑上级交办的突发性任务，导致年中会出现办公经费严重不足等情况，需要进行预算追加和调整。</w:t>
      </w:r>
    </w:p>
    <w:p>
      <w:pPr>
        <w:widowControl/>
        <w:spacing w:line="580" w:lineRule="exact"/>
        <w:ind w:firstLine="640" w:firstLineChars="200"/>
        <w:jc w:val="left"/>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预算执行情况还有待加强，年终有结余，加快支出。</w:t>
      </w:r>
    </w:p>
    <w:p>
      <w:pPr>
        <w:widowControl/>
        <w:spacing w:line="580" w:lineRule="exact"/>
        <w:ind w:firstLine="640" w:firstLineChars="200"/>
        <w:rPr>
          <w:rFonts w:ascii="黑体" w:hAnsi="黑体" w:eastAsia="黑体" w:cs="Times New Roman"/>
          <w:sz w:val="32"/>
          <w:szCs w:val="32"/>
        </w:rPr>
      </w:pPr>
      <w:r>
        <w:rPr>
          <w:rFonts w:hint="eastAsia" w:ascii="黑体" w:hAnsi="黑体" w:eastAsia="黑体" w:cs="黑体"/>
          <w:sz w:val="32"/>
          <w:szCs w:val="32"/>
        </w:rPr>
        <w:t>八、有关建议</w:t>
      </w:r>
    </w:p>
    <w:p>
      <w:pPr>
        <w:widowControl/>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加强政策学习，提高思想素质。组织单位人员认真学习《预算法》等相关法规、制度，提高单位领导对全面预算管理的重视程度，增强财务人员的预算意识，坚持先有预算、后有支出，没有预算不得支出的支出理念。</w:t>
      </w:r>
    </w:p>
    <w:p>
      <w:pPr>
        <w:widowControl/>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、加强财政资金管理，及时均衡足额拨付财政资金，按时开展各项工作，确保工作任务优质高效完成。</w:t>
      </w:r>
    </w:p>
    <w:p>
      <w:pPr>
        <w:widowControl/>
        <w:spacing w:line="580" w:lineRule="exact"/>
        <w:ind w:firstLine="640" w:firstLineChars="200"/>
        <w:rPr>
          <w:rFonts w:ascii="仿宋_GB2312" w:hAnsi="仿宋_GB2312" w:eastAsia="仿宋_GB2312" w:cs="Times New Roman"/>
          <w:sz w:val="32"/>
          <w:szCs w:val="32"/>
        </w:rPr>
      </w:pPr>
    </w:p>
    <w:p>
      <w:pPr>
        <w:widowControl/>
        <w:spacing w:line="580" w:lineRule="exact"/>
        <w:jc w:val="left"/>
        <w:rPr>
          <w:rFonts w:ascii="仿宋_GB2312" w:hAnsi="仿宋_GB2312" w:eastAsia="仿宋_GB2312" w:cs="Times New Roman"/>
          <w:sz w:val="32"/>
          <w:szCs w:val="32"/>
        </w:rPr>
      </w:pPr>
    </w:p>
    <w:p>
      <w:pPr>
        <w:widowControl/>
        <w:spacing w:line="580" w:lineRule="exact"/>
        <w:jc w:val="left"/>
        <w:rPr>
          <w:rFonts w:ascii="仿宋_GB2312" w:hAnsi="仿宋_GB2312" w:eastAsia="仿宋_GB2312" w:cs="Times New Roman"/>
          <w:sz w:val="32"/>
          <w:szCs w:val="32"/>
        </w:rPr>
      </w:pPr>
    </w:p>
    <w:p>
      <w:pPr>
        <w:widowControl/>
        <w:spacing w:line="580" w:lineRule="exact"/>
        <w:jc w:val="left"/>
        <w:rPr>
          <w:rFonts w:ascii="仿宋_GB2312" w:hAnsi="仿宋_GB2312" w:eastAsia="仿宋_GB2312" w:cs="Times New Roman"/>
          <w:sz w:val="32"/>
          <w:szCs w:val="32"/>
        </w:rPr>
      </w:pPr>
    </w:p>
    <w:p>
      <w:pPr>
        <w:widowControl/>
        <w:spacing w:line="580" w:lineRule="exact"/>
        <w:jc w:val="left"/>
        <w:rPr>
          <w:rFonts w:ascii="Times New Roman" w:hAnsi="Times New Roman" w:eastAsia="黑体" w:cs="Times New Roman"/>
          <w:color w:val="000000"/>
          <w:sz w:val="32"/>
          <w:szCs w:val="32"/>
        </w:rPr>
      </w:pPr>
    </w:p>
    <w:p>
      <w:pPr>
        <w:widowControl/>
        <w:spacing w:line="580" w:lineRule="exact"/>
        <w:jc w:val="left"/>
        <w:rPr>
          <w:rFonts w:ascii="Times New Roman" w:hAnsi="Times New Roman" w:eastAsia="黑体" w:cs="Times New Roman"/>
          <w:color w:val="000000"/>
          <w:sz w:val="32"/>
          <w:szCs w:val="32"/>
        </w:rPr>
      </w:pPr>
    </w:p>
    <w:p>
      <w:pPr>
        <w:widowControl/>
        <w:spacing w:line="580" w:lineRule="exact"/>
        <w:jc w:val="left"/>
        <w:rPr>
          <w:rFonts w:ascii="Times New Roman" w:hAnsi="Times New Roman" w:eastAsia="黑体" w:cs="Times New Roman"/>
          <w:color w:val="000000"/>
          <w:sz w:val="32"/>
          <w:szCs w:val="32"/>
        </w:rPr>
      </w:pPr>
    </w:p>
    <w:p>
      <w:pPr>
        <w:widowControl/>
        <w:spacing w:line="580" w:lineRule="exact"/>
        <w:jc w:val="left"/>
        <w:rPr>
          <w:rFonts w:ascii="Times New Roman" w:hAnsi="Times New Roman" w:eastAsia="黑体" w:cs="Times New Roman"/>
          <w:color w:val="000000"/>
          <w:sz w:val="32"/>
          <w:szCs w:val="32"/>
        </w:rPr>
      </w:pPr>
    </w:p>
    <w:p>
      <w:pPr>
        <w:widowControl/>
        <w:spacing w:line="580" w:lineRule="exact"/>
        <w:jc w:val="left"/>
        <w:rPr>
          <w:rFonts w:ascii="Times New Roman" w:hAnsi="Times New Roman" w:eastAsia="黑体" w:cs="Times New Roman"/>
          <w:color w:val="000000"/>
          <w:sz w:val="32"/>
          <w:szCs w:val="32"/>
        </w:rPr>
      </w:pPr>
    </w:p>
    <w:p>
      <w:pPr>
        <w:widowControl/>
        <w:spacing w:line="580" w:lineRule="exact"/>
        <w:jc w:val="left"/>
        <w:rPr>
          <w:rFonts w:ascii="Times New Roman" w:hAnsi="Times New Roman" w:eastAsia="黑体" w:cs="Times New Roman"/>
          <w:color w:val="000000"/>
          <w:sz w:val="32"/>
          <w:szCs w:val="32"/>
        </w:rPr>
      </w:pPr>
    </w:p>
    <w:p>
      <w:pPr>
        <w:widowControl/>
        <w:spacing w:line="580" w:lineRule="exact"/>
        <w:jc w:val="left"/>
        <w:rPr>
          <w:rFonts w:ascii="Times New Roman" w:hAnsi="Times New Roman" w:eastAsia="黑体" w:cs="Times New Roman"/>
          <w:color w:val="000000"/>
          <w:sz w:val="32"/>
          <w:szCs w:val="32"/>
        </w:rPr>
      </w:pPr>
    </w:p>
    <w:p>
      <w:pPr>
        <w:widowControl/>
        <w:spacing w:line="580" w:lineRule="exact"/>
        <w:jc w:val="left"/>
        <w:rPr>
          <w:rFonts w:ascii="Times New Roman" w:hAnsi="Times New Roman" w:eastAsia="黑体" w:cs="Times New Roman"/>
          <w:color w:val="000000"/>
          <w:sz w:val="32"/>
          <w:szCs w:val="32"/>
        </w:rPr>
      </w:pPr>
    </w:p>
    <w:p>
      <w:pPr>
        <w:widowControl/>
        <w:spacing w:line="580" w:lineRule="exact"/>
        <w:jc w:val="left"/>
        <w:rPr>
          <w:rFonts w:ascii="Times New Roman" w:hAnsi="Times New Roman" w:eastAsia="黑体" w:cs="Times New Roman"/>
          <w:color w:val="000000"/>
          <w:sz w:val="32"/>
          <w:szCs w:val="32"/>
        </w:rPr>
      </w:pPr>
    </w:p>
    <w:p>
      <w:pPr>
        <w:widowControl/>
        <w:spacing w:line="580" w:lineRule="exact"/>
        <w:jc w:val="left"/>
        <w:rPr>
          <w:rFonts w:ascii="Times New Roman" w:hAnsi="Times New Roman" w:eastAsia="黑体" w:cs="Times New Roman"/>
          <w:color w:val="000000"/>
          <w:sz w:val="32"/>
          <w:szCs w:val="32"/>
        </w:rPr>
      </w:pPr>
    </w:p>
    <w:p>
      <w:pPr>
        <w:widowControl/>
        <w:spacing w:line="580" w:lineRule="exact"/>
        <w:jc w:val="left"/>
        <w:rPr>
          <w:rFonts w:ascii="Times New Roman" w:hAnsi="Times New Roman" w:eastAsia="黑体" w:cs="Times New Roman"/>
          <w:color w:val="000000"/>
          <w:sz w:val="32"/>
          <w:szCs w:val="32"/>
        </w:rPr>
      </w:pPr>
    </w:p>
    <w:p>
      <w:pPr>
        <w:widowControl/>
        <w:spacing w:line="580" w:lineRule="exact"/>
        <w:jc w:val="left"/>
        <w:rPr>
          <w:rFonts w:ascii="Times New Roman" w:hAnsi="Times New Roman" w:eastAsia="黑体" w:cs="Times New Roman"/>
          <w:color w:val="000000"/>
          <w:sz w:val="32"/>
          <w:szCs w:val="32"/>
        </w:rPr>
      </w:pPr>
    </w:p>
    <w:p>
      <w:pPr>
        <w:widowControl/>
        <w:spacing w:line="580" w:lineRule="exact"/>
        <w:jc w:val="left"/>
        <w:rPr>
          <w:rFonts w:ascii="Times New Roman" w:hAnsi="Times New Roman" w:eastAsia="黑体" w:cs="Times New Roman"/>
          <w:color w:val="000000"/>
          <w:sz w:val="32"/>
          <w:szCs w:val="32"/>
        </w:rPr>
      </w:pPr>
    </w:p>
    <w:p>
      <w:pPr>
        <w:widowControl/>
        <w:spacing w:line="580" w:lineRule="exact"/>
        <w:jc w:val="left"/>
        <w:rPr>
          <w:rFonts w:ascii="Times New Roman" w:hAnsi="Times New Roman" w:eastAsia="黑体" w:cs="Times New Roman"/>
          <w:color w:val="000000"/>
          <w:sz w:val="32"/>
          <w:szCs w:val="32"/>
        </w:rPr>
      </w:pPr>
    </w:p>
    <w:p>
      <w:pPr>
        <w:spacing w:line="560" w:lineRule="exact"/>
        <w:jc w:val="center"/>
        <w:rPr>
          <w:rFonts w:ascii="宋体" w:cs="宋体"/>
          <w:b/>
          <w:bCs/>
          <w:kern w:val="0"/>
          <w:sz w:val="36"/>
          <w:szCs w:val="36"/>
        </w:rPr>
      </w:pPr>
      <w:r>
        <w:rPr>
          <w:rFonts w:hint="eastAsia" w:ascii="宋体" w:hAnsi="宋体" w:cs="宋体"/>
          <w:b/>
          <w:bCs/>
          <w:kern w:val="0"/>
          <w:sz w:val="36"/>
          <w:szCs w:val="36"/>
        </w:rPr>
        <w:t>部门整体支出绩效评价指标表</w:t>
      </w:r>
    </w:p>
    <w:p>
      <w:pPr>
        <w:spacing w:line="560" w:lineRule="exact"/>
        <w:jc w:val="center"/>
        <w:rPr>
          <w:rFonts w:ascii="Times New Roman" w:hAnsi="Times New Roman" w:cs="Times New Roman"/>
          <w:kern w:val="0"/>
          <w:sz w:val="24"/>
          <w:szCs w:val="24"/>
        </w:rPr>
      </w:pPr>
    </w:p>
    <w:tbl>
      <w:tblPr>
        <w:tblStyle w:val="13"/>
        <w:tblW w:w="10771" w:type="dxa"/>
        <w:jc w:val="center"/>
        <w:tblLayout w:type="fixed"/>
        <w:tblCellMar>
          <w:top w:w="0" w:type="dxa"/>
          <w:left w:w="108" w:type="dxa"/>
          <w:bottom w:w="0" w:type="dxa"/>
          <w:right w:w="108" w:type="dxa"/>
        </w:tblCellMar>
      </w:tblPr>
      <w:tblGrid>
        <w:gridCol w:w="678"/>
        <w:gridCol w:w="516"/>
        <w:gridCol w:w="659"/>
        <w:gridCol w:w="516"/>
        <w:gridCol w:w="1074"/>
        <w:gridCol w:w="516"/>
        <w:gridCol w:w="2878"/>
        <w:gridCol w:w="3312"/>
        <w:gridCol w:w="622"/>
      </w:tblGrid>
      <w:tr>
        <w:tblPrEx>
          <w:tblCellMar>
            <w:top w:w="0" w:type="dxa"/>
            <w:left w:w="108" w:type="dxa"/>
            <w:bottom w:w="0" w:type="dxa"/>
            <w:right w:w="108" w:type="dxa"/>
          </w:tblCellMar>
        </w:tblPrEx>
        <w:trPr>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分值</w:t>
            </w:r>
          </w:p>
        </w:tc>
        <w:tc>
          <w:tcPr>
            <w:tcW w:w="6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三级</w:t>
            </w:r>
          </w:p>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评价标准</w:t>
            </w:r>
          </w:p>
        </w:tc>
        <w:tc>
          <w:tcPr>
            <w:tcW w:w="331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指标说明</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得分</w:t>
            </w:r>
          </w:p>
        </w:tc>
      </w:tr>
      <w:tr>
        <w:tblPrEx>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13</w:t>
            </w:r>
          </w:p>
        </w:tc>
        <w:tc>
          <w:tcPr>
            <w:tcW w:w="659" w:type="dxa"/>
            <w:vMerge w:val="restart"/>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13</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在职人员控制率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nil"/>
              <w:right w:val="nil"/>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以</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为标准。在职人员控制率</w:t>
            </w:r>
            <w:r>
              <w:rPr>
                <w:rFonts w:hint="eastAsia" w:ascii="宋体" w:hAnsi="宋体" w:cs="宋体"/>
                <w:kern w:val="0"/>
                <w:sz w:val="20"/>
                <w:szCs w:val="20"/>
              </w:rPr>
              <w:t>≦</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分；每超过一个百分点扣</w:t>
            </w:r>
            <w:r>
              <w:rPr>
                <w:rFonts w:ascii="Times New Roman" w:hAnsi="Times New Roman" w:eastAsia="仿宋_GB2312" w:cs="Times New Roman"/>
                <w:kern w:val="0"/>
                <w:sz w:val="20"/>
                <w:szCs w:val="20"/>
              </w:rPr>
              <w:t>0.5</w:t>
            </w:r>
            <w:r>
              <w:rPr>
                <w:rFonts w:hint="eastAsia" w:ascii="Times New Roman" w:hAnsi="Times New Roman" w:eastAsia="仿宋_GB2312" w:cs="仿宋_GB2312"/>
                <w:kern w:val="0"/>
                <w:sz w:val="20"/>
                <w:szCs w:val="20"/>
              </w:rPr>
              <w:t>分，扣完为止。</w:t>
            </w:r>
          </w:p>
        </w:tc>
        <w:tc>
          <w:tcPr>
            <w:tcW w:w="331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在职人员控制率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（在职人员数</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编制数）</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，在职人员数：部门（单位）实际在职人数，以财政局确定的部门决算编制口径为准。</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编制数：机构编制部门核定批复的部门（单位）的人员编制数。</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r>
              <w:rPr>
                <w:rFonts w:ascii="Times New Roman" w:hAnsi="Times New Roman" w:cs="Times New Roman"/>
                <w:kern w:val="0"/>
                <w:sz w:val="24"/>
                <w:szCs w:val="24"/>
              </w:rPr>
              <w:t>5</w:t>
            </w:r>
          </w:p>
        </w:tc>
      </w:tr>
      <w:tr>
        <w:tblPrEx>
          <w:tblCellMar>
            <w:top w:w="0" w:type="dxa"/>
            <w:left w:w="108" w:type="dxa"/>
            <w:bottom w:w="0" w:type="dxa"/>
            <w:right w:w="108" w:type="dxa"/>
          </w:tblCellMar>
        </w:tblPrEx>
        <w:trPr>
          <w:trHeight w:val="141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三公经费</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变动率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三公经费</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变动率</w:t>
            </w:r>
            <w:r>
              <w:rPr>
                <w:rFonts w:hint="eastAsia" w:ascii="宋体" w:hAnsi="宋体" w:cs="宋体"/>
                <w:kern w:val="0"/>
                <w:sz w:val="20"/>
                <w:szCs w:val="20"/>
              </w:rPr>
              <w:t>≦</w:t>
            </w:r>
            <w:r>
              <w:rPr>
                <w:rFonts w:ascii="Times New Roman" w:hAnsi="Times New Roman" w:eastAsia="仿宋_GB2312" w:cs="Times New Roman"/>
                <w:kern w:val="0"/>
                <w:sz w:val="20"/>
                <w:szCs w:val="20"/>
              </w:rPr>
              <w:t>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8</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三公经费</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w:t>
            </w:r>
            <w:r>
              <w:rPr>
                <w:rFonts w:ascii="Times New Roman" w:hAnsi="Times New Roman" w:eastAsia="仿宋_GB2312" w:cs="Times New Roman"/>
                <w:kern w:val="0"/>
                <w:sz w:val="20"/>
                <w:szCs w:val="20"/>
              </w:rPr>
              <w:t>0</w:t>
            </w:r>
            <w:r>
              <w:rPr>
                <w:rFonts w:hint="eastAsia" w:ascii="Times New Roman" w:hAnsi="Times New Roman" w:eastAsia="仿宋_GB2312" w:cs="仿宋_GB2312"/>
                <w:kern w:val="0"/>
                <w:sz w:val="20"/>
                <w:szCs w:val="20"/>
              </w:rPr>
              <w:t>，每超过一个百分点扣</w:t>
            </w:r>
            <w:r>
              <w:rPr>
                <w:rFonts w:ascii="Times New Roman" w:hAnsi="Times New Roman" w:eastAsia="仿宋_GB2312" w:cs="Times New Roman"/>
                <w:kern w:val="0"/>
                <w:sz w:val="20"/>
                <w:szCs w:val="20"/>
              </w:rPr>
              <w:t>0.8</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三公经费</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变动率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（本年度</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三公经费</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预算数</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上年度</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三公经费</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预算数）</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上年度</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三公经费</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预算数</w:t>
            </w:r>
            <w:r>
              <w:rPr>
                <w:rFonts w:ascii="Times New Roman" w:hAnsi="Times New Roman" w:eastAsia="仿宋_GB2312" w:cs="Times New Roman"/>
                <w:kern w:val="0"/>
                <w:sz w:val="20"/>
                <w:szCs w:val="20"/>
              </w:rPr>
              <w:t>]×100%</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r>
              <w:rPr>
                <w:rFonts w:ascii="Times New Roman" w:hAnsi="Times New Roman" w:cs="Times New Roman"/>
                <w:kern w:val="0"/>
                <w:sz w:val="24"/>
                <w:szCs w:val="24"/>
              </w:rPr>
              <w:t>8</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过程</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20</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预算完成率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计满分，每低于</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预算完成率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（上年结转</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年初预算</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本年追加预算</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年末结余）</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（上年结转</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年初预算</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本年追加预算）</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r>
              <w:rPr>
                <w:rFonts w:ascii="Times New Roman" w:hAnsi="Times New Roman" w:cs="Times New Roman"/>
                <w:kern w:val="0"/>
                <w:sz w:val="24"/>
                <w:szCs w:val="24"/>
              </w:rPr>
              <w:t>5</w:t>
            </w:r>
          </w:p>
        </w:tc>
      </w:tr>
      <w:tr>
        <w:tblPrEx>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预算控制率</w:t>
            </w:r>
            <w:r>
              <w:rPr>
                <w:rFonts w:ascii="Times New Roman" w:hAnsi="Times New Roman" w:eastAsia="仿宋_GB2312" w:cs="Times New Roman"/>
                <w:kern w:val="0"/>
                <w:sz w:val="20"/>
                <w:szCs w:val="20"/>
              </w:rPr>
              <w:t>=0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t>0-10%</w:t>
            </w:r>
            <w:r>
              <w:rPr>
                <w:rFonts w:hint="eastAsia" w:ascii="Times New Roman" w:hAnsi="Times New Roman" w:eastAsia="仿宋_GB2312" w:cs="仿宋_GB2312"/>
                <w:kern w:val="0"/>
                <w:sz w:val="20"/>
                <w:szCs w:val="20"/>
              </w:rPr>
              <w:t>（含），计</w:t>
            </w:r>
            <w:r>
              <w:rPr>
                <w:rFonts w:ascii="Times New Roman" w:hAnsi="Times New Roman" w:eastAsia="仿宋_GB2312" w:cs="Times New Roman"/>
                <w:kern w:val="0"/>
                <w:sz w:val="20"/>
                <w:szCs w:val="20"/>
              </w:rPr>
              <w:t>4</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t>10-20%</w:t>
            </w:r>
            <w:r>
              <w:rPr>
                <w:rFonts w:hint="eastAsia" w:ascii="Times New Roman" w:hAnsi="Times New Roman" w:eastAsia="仿宋_GB2312" w:cs="仿宋_GB2312"/>
                <w:kern w:val="0"/>
                <w:sz w:val="20"/>
                <w:szCs w:val="20"/>
              </w:rPr>
              <w:t>（含），计</w:t>
            </w:r>
            <w:r>
              <w:rPr>
                <w:rFonts w:ascii="Times New Roman" w:hAnsi="Times New Roman" w:eastAsia="仿宋_GB2312" w:cs="Times New Roman"/>
                <w:kern w:val="0"/>
                <w:sz w:val="20"/>
                <w:szCs w:val="20"/>
              </w:rPr>
              <w:t>3</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t>20-30%</w:t>
            </w:r>
            <w:r>
              <w:rPr>
                <w:rFonts w:hint="eastAsia" w:ascii="Times New Roman" w:hAnsi="Times New Roman" w:eastAsia="仿宋_GB2312" w:cs="仿宋_GB2312"/>
                <w:kern w:val="0"/>
                <w:sz w:val="20"/>
                <w:szCs w:val="20"/>
              </w:rPr>
              <w:t>（含），计</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分；大于</w:t>
            </w:r>
            <w:r>
              <w:rPr>
                <w:rFonts w:ascii="Times New Roman" w:hAnsi="Times New Roman" w:eastAsia="仿宋_GB2312" w:cs="Times New Roman"/>
                <w:kern w:val="0"/>
                <w:sz w:val="20"/>
                <w:szCs w:val="20"/>
              </w:rPr>
              <w:t>30%</w:t>
            </w:r>
            <w:r>
              <w:rPr>
                <w:rFonts w:hint="eastAsia" w:ascii="Times New Roman" w:hAnsi="Times New Roman" w:eastAsia="仿宋_GB2312" w:cs="仿宋_GB2312"/>
                <w:kern w:val="0"/>
                <w:sz w:val="20"/>
                <w:szCs w:val="20"/>
              </w:rPr>
              <w:t>不得分。</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（本年追加预算</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年初预算）</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r>
              <w:rPr>
                <w:rFonts w:ascii="Times New Roman" w:hAnsi="Times New Roman" w:cs="Times New Roman"/>
                <w:kern w:val="0"/>
                <w:sz w:val="24"/>
                <w:szCs w:val="24"/>
              </w:rPr>
              <w:t>5</w:t>
            </w:r>
          </w:p>
        </w:tc>
      </w:tr>
      <w:tr>
        <w:tblPrEx>
          <w:tblCellMar>
            <w:top w:w="0" w:type="dxa"/>
            <w:left w:w="108" w:type="dxa"/>
            <w:bottom w:w="0" w:type="dxa"/>
            <w:right w:w="108" w:type="dxa"/>
          </w:tblCellMar>
        </w:tblPrEx>
        <w:trPr>
          <w:trHeight w:val="1160"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新建楼堂馆所面积控制率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以下（含）计满分，每超出</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分，扣完为止。没有楼堂馆所项目的部门按满分计算。</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楼堂馆所面积控制率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实际建设面积</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批准建设面积</w:t>
            </w:r>
            <w:r>
              <w:rPr>
                <w:rFonts w:ascii="Times New Roman" w:hAnsi="Times New Roman" w:eastAsia="仿宋_GB2312" w:cs="Times New Roman"/>
                <w:kern w:val="0"/>
                <w:sz w:val="20"/>
                <w:szCs w:val="20"/>
              </w:rPr>
              <w:t xml:space="preserve">×100% </w:t>
            </w:r>
            <w:r>
              <w:rPr>
                <w:rFonts w:hint="eastAsia" w:ascii="Times New Roman" w:hAnsi="Times New Roman" w:eastAsia="仿宋_GB2312" w:cs="仿宋_GB2312"/>
                <w:kern w:val="0"/>
                <w:sz w:val="20"/>
                <w:szCs w:val="20"/>
              </w:rPr>
              <w:t>。</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该指标以</w:t>
            </w:r>
            <w:r>
              <w:rPr>
                <w:rFonts w:ascii="Times New Roman" w:hAnsi="Times New Roman" w:eastAsia="仿宋_GB2312" w:cs="Times New Roman"/>
                <w:kern w:val="0"/>
                <w:sz w:val="20"/>
                <w:szCs w:val="20"/>
              </w:rPr>
              <w:t>2015</w:t>
            </w:r>
            <w:r>
              <w:rPr>
                <w:rFonts w:hint="eastAsia" w:ascii="Times New Roman" w:hAnsi="Times New Roman" w:eastAsia="仿宋_GB2312" w:cs="仿宋_GB2312"/>
                <w:kern w:val="0"/>
                <w:sz w:val="20"/>
                <w:szCs w:val="20"/>
              </w:rPr>
              <w:t>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r>
              <w:rPr>
                <w:rFonts w:ascii="Times New Roman" w:hAnsi="Times New Roman" w:cs="Times New Roman"/>
                <w:kern w:val="0"/>
                <w:sz w:val="24"/>
                <w:szCs w:val="24"/>
              </w:rPr>
              <w:t>5</w:t>
            </w:r>
          </w:p>
        </w:tc>
      </w:tr>
      <w:tr>
        <w:tblPrEx>
          <w:tblCellMar>
            <w:top w:w="0" w:type="dxa"/>
            <w:left w:w="108" w:type="dxa"/>
            <w:bottom w:w="0" w:type="dxa"/>
            <w:right w:w="108" w:type="dxa"/>
          </w:tblCellMar>
        </w:tblPrEx>
        <w:trPr>
          <w:trHeight w:val="1306"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新建楼堂馆所投资概算控制率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以下（含）计满分，每超出</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楼堂馆所投资预算控制率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实际投资金额</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批准投资金额</w:t>
            </w:r>
            <w:r>
              <w:rPr>
                <w:rFonts w:ascii="Times New Roman" w:hAnsi="Times New Roman" w:eastAsia="仿宋_GB2312" w:cs="Times New Roman"/>
                <w:kern w:val="0"/>
                <w:sz w:val="20"/>
                <w:szCs w:val="20"/>
              </w:rPr>
              <w:t xml:space="preserve">×100% </w:t>
            </w:r>
            <w:r>
              <w:rPr>
                <w:rFonts w:hint="eastAsia" w:ascii="Times New Roman" w:hAnsi="Times New Roman" w:eastAsia="仿宋_GB2312" w:cs="仿宋_GB2312"/>
                <w:kern w:val="0"/>
                <w:sz w:val="20"/>
                <w:szCs w:val="20"/>
              </w:rPr>
              <w:t>。</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该指标以</w:t>
            </w:r>
            <w:r>
              <w:rPr>
                <w:rFonts w:ascii="Times New Roman" w:hAnsi="Times New Roman" w:eastAsia="仿宋_GB2312" w:cs="Times New Roman"/>
                <w:kern w:val="0"/>
                <w:sz w:val="20"/>
                <w:szCs w:val="20"/>
              </w:rPr>
              <w:t>2015</w:t>
            </w:r>
            <w:r>
              <w:rPr>
                <w:rFonts w:hint="eastAsia" w:ascii="Times New Roman" w:hAnsi="Times New Roman" w:eastAsia="仿宋_GB2312" w:cs="仿宋_GB2312"/>
                <w:kern w:val="0"/>
                <w:sz w:val="20"/>
                <w:szCs w:val="20"/>
              </w:rPr>
              <w:t>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r>
              <w:rPr>
                <w:rFonts w:ascii="Times New Roman" w:hAnsi="Times New Roman" w:cs="Times New Roman"/>
                <w:kern w:val="0"/>
                <w:sz w:val="24"/>
                <w:szCs w:val="24"/>
              </w:rPr>
              <w:t>5</w:t>
            </w:r>
          </w:p>
        </w:tc>
      </w:tr>
      <w:tr>
        <w:tblPrEx>
          <w:tblCellMar>
            <w:top w:w="0" w:type="dxa"/>
            <w:left w:w="108" w:type="dxa"/>
            <w:bottom w:w="0" w:type="dxa"/>
            <w:right w:w="108" w:type="dxa"/>
          </w:tblCellMar>
        </w:tblPrEx>
        <w:trPr>
          <w:trHeight w:val="1672"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41</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公用经费控制率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以下（含）计满分，每超出</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公用经费控制率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（实际支出公用经费总额</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预算安排公用经费总额）</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公用经费支出是指部门基本支出中的一般商品和服务支出。</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r>
              <w:rPr>
                <w:rFonts w:ascii="Times New Roman" w:hAnsi="Times New Roman" w:cs="Times New Roman"/>
                <w:kern w:val="0"/>
                <w:sz w:val="24"/>
                <w:szCs w:val="24"/>
              </w:rPr>
              <w:t>7</w:t>
            </w:r>
          </w:p>
        </w:tc>
      </w:tr>
      <w:tr>
        <w:tblPrEx>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三公经费</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以下（含）计满分，每超出</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三公经费</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三公经费</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实际支出数</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三公经费</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预算安排数）</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r>
              <w:rPr>
                <w:rFonts w:ascii="Times New Roman" w:hAnsi="Times New Roman" w:cs="Times New Roman"/>
                <w:kern w:val="0"/>
                <w:sz w:val="24"/>
                <w:szCs w:val="24"/>
              </w:rPr>
              <w:t>8</w:t>
            </w:r>
          </w:p>
        </w:tc>
      </w:tr>
      <w:tr>
        <w:tblPrEx>
          <w:tblCellMar>
            <w:top w:w="0" w:type="dxa"/>
            <w:left w:w="108" w:type="dxa"/>
            <w:bottom w:w="0" w:type="dxa"/>
            <w:right w:w="108" w:type="dxa"/>
          </w:tblCellMar>
        </w:tblPrEx>
        <w:trPr>
          <w:trHeight w:val="1085"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政府采购执行率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计满分，每超过（降低）</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政府采购执行率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（实际政府采购金额</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政府采购预算数）</w:t>
            </w:r>
            <w:r>
              <w:rPr>
                <w:rFonts w:ascii="Times New Roman" w:hAnsi="Times New Roman" w:eastAsia="仿宋_GB2312" w:cs="Times New Roman"/>
                <w:kern w:val="0"/>
                <w:sz w:val="20"/>
                <w:szCs w:val="20"/>
              </w:rPr>
              <w:t>×100%</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r>
              <w:rPr>
                <w:rFonts w:ascii="Times New Roman" w:hAnsi="Times New Roman" w:cs="Times New Roman"/>
                <w:kern w:val="0"/>
                <w:sz w:val="24"/>
                <w:szCs w:val="24"/>
              </w:rPr>
              <w:t>6</w:t>
            </w:r>
          </w:p>
        </w:tc>
      </w:tr>
      <w:tr>
        <w:tblPrEx>
          <w:tblCellMar>
            <w:top w:w="0" w:type="dxa"/>
            <w:left w:w="108" w:type="dxa"/>
            <w:bottom w:w="0" w:type="dxa"/>
            <w:right w:w="108" w:type="dxa"/>
          </w:tblCellMar>
        </w:tblPrEx>
        <w:trPr>
          <w:jc w:val="center"/>
        </w:trPr>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过程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61</w:t>
            </w:r>
          </w:p>
        </w:tc>
        <w:tc>
          <w:tcPr>
            <w:tcW w:w="659" w:type="dxa"/>
            <w:vMerge w:val="restart"/>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管理制度健全性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①有内部财务管理制度、会计核算制度等管理制度，</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②有本部门厉行节约制度</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③相关管理制度合法、合规、完整，</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分；④相关管理制度得到有效执行，</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r>
              <w:rPr>
                <w:rFonts w:ascii="Times New Roman" w:hAnsi="Times New Roman" w:cs="Times New Roman"/>
                <w:kern w:val="0"/>
                <w:sz w:val="24"/>
                <w:szCs w:val="24"/>
              </w:rPr>
              <w:t>7</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资金使用合规性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以上情况每出现一例不符合要求的扣</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r>
              <w:rPr>
                <w:rFonts w:ascii="Times New Roman" w:hAnsi="Times New Roman" w:cs="Times New Roman"/>
                <w:kern w:val="0"/>
                <w:sz w:val="24"/>
                <w:szCs w:val="24"/>
              </w:rPr>
              <w:t>5</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预决算信息公开性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①按规定内容公开预决算信息，</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分；②按规定时限公开预决算信息，</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分；③基础数据信息和会计信息资料真实，</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分；④基础数据信息和会计信息资料完整，</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分；⑤基础数据信息和汇集信息资料准确，</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预决算信息是指与部门预算、执行、决算、监督、绩效等管理相关的信息。</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r>
              <w:rPr>
                <w:rFonts w:ascii="Times New Roman" w:hAnsi="Times New Roman" w:cs="Times New Roman"/>
                <w:kern w:val="0"/>
                <w:sz w:val="24"/>
                <w:szCs w:val="24"/>
              </w:rPr>
              <w:t>5</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产出及效率</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26</w:t>
            </w:r>
          </w:p>
        </w:tc>
        <w:tc>
          <w:tcPr>
            <w:tcW w:w="659"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职责履行</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1074" w:type="dxa"/>
            <w:tcBorders>
              <w:top w:val="nil"/>
              <w:left w:val="nil"/>
              <w:bottom w:val="nil"/>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重点工作实际完成率</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根据绩效办</w:t>
            </w:r>
            <w:r>
              <w:rPr>
                <w:rFonts w:ascii="Times New Roman" w:hAnsi="Times New Roman" w:eastAsia="仿宋_GB2312" w:cs="Times New Roman"/>
                <w:kern w:val="0"/>
                <w:sz w:val="20"/>
                <w:szCs w:val="20"/>
              </w:rPr>
              <w:t>2015</w:t>
            </w:r>
            <w:r>
              <w:rPr>
                <w:rFonts w:hint="eastAsia" w:ascii="Times New Roman" w:hAnsi="Times New Roman" w:eastAsia="仿宋_GB2312" w:cs="仿宋_GB2312"/>
                <w:kern w:val="0"/>
                <w:sz w:val="20"/>
                <w:szCs w:val="20"/>
              </w:rPr>
              <w:t>年对各部门为民办实事和部门重点工程与重点工作考核分数折算。</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该项得分</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（绩效办对应部分考核得分</w:t>
            </w:r>
            <w:r>
              <w:rPr>
                <w:rFonts w:ascii="Times New Roman" w:hAnsi="Times New Roman" w:eastAsia="仿宋_GB2312" w:cs="Times New Roman"/>
                <w:kern w:val="0"/>
                <w:sz w:val="20"/>
                <w:szCs w:val="20"/>
              </w:rPr>
              <w:t>/500</w:t>
            </w:r>
            <w:r>
              <w:rPr>
                <w:rFonts w:hint="eastAsia" w:ascii="Times New Roman" w:hAnsi="Times New Roman" w:eastAsia="仿宋_GB2312" w:cs="仿宋_GB2312"/>
                <w:kern w:val="0"/>
                <w:sz w:val="20"/>
                <w:szCs w:val="20"/>
              </w:rPr>
              <w:t>）</w:t>
            </w:r>
            <w:r>
              <w:rPr>
                <w:rFonts w:ascii="Times New Roman" w:hAnsi="Times New Roman" w:eastAsia="仿宋_GB2312" w:cs="Times New Roman"/>
                <w:kern w:val="0"/>
                <w:sz w:val="20"/>
                <w:szCs w:val="20"/>
              </w:rPr>
              <w:t>*8</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r>
              <w:rPr>
                <w:rFonts w:ascii="Times New Roman" w:hAnsi="Times New Roman" w:cs="Times New Roman"/>
                <w:kern w:val="0"/>
                <w:sz w:val="24"/>
                <w:szCs w:val="24"/>
              </w:rPr>
              <w:t>7</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履职效益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经济效益</w:t>
            </w:r>
          </w:p>
        </w:tc>
        <w:tc>
          <w:tcPr>
            <w:tcW w:w="516" w:type="dxa"/>
            <w:vMerge w:val="restart"/>
            <w:tcBorders>
              <w:top w:val="nil"/>
              <w:left w:val="single" w:color="auto" w:sz="4" w:space="0"/>
              <w:bottom w:val="nil"/>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6190"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color="auto" w:sz="4" w:space="0"/>
            </w:tcBorders>
            <w:vAlign w:val="center"/>
          </w:tcPr>
          <w:p>
            <w:pPr>
              <w:widowControl/>
              <w:spacing w:line="300" w:lineRule="exact"/>
              <w:jc w:val="center"/>
              <w:rPr>
                <w:rFonts w:ascii="Times New Roman" w:hAnsi="Times New Roman" w:cs="Times New Roman"/>
                <w:kern w:val="0"/>
                <w:sz w:val="24"/>
                <w:szCs w:val="24"/>
              </w:rPr>
            </w:pPr>
          </w:p>
        </w:tc>
      </w:tr>
      <w:tr>
        <w:tblPrEx>
          <w:tblCellMar>
            <w:top w:w="0" w:type="dxa"/>
            <w:left w:w="108" w:type="dxa"/>
            <w:bottom w:w="0" w:type="dxa"/>
            <w:right w:w="108" w:type="dxa"/>
          </w:tblCellMar>
        </w:tblPrEx>
        <w:trPr>
          <w:trHeight w:val="758"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社会效益</w:t>
            </w:r>
          </w:p>
        </w:tc>
        <w:tc>
          <w:tcPr>
            <w:tcW w:w="516" w:type="dxa"/>
            <w:vMerge w:val="continue"/>
            <w:tcBorders>
              <w:top w:val="nil"/>
              <w:left w:val="single" w:color="auto" w:sz="4" w:space="0"/>
              <w:bottom w:val="nil"/>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6190" w:type="dxa"/>
            <w:gridSpan w:val="2"/>
            <w:vMerge w:val="continue"/>
            <w:tcBorders>
              <w:top w:val="single" w:color="auto" w:sz="4" w:space="0"/>
              <w:left w:val="single" w:color="auto" w:sz="4" w:space="0"/>
              <w:bottom w:val="nil"/>
              <w:right w:val="single" w:color="000000"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622" w:type="dxa"/>
            <w:tcBorders>
              <w:top w:val="nil"/>
              <w:left w:val="nil"/>
              <w:bottom w:val="nil"/>
              <w:right w:val="single" w:color="auto" w:sz="4" w:space="0"/>
            </w:tcBorders>
            <w:vAlign w:val="center"/>
          </w:tcPr>
          <w:p>
            <w:pPr>
              <w:widowControl/>
              <w:spacing w:line="300" w:lineRule="exact"/>
              <w:jc w:val="center"/>
              <w:rPr>
                <w:rFonts w:ascii="Times New Roman" w:hAnsi="Times New Roman" w:cs="Times New Roman"/>
                <w:kern w:val="0"/>
                <w:sz w:val="24"/>
                <w:szCs w:val="24"/>
              </w:rPr>
            </w:pPr>
            <w:r>
              <w:rPr>
                <w:rFonts w:ascii="Times New Roman" w:hAnsi="Times New Roman" w:cs="Times New Roman"/>
                <w:kern w:val="0"/>
                <w:sz w:val="24"/>
                <w:szCs w:val="24"/>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12</w:t>
            </w: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促进部门改进文风会风，加强经费及资产管理，推动网上办事，提高行政效率，降低行政成本效果较好的计</w:t>
            </w:r>
            <w:r>
              <w:rPr>
                <w:rFonts w:ascii="Times New Roman" w:hAnsi="Times New Roman" w:eastAsia="仿宋_GB2312" w:cs="Times New Roman"/>
                <w:kern w:val="0"/>
                <w:sz w:val="20"/>
                <w:szCs w:val="20"/>
              </w:rPr>
              <w:t>6</w:t>
            </w:r>
            <w:r>
              <w:rPr>
                <w:rFonts w:hint="eastAsia" w:ascii="Times New Roman" w:hAnsi="Times New Roman" w:eastAsia="仿宋_GB2312" w:cs="仿宋_GB2312"/>
                <w:kern w:val="0"/>
                <w:sz w:val="20"/>
                <w:szCs w:val="20"/>
              </w:rPr>
              <w:t>分；一般</w:t>
            </w:r>
            <w:r>
              <w:rPr>
                <w:rFonts w:ascii="Times New Roman" w:hAnsi="Times New Roman" w:eastAsia="仿宋_GB2312" w:cs="Times New Roman"/>
                <w:kern w:val="0"/>
                <w:sz w:val="20"/>
                <w:szCs w:val="20"/>
              </w:rPr>
              <w:t>3</w:t>
            </w:r>
            <w:r>
              <w:rPr>
                <w:rFonts w:hint="eastAsia" w:ascii="Times New Roman" w:hAnsi="Times New Roman" w:eastAsia="仿宋_GB2312" w:cs="仿宋_GB2312"/>
                <w:kern w:val="0"/>
                <w:sz w:val="20"/>
                <w:szCs w:val="20"/>
              </w:rPr>
              <w:t>分；无效果或者效果不明显</w:t>
            </w:r>
            <w:r>
              <w:rPr>
                <w:rFonts w:ascii="Times New Roman" w:hAnsi="Times New Roman" w:eastAsia="仿宋_GB2312" w:cs="Times New Roman"/>
                <w:kern w:val="0"/>
                <w:sz w:val="20"/>
                <w:szCs w:val="20"/>
              </w:rPr>
              <w:t>0</w:t>
            </w:r>
            <w:r>
              <w:rPr>
                <w:rFonts w:hint="eastAsia" w:ascii="Times New Roman" w:hAnsi="Times New Roman" w:eastAsia="仿宋_GB2312" w:cs="仿宋_GB2312"/>
                <w:kern w:val="0"/>
                <w:sz w:val="20"/>
                <w:szCs w:val="20"/>
              </w:rPr>
              <w:t>分。</w:t>
            </w: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根据部门自评材料评定。</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r>
              <w:rPr>
                <w:rFonts w:ascii="Times New Roman" w:hAnsi="Times New Roman" w:cs="Times New Roman"/>
                <w:kern w:val="0"/>
                <w:sz w:val="24"/>
                <w:szCs w:val="24"/>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90%</w:t>
            </w:r>
            <w:r>
              <w:rPr>
                <w:rFonts w:hint="eastAsia" w:ascii="Times New Roman" w:hAnsi="Times New Roman" w:eastAsia="仿宋_GB2312" w:cs="仿宋_GB2312"/>
                <w:kern w:val="0"/>
                <w:sz w:val="20"/>
                <w:szCs w:val="20"/>
              </w:rPr>
              <w:t>（含）以上计</w:t>
            </w:r>
            <w:r>
              <w:rPr>
                <w:rFonts w:ascii="Times New Roman" w:hAnsi="Times New Roman" w:eastAsia="仿宋_GB2312" w:cs="Times New Roman"/>
                <w:kern w:val="0"/>
                <w:sz w:val="20"/>
                <w:szCs w:val="20"/>
              </w:rPr>
              <w:t>6</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br w:type="textWrapping"/>
            </w:r>
            <w:r>
              <w:rPr>
                <w:rFonts w:ascii="Times New Roman" w:hAnsi="Times New Roman" w:eastAsia="仿宋_GB2312" w:cs="Times New Roman"/>
                <w:kern w:val="0"/>
                <w:sz w:val="20"/>
                <w:szCs w:val="20"/>
              </w:rPr>
              <w:t>80%</w:t>
            </w:r>
            <w:r>
              <w:rPr>
                <w:rFonts w:hint="eastAsia" w:ascii="Times New Roman" w:hAnsi="Times New Roman" w:eastAsia="仿宋_GB2312" w:cs="仿宋_GB2312"/>
                <w:kern w:val="0"/>
                <w:sz w:val="20"/>
                <w:szCs w:val="20"/>
              </w:rPr>
              <w:t>（含）</w:t>
            </w:r>
            <w:r>
              <w:rPr>
                <w:rFonts w:ascii="Times New Roman" w:hAnsi="Times New Roman" w:eastAsia="仿宋_GB2312" w:cs="Times New Roman"/>
                <w:kern w:val="0"/>
                <w:sz w:val="20"/>
                <w:szCs w:val="20"/>
              </w:rPr>
              <w:t>-90%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4</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br w:type="textWrapping"/>
            </w:r>
            <w:r>
              <w:rPr>
                <w:rFonts w:ascii="Times New Roman" w:hAnsi="Times New Roman" w:eastAsia="仿宋_GB2312" w:cs="Times New Roman"/>
                <w:kern w:val="0"/>
                <w:sz w:val="20"/>
                <w:szCs w:val="20"/>
              </w:rPr>
              <w:t>70%</w:t>
            </w:r>
            <w:r>
              <w:rPr>
                <w:rFonts w:hint="eastAsia" w:ascii="Times New Roman" w:hAnsi="Times New Roman" w:eastAsia="仿宋_GB2312" w:cs="仿宋_GB2312"/>
                <w:kern w:val="0"/>
                <w:sz w:val="20"/>
                <w:szCs w:val="20"/>
              </w:rPr>
              <w:t>（含）</w:t>
            </w:r>
            <w:r>
              <w:rPr>
                <w:rFonts w:ascii="Times New Roman" w:hAnsi="Times New Roman" w:eastAsia="仿宋_GB2312" w:cs="Times New Roman"/>
                <w:kern w:val="0"/>
                <w:sz w:val="20"/>
                <w:szCs w:val="20"/>
              </w:rPr>
              <w:t>-80%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低于</w:t>
            </w:r>
            <w:r>
              <w:rPr>
                <w:rFonts w:ascii="Times New Roman" w:hAnsi="Times New Roman" w:eastAsia="仿宋_GB2312" w:cs="Times New Roman"/>
                <w:kern w:val="0"/>
                <w:sz w:val="20"/>
                <w:szCs w:val="20"/>
              </w:rPr>
              <w:t>70%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0</w:t>
            </w:r>
            <w:r>
              <w:rPr>
                <w:rFonts w:hint="eastAsia" w:ascii="Times New Roman" w:hAnsi="Times New Roman" w:eastAsia="仿宋_GB2312" w:cs="仿宋_GB2312"/>
                <w:kern w:val="0"/>
                <w:sz w:val="20"/>
                <w:szCs w:val="20"/>
              </w:rPr>
              <w:t>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社会公众或服务对象是指部门（单位）履行职责而影响到的部门、群体或个人，一般采取社会调查的方式。</w:t>
            </w:r>
          </w:p>
        </w:tc>
        <w:tc>
          <w:tcPr>
            <w:tcW w:w="622" w:type="dxa"/>
            <w:tcBorders>
              <w:top w:val="nil"/>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r>
              <w:rPr>
                <w:rFonts w:ascii="Times New Roman" w:hAnsi="Times New Roman" w:cs="Times New Roman"/>
                <w:kern w:val="0"/>
                <w:sz w:val="24"/>
                <w:szCs w:val="24"/>
              </w:rPr>
              <w:t>6</w:t>
            </w:r>
          </w:p>
        </w:tc>
      </w:tr>
      <w:tr>
        <w:tblPrEx>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0"/>
                <w:szCs w:val="20"/>
              </w:rPr>
            </w:pP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cs="Times New Roman"/>
                <w:kern w:val="0"/>
                <w:sz w:val="24"/>
                <w:szCs w:val="24"/>
              </w:rPr>
            </w:pPr>
            <w:r>
              <w:rPr>
                <w:rFonts w:ascii="Times New Roman" w:hAnsi="Times New Roman" w:cs="Times New Roman"/>
                <w:kern w:val="0"/>
                <w:sz w:val="24"/>
                <w:szCs w:val="24"/>
              </w:rPr>
              <w:t>96</w:t>
            </w:r>
          </w:p>
        </w:tc>
      </w:tr>
    </w:tbl>
    <w:p>
      <w:pPr>
        <w:spacing w:line="560" w:lineRule="exact"/>
        <w:jc w:val="center"/>
        <w:rPr>
          <w:rFonts w:ascii="宋体" w:cs="宋体"/>
          <w:b/>
          <w:bCs/>
          <w:kern w:val="0"/>
          <w:sz w:val="32"/>
          <w:szCs w:val="32"/>
        </w:rPr>
      </w:pPr>
      <w:r>
        <w:rPr>
          <w:rFonts w:ascii="Times New Roman" w:hAnsi="Times New Roman" w:eastAsia="黑体" w:cs="Times New Roman"/>
          <w:sz w:val="28"/>
          <w:szCs w:val="28"/>
        </w:rPr>
        <w:br w:type="page"/>
      </w:r>
      <w:r>
        <w:rPr>
          <w:rFonts w:hint="eastAsia" w:ascii="宋体" w:hAnsi="宋体" w:cs="宋体"/>
          <w:b/>
          <w:bCs/>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填报单位：中共澧县县委机构编制委员会办公室</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p>
    <w:tbl>
      <w:tblPr>
        <w:tblStyle w:val="13"/>
        <w:tblW w:w="10339" w:type="dxa"/>
        <w:jc w:val="center"/>
        <w:tblLayout w:type="fixed"/>
        <w:tblCellMar>
          <w:top w:w="0" w:type="dxa"/>
          <w:left w:w="108" w:type="dxa"/>
          <w:bottom w:w="0" w:type="dxa"/>
          <w:right w:w="108" w:type="dxa"/>
        </w:tblCellMar>
      </w:tblPr>
      <w:tblGrid>
        <w:gridCol w:w="3550"/>
        <w:gridCol w:w="1190"/>
        <w:gridCol w:w="1170"/>
        <w:gridCol w:w="1130"/>
        <w:gridCol w:w="1465"/>
        <w:gridCol w:w="970"/>
        <w:gridCol w:w="864"/>
      </w:tblGrid>
      <w:tr>
        <w:tblPrEx>
          <w:tblCellMar>
            <w:top w:w="0" w:type="dxa"/>
            <w:left w:w="108" w:type="dxa"/>
            <w:bottom w:w="0" w:type="dxa"/>
            <w:right w:w="108" w:type="dxa"/>
          </w:tblCellMar>
        </w:tblPrEx>
        <w:trPr>
          <w:trHeight w:val="417" w:hRule="atLeast"/>
          <w:jc w:val="center"/>
        </w:trPr>
        <w:tc>
          <w:tcPr>
            <w:tcW w:w="35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财政供养人员情况</w:t>
            </w: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编制数</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2020</w:t>
            </w:r>
            <w:r>
              <w:rPr>
                <w:rFonts w:hint="eastAsia" w:ascii="Times New Roman" w:hAnsi="Times New Roman" w:eastAsia="仿宋_GB2312" w:cs="仿宋_GB2312"/>
                <w:b/>
                <w:bCs/>
                <w:kern w:val="0"/>
                <w:sz w:val="24"/>
                <w:szCs w:val="24"/>
              </w:rPr>
              <w:t>年实际在职人数</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r>
              <w:rPr>
                <w:rFonts w:ascii="Times New Roman" w:hAnsi="Times New Roman" w:eastAsia="仿宋_GB2312" w:cs="Times New Roman"/>
                <w:kern w:val="0"/>
                <w:sz w:val="24"/>
                <w:szCs w:val="24"/>
              </w:rPr>
              <w:t>14</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r>
              <w:rPr>
                <w:rFonts w:ascii="Times New Roman" w:hAnsi="Times New Roman" w:eastAsia="仿宋_GB2312" w:cs="Times New Roman"/>
                <w:kern w:val="0"/>
                <w:sz w:val="24"/>
                <w:szCs w:val="24"/>
              </w:rPr>
              <w:t>13</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经费控制情况</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2019</w:t>
            </w:r>
            <w:r>
              <w:rPr>
                <w:rFonts w:hint="eastAsia" w:ascii="Times New Roman" w:hAnsi="Times New Roman" w:eastAsia="仿宋_GB2312" w:cs="仿宋_GB2312"/>
                <w:b/>
                <w:bCs/>
                <w:kern w:val="0"/>
                <w:sz w:val="24"/>
                <w:szCs w:val="24"/>
              </w:rPr>
              <w:t>年决算数</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2020</w:t>
            </w:r>
            <w:r>
              <w:rPr>
                <w:rFonts w:hint="eastAsia" w:ascii="Times New Roman" w:hAnsi="Times New Roman" w:eastAsia="仿宋_GB2312" w:cs="仿宋_GB2312"/>
                <w:b/>
                <w:bCs/>
                <w:kern w:val="0"/>
                <w:sz w:val="24"/>
                <w:szCs w:val="24"/>
              </w:rPr>
              <w:t>年预算数</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2020</w:t>
            </w:r>
            <w:r>
              <w:rPr>
                <w:rFonts w:hint="eastAsia" w:ascii="Times New Roman" w:hAnsi="Times New Roman" w:eastAsia="仿宋_GB2312" w:cs="仿宋_GB2312"/>
                <w:b/>
                <w:bCs/>
                <w:kern w:val="0"/>
                <w:sz w:val="24"/>
                <w:szCs w:val="24"/>
              </w:rPr>
              <w:t>年决算数</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三公经费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3.21</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1</w:t>
            </w:r>
            <w:r>
              <w:rPr>
                <w:rFonts w:hint="eastAsia" w:ascii="Times New Roman" w:hAnsi="Times New Roman" w:eastAsia="仿宋_GB2312" w:cs="仿宋_GB2312"/>
                <w:kern w:val="0"/>
                <w:sz w:val="24"/>
                <w:szCs w:val="24"/>
              </w:rPr>
              <w:t>、公务用车购置和维护经费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其中：公车购置</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公车运行维护</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2</w:t>
            </w:r>
            <w:r>
              <w:rPr>
                <w:rFonts w:hint="eastAsia" w:ascii="Times New Roman" w:hAnsi="Times New Roman" w:eastAsia="仿宋_GB2312" w:cs="仿宋_GB2312"/>
                <w:kern w:val="0"/>
                <w:sz w:val="24"/>
                <w:szCs w:val="24"/>
              </w:rPr>
              <w:t>、出国经费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3</w:t>
            </w:r>
            <w:r>
              <w:rPr>
                <w:rFonts w:hint="eastAsia" w:ascii="Times New Roman" w:hAnsi="Times New Roman" w:eastAsia="仿宋_GB2312" w:cs="仿宋_GB2312"/>
                <w:kern w:val="0"/>
                <w:sz w:val="24"/>
                <w:szCs w:val="24"/>
              </w:rPr>
              <w:t>、公务接待</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3.21</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项目支出：</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38.33</w:t>
            </w:r>
          </w:p>
        </w:tc>
        <w:tc>
          <w:tcPr>
            <w:tcW w:w="2595" w:type="dxa"/>
            <w:gridSpan w:val="2"/>
            <w:tcBorders>
              <w:top w:val="single" w:color="auto" w:sz="4" w:space="0"/>
              <w:left w:val="nil"/>
              <w:bottom w:val="single" w:color="auto" w:sz="4" w:space="0"/>
              <w:right w:val="single" w:color="000000" w:sz="4" w:space="0"/>
            </w:tcBorders>
            <w:vAlign w:val="center"/>
          </w:tcPr>
          <w:p>
            <w:pPr>
              <w:widowControl/>
              <w:ind w:firstLine="1080" w:firstLineChars="45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53</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47.66</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1</w:t>
            </w:r>
            <w:r>
              <w:rPr>
                <w:rFonts w:hint="eastAsia" w:ascii="Times New Roman" w:hAnsi="Times New Roman" w:eastAsia="仿宋_GB2312" w:cs="仿宋_GB2312"/>
                <w:kern w:val="0"/>
                <w:sz w:val="24"/>
                <w:szCs w:val="24"/>
              </w:rPr>
              <w:t>、业务工作专项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38.33</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53</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47.66</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2</w:t>
            </w:r>
            <w:r>
              <w:rPr>
                <w:rFonts w:hint="eastAsia" w:ascii="Times New Roman" w:hAnsi="Times New Roman" w:eastAsia="仿宋_GB2312" w:cs="仿宋_GB2312"/>
                <w:kern w:val="0"/>
                <w:sz w:val="24"/>
                <w:szCs w:val="24"/>
              </w:rPr>
              <w:t>、运行维护专项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公用经费</w:t>
            </w:r>
          </w:p>
        </w:tc>
        <w:tc>
          <w:tcPr>
            <w:tcW w:w="2360" w:type="dxa"/>
            <w:gridSpan w:val="2"/>
            <w:tcBorders>
              <w:top w:val="single" w:color="auto" w:sz="4" w:space="0"/>
              <w:left w:val="nil"/>
              <w:bottom w:val="single" w:color="auto" w:sz="4" w:space="0"/>
              <w:right w:val="single" w:color="000000" w:sz="4" w:space="0"/>
            </w:tcBorders>
            <w:vAlign w:val="center"/>
          </w:tcPr>
          <w:p>
            <w:pPr>
              <w:widowControl/>
              <w:ind w:firstLine="840" w:firstLineChars="35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18.33</w:t>
            </w:r>
          </w:p>
        </w:tc>
        <w:tc>
          <w:tcPr>
            <w:tcW w:w="2595" w:type="dxa"/>
            <w:gridSpan w:val="2"/>
            <w:tcBorders>
              <w:top w:val="single" w:color="auto" w:sz="4" w:space="0"/>
              <w:left w:val="nil"/>
              <w:bottom w:val="single" w:color="auto" w:sz="4" w:space="0"/>
              <w:right w:val="single" w:color="000000" w:sz="4" w:space="0"/>
            </w:tcBorders>
            <w:vAlign w:val="center"/>
          </w:tcPr>
          <w:p>
            <w:pPr>
              <w:widowControl/>
              <w:ind w:firstLine="960" w:firstLineChars="40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13</w:t>
            </w:r>
          </w:p>
        </w:tc>
        <w:tc>
          <w:tcPr>
            <w:tcW w:w="1834" w:type="dxa"/>
            <w:gridSpan w:val="2"/>
            <w:tcBorders>
              <w:top w:val="single" w:color="auto" w:sz="4" w:space="0"/>
              <w:left w:val="nil"/>
              <w:bottom w:val="single" w:color="auto" w:sz="4" w:space="0"/>
              <w:right w:val="single" w:color="000000" w:sz="4" w:space="0"/>
            </w:tcBorders>
            <w:vAlign w:val="center"/>
          </w:tcPr>
          <w:p>
            <w:pPr>
              <w:widowControl/>
              <w:ind w:firstLine="600" w:firstLineChars="25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18.55</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其中：办公经费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 xml:space="preserve"> 16.93</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8.7</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14.4</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水费、电费、差旅费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0.9</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3.8</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3.65</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会议费、培训费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0.5</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0.5</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0.5</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政府采购金额</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s="Times New Roman"/>
                <w:kern w:val="0"/>
                <w:sz w:val="24"/>
                <w:szCs w:val="24"/>
              </w:rPr>
            </w:pPr>
            <w:r>
              <w:rPr>
                <w:rFonts w:ascii="Times New Roman" w:hAnsi="Times New Roman" w:eastAsia="仿宋_GB2312" w:cs="Times New Roman"/>
                <w:kern w:val="0"/>
                <w:sz w:val="24"/>
                <w:szCs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部门整体支出预算调整</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0.21</w:t>
            </w:r>
          </w:p>
        </w:tc>
      </w:tr>
      <w:tr>
        <w:tblPrEx>
          <w:tblCellMar>
            <w:top w:w="0" w:type="dxa"/>
            <w:left w:w="108" w:type="dxa"/>
            <w:bottom w:w="0" w:type="dxa"/>
            <w:right w:w="108" w:type="dxa"/>
          </w:tblCellMar>
        </w:tblPrEx>
        <w:trPr>
          <w:trHeight w:val="1154" w:hRule="atLeast"/>
          <w:jc w:val="center"/>
        </w:trPr>
        <w:tc>
          <w:tcPr>
            <w:tcW w:w="355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楼堂馆所控制情况</w:t>
            </w:r>
            <w:r>
              <w:rPr>
                <w:rFonts w:ascii="Times New Roman" w:hAnsi="Times New Roman" w:eastAsia="仿宋_GB2312" w:cs="Times New Roman"/>
                <w:kern w:val="0"/>
                <w:sz w:val="24"/>
                <w:szCs w:val="24"/>
              </w:rPr>
              <w:br w:type="textWrapping"/>
            </w:r>
            <w:r>
              <w:rPr>
                <w:rFonts w:hint="eastAsia" w:ascii="Times New Roman" w:hAnsi="Times New Roman" w:eastAsia="仿宋_GB2312" w:cs="仿宋_GB2312"/>
                <w:kern w:val="0"/>
                <w:sz w:val="24"/>
                <w:szCs w:val="24"/>
              </w:rPr>
              <w:t>（</w:t>
            </w:r>
            <w:r>
              <w:rPr>
                <w:rFonts w:ascii="Times New Roman" w:hAnsi="Times New Roman" w:eastAsia="仿宋_GB2312" w:cs="Times New Roman"/>
                <w:kern w:val="0"/>
                <w:sz w:val="24"/>
                <w:szCs w:val="24"/>
              </w:rPr>
              <w:t>2018</w:t>
            </w:r>
            <w:r>
              <w:rPr>
                <w:rFonts w:hint="eastAsia" w:ascii="Times New Roman" w:hAnsi="Times New Roman" w:eastAsia="仿宋_GB2312" w:cs="仿宋_GB2312"/>
                <w:kern w:val="0"/>
                <w:sz w:val="24"/>
                <w:szCs w:val="24"/>
              </w:rPr>
              <w:t>年完工项目）</w:t>
            </w: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批复规模</w:t>
            </w:r>
            <w:r>
              <w:rPr>
                <w:rFonts w:ascii="Times New Roman" w:hAnsi="Times New Roman" w:eastAsia="仿宋_GB2312" w:cs="Times New Roman"/>
                <w:b/>
                <w:bCs/>
                <w:kern w:val="0"/>
                <w:sz w:val="24"/>
                <w:szCs w:val="24"/>
              </w:rPr>
              <w:br w:type="textWrapping"/>
            </w:r>
            <w:r>
              <w:rPr>
                <w:rFonts w:hint="eastAsia" w:ascii="Times New Roman" w:hAnsi="Times New Roman" w:eastAsia="仿宋_GB2312" w:cs="仿宋_GB2312"/>
                <w:b/>
                <w:bCs/>
                <w:kern w:val="0"/>
                <w:sz w:val="24"/>
                <w:szCs w:val="24"/>
              </w:rPr>
              <w:t>（</w:t>
            </w:r>
            <w:r>
              <w:rPr>
                <w:rFonts w:hint="eastAsia" w:ascii="Times New Roman" w:hAnsi="Times New Roman" w:cs="宋体"/>
                <w:b/>
                <w:bCs/>
                <w:kern w:val="0"/>
                <w:sz w:val="24"/>
                <w:szCs w:val="24"/>
              </w:rPr>
              <w:t>㎡</w:t>
            </w:r>
            <w:r>
              <w:rPr>
                <w:rFonts w:hint="eastAsia" w:ascii="Times New Roman" w:hAnsi="Times New Roman" w:eastAsia="仿宋_GB2312" w:cs="仿宋_GB2312"/>
                <w:b/>
                <w:bCs/>
                <w:kern w:val="0"/>
                <w:sz w:val="24"/>
                <w:szCs w:val="24"/>
              </w:rPr>
              <w:t>）</w:t>
            </w:r>
          </w:p>
        </w:tc>
        <w:tc>
          <w:tcPr>
            <w:tcW w:w="11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实际规模（</w:t>
            </w:r>
            <w:r>
              <w:rPr>
                <w:rFonts w:hint="eastAsia" w:ascii="Times New Roman" w:hAnsi="Times New Roman" w:cs="宋体"/>
                <w:b/>
                <w:bCs/>
                <w:kern w:val="0"/>
                <w:sz w:val="24"/>
                <w:szCs w:val="24"/>
              </w:rPr>
              <w:t>㎡</w:t>
            </w:r>
            <w:r>
              <w:rPr>
                <w:rFonts w:hint="eastAsia" w:ascii="Times New Roman" w:hAnsi="Times New Roman" w:eastAsia="仿宋_GB2312" w:cs="仿宋_GB2312"/>
                <w:b/>
                <w:bCs/>
                <w:kern w:val="0"/>
                <w:sz w:val="24"/>
                <w:szCs w:val="24"/>
              </w:rPr>
              <w:t>）</w:t>
            </w:r>
          </w:p>
        </w:tc>
        <w:tc>
          <w:tcPr>
            <w:tcW w:w="11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规模控制率</w:t>
            </w:r>
          </w:p>
        </w:tc>
        <w:tc>
          <w:tcPr>
            <w:tcW w:w="146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预算投资（万元）</w:t>
            </w:r>
          </w:p>
        </w:tc>
        <w:tc>
          <w:tcPr>
            <w:tcW w:w="9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实际投资（万元）</w:t>
            </w:r>
          </w:p>
        </w:tc>
        <w:tc>
          <w:tcPr>
            <w:tcW w:w="86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投资概算控制率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r>
              <w:rPr>
                <w:rFonts w:ascii="Times New Roman" w:hAnsi="Times New Roman" w:eastAsia="仿宋_GB2312" w:cs="Times New Roman"/>
                <w:kern w:val="0"/>
                <w:sz w:val="24"/>
                <w:szCs w:val="24"/>
              </w:rPr>
              <w:t>0</w:t>
            </w:r>
          </w:p>
        </w:tc>
        <w:tc>
          <w:tcPr>
            <w:tcW w:w="117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r>
              <w:rPr>
                <w:rFonts w:ascii="Times New Roman" w:hAnsi="Times New Roman" w:eastAsia="仿宋_GB2312" w:cs="Times New Roman"/>
                <w:kern w:val="0"/>
                <w:sz w:val="24"/>
                <w:szCs w:val="24"/>
              </w:rPr>
              <w:t>0</w:t>
            </w:r>
          </w:p>
        </w:tc>
        <w:tc>
          <w:tcPr>
            <w:tcW w:w="113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r>
              <w:rPr>
                <w:rFonts w:ascii="Times New Roman" w:hAnsi="Times New Roman" w:eastAsia="仿宋_GB2312" w:cs="Times New Roman"/>
                <w:kern w:val="0"/>
                <w:sz w:val="24"/>
                <w:szCs w:val="24"/>
              </w:rPr>
              <w:t>0</w:t>
            </w:r>
          </w:p>
        </w:tc>
        <w:tc>
          <w:tcPr>
            <w:tcW w:w="146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r>
              <w:rPr>
                <w:rFonts w:ascii="Times New Roman" w:hAnsi="Times New Roman" w:eastAsia="仿宋_GB2312" w:cs="Times New Roman"/>
                <w:kern w:val="0"/>
                <w:sz w:val="24"/>
                <w:szCs w:val="24"/>
              </w:rPr>
              <w:t>0</w:t>
            </w:r>
          </w:p>
        </w:tc>
        <w:tc>
          <w:tcPr>
            <w:tcW w:w="97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r>
              <w:rPr>
                <w:rFonts w:ascii="Times New Roman" w:hAnsi="Times New Roman" w:eastAsia="仿宋_GB2312" w:cs="Times New Roman"/>
                <w:kern w:val="0"/>
                <w:sz w:val="24"/>
                <w:szCs w:val="24"/>
              </w:rPr>
              <w:t>0</w:t>
            </w:r>
          </w:p>
        </w:tc>
        <w:tc>
          <w:tcPr>
            <w:tcW w:w="86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　</w:t>
            </w:r>
            <w:r>
              <w:rPr>
                <w:rFonts w:ascii="Times New Roman" w:hAnsi="Times New Roman" w:eastAsia="仿宋_GB2312" w:cs="Times New Roman"/>
                <w:kern w:val="0"/>
                <w:sz w:val="24"/>
                <w:szCs w:val="24"/>
              </w:rPr>
              <w:t>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厉行节约保障措施</w:t>
            </w:r>
          </w:p>
        </w:tc>
        <w:tc>
          <w:tcPr>
            <w:tcW w:w="6789" w:type="dxa"/>
            <w:gridSpan w:val="6"/>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 w:val="24"/>
                <w:szCs w:val="24"/>
              </w:rPr>
            </w:pPr>
            <w:r>
              <w:rPr>
                <w:rFonts w:hint="eastAsia" w:ascii="仿宋_GB2312" w:eastAsia="仿宋_GB2312" w:cs="仿宋_GB2312"/>
                <w:sz w:val="24"/>
                <w:szCs w:val="24"/>
              </w:rPr>
              <w:t>严格执行中央八项规定和县委有关规定，完善相关管理制度。</w:t>
            </w:r>
            <w:r>
              <w:rPr>
                <w:rFonts w:hint="eastAsia" w:ascii="Times New Roman" w:hAnsi="Times New Roman" w:eastAsia="仿宋_GB2312" w:cs="仿宋_GB2312"/>
                <w:kern w:val="0"/>
                <w:sz w:val="24"/>
                <w:szCs w:val="24"/>
              </w:rPr>
              <w:t>　</w:t>
            </w:r>
          </w:p>
        </w:tc>
      </w:tr>
    </w:tbl>
    <w:p>
      <w:pPr>
        <w:widowControl/>
        <w:jc w:val="left"/>
        <w:rPr>
          <w:rFonts w:ascii="Times New Roman" w:hAnsi="Times New Roman" w:cs="Times New Roman"/>
        </w:rPr>
      </w:pPr>
      <w:r>
        <w:rPr>
          <w:rFonts w:hint="eastAsia" w:ascii="Times New Roman" w:hAnsi="Times New Roman" w:eastAsia="仿宋_GB2312" w:cs="仿宋_GB2312"/>
          <w:kern w:val="0"/>
          <w:sz w:val="22"/>
          <w:szCs w:val="22"/>
        </w:rPr>
        <w:t>说明：</w:t>
      </w:r>
      <w:r>
        <w:rPr>
          <w:rFonts w:ascii="Times New Roman" w:hAnsi="Times New Roman" w:eastAsia="仿宋_GB2312" w:cs="Times New Roman"/>
          <w:kern w:val="0"/>
          <w:sz w:val="22"/>
          <w:szCs w:val="22"/>
        </w:rPr>
        <w:t>“</w:t>
      </w:r>
      <w:r>
        <w:rPr>
          <w:rFonts w:hint="eastAsia" w:ascii="Times New Roman" w:hAnsi="Times New Roman" w:eastAsia="仿宋_GB2312" w:cs="仿宋_GB2312"/>
          <w:kern w:val="0"/>
          <w:sz w:val="22"/>
          <w:szCs w:val="22"/>
        </w:rPr>
        <w:t>项目支出</w:t>
      </w:r>
      <w:r>
        <w:rPr>
          <w:rFonts w:ascii="Times New Roman" w:hAnsi="Times New Roman" w:eastAsia="仿宋_GB2312" w:cs="Times New Roman"/>
          <w:kern w:val="0"/>
          <w:sz w:val="22"/>
          <w:szCs w:val="22"/>
        </w:rPr>
        <w:t>”</w:t>
      </w:r>
      <w:r>
        <w:rPr>
          <w:rFonts w:hint="eastAsia" w:ascii="Times New Roman" w:hAnsi="Times New Roman" w:eastAsia="仿宋_GB2312" w:cs="仿宋_GB2312"/>
          <w:kern w:val="0"/>
          <w:sz w:val="22"/>
          <w:szCs w:val="22"/>
        </w:rPr>
        <w:t>需要填报除专项资金和基本支出以外的所有项目情况，包括业务工作项目、运行维护项目等；</w:t>
      </w:r>
      <w:r>
        <w:rPr>
          <w:rFonts w:ascii="Times New Roman" w:hAnsi="Times New Roman" w:eastAsia="仿宋_GB2312" w:cs="Times New Roman"/>
          <w:kern w:val="0"/>
          <w:sz w:val="22"/>
          <w:szCs w:val="22"/>
        </w:rPr>
        <w:t>“</w:t>
      </w:r>
      <w:r>
        <w:rPr>
          <w:rFonts w:hint="eastAsia" w:ascii="Times New Roman" w:hAnsi="Times New Roman" w:eastAsia="仿宋_GB2312" w:cs="仿宋_GB2312"/>
          <w:kern w:val="0"/>
          <w:sz w:val="22"/>
          <w:szCs w:val="22"/>
        </w:rPr>
        <w:t>公用经费</w:t>
      </w:r>
      <w:r>
        <w:rPr>
          <w:rFonts w:ascii="Times New Roman" w:hAnsi="Times New Roman" w:eastAsia="仿宋_GB2312" w:cs="Times New Roman"/>
          <w:kern w:val="0"/>
          <w:sz w:val="22"/>
          <w:szCs w:val="22"/>
        </w:rPr>
        <w:t>”</w:t>
      </w:r>
      <w:r>
        <w:rPr>
          <w:rFonts w:hint="eastAsia" w:ascii="Times New Roman" w:hAnsi="Times New Roman" w:eastAsia="仿宋_GB2312" w:cs="仿宋_GB2312"/>
          <w:kern w:val="0"/>
          <w:sz w:val="22"/>
          <w:szCs w:val="22"/>
        </w:rPr>
        <w:t>填报基本支出中的一般商品和服务支出。</w:t>
      </w:r>
    </w:p>
    <w:p>
      <w:pPr>
        <w:widowControl/>
        <w:spacing w:line="580" w:lineRule="exact"/>
        <w:rPr>
          <w:rFonts w:ascii="Times New Roman" w:hAnsi="Times New Roman" w:eastAsia="黑体" w:cs="Times New Roman"/>
          <w:color w:val="000000"/>
          <w:sz w:val="32"/>
          <w:szCs w:val="32"/>
        </w:rPr>
      </w:pPr>
    </w:p>
    <w:sectPr>
      <w:headerReference r:id="rId3" w:type="default"/>
      <w:footerReference r:id="rId4"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68104D-A638-4259-9720-F2D7D6888A3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embedRegular r:id="rId2" w:fontKey="{007F325B-5A02-4701-B236-F27B5BC08201}"/>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3" w:fontKey="{6420A1FF-16F5-4B88-BB42-286CDCE443F8}"/>
  </w:font>
  <w:font w:name="仿宋_GB2312">
    <w:panose1 w:val="02010609030101010101"/>
    <w:charset w:val="86"/>
    <w:family w:val="modern"/>
    <w:pitch w:val="default"/>
    <w:sig w:usb0="00000001" w:usb1="080E0000" w:usb2="00000000" w:usb3="00000000" w:csb0="00040000" w:csb1="00000000"/>
    <w:embedRegular r:id="rId4" w:fontKey="{890EF437-D54B-498F-99E8-5203467F4FCE}"/>
  </w:font>
  <w:font w:name="仿宋">
    <w:panose1 w:val="02010609060101010101"/>
    <w:charset w:val="86"/>
    <w:family w:val="modern"/>
    <w:pitch w:val="default"/>
    <w:sig w:usb0="800002BF" w:usb1="38CF7CFA" w:usb2="00000016" w:usb3="00000000" w:csb0="00040001" w:csb1="00000000"/>
    <w:embedRegular r:id="rId5" w:fontKey="{8AAA7EFA-CB4A-4B9B-B2FA-9BC9FCAE769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cs="Times New Roman"/>
      </w:rPr>
    </w:pPr>
    <w:r>
      <w:fldChar w:fldCharType="begin"/>
    </w:r>
    <w:r>
      <w:instrText xml:space="preserve"> PAGE   \* MERGEFORMAT </w:instrText>
    </w:r>
    <w:r>
      <w:fldChar w:fldCharType="separate"/>
    </w:r>
    <w:r>
      <w:rPr>
        <w:lang w:val="zh-CN"/>
      </w:rPr>
      <w:t>1</w:t>
    </w:r>
    <w:r>
      <w:rPr>
        <w:lang w:val="zh-CN"/>
      </w:rPr>
      <w:fldChar w:fldCharType="end"/>
    </w:r>
  </w:p>
  <w:p>
    <w:pPr>
      <w:pStyle w:val="1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ZkY2IxY2U3NzVjM2I5YTZkNWI5MmM0OGU0MjY1YmIifQ=="/>
  </w:docVars>
  <w:rsids>
    <w:rsidRoot w:val="007974AB"/>
    <w:rsid w:val="0000298E"/>
    <w:rsid w:val="00002AE4"/>
    <w:rsid w:val="00031747"/>
    <w:rsid w:val="0003456A"/>
    <w:rsid w:val="000364BC"/>
    <w:rsid w:val="00037035"/>
    <w:rsid w:val="000469BA"/>
    <w:rsid w:val="000516DC"/>
    <w:rsid w:val="00053F71"/>
    <w:rsid w:val="000552F3"/>
    <w:rsid w:val="00066767"/>
    <w:rsid w:val="00070B5F"/>
    <w:rsid w:val="000747B8"/>
    <w:rsid w:val="00075715"/>
    <w:rsid w:val="00083406"/>
    <w:rsid w:val="00085A99"/>
    <w:rsid w:val="00087EA5"/>
    <w:rsid w:val="00091B80"/>
    <w:rsid w:val="00092609"/>
    <w:rsid w:val="00096F3D"/>
    <w:rsid w:val="000A6E3A"/>
    <w:rsid w:val="000B1FC2"/>
    <w:rsid w:val="000B2590"/>
    <w:rsid w:val="000D6179"/>
    <w:rsid w:val="000D6734"/>
    <w:rsid w:val="000E240C"/>
    <w:rsid w:val="000F21D6"/>
    <w:rsid w:val="000F61BE"/>
    <w:rsid w:val="000F73AE"/>
    <w:rsid w:val="001062E8"/>
    <w:rsid w:val="00112EB7"/>
    <w:rsid w:val="00114AFB"/>
    <w:rsid w:val="0011660D"/>
    <w:rsid w:val="001167EB"/>
    <w:rsid w:val="00121B82"/>
    <w:rsid w:val="00122D73"/>
    <w:rsid w:val="0013478D"/>
    <w:rsid w:val="001415B7"/>
    <w:rsid w:val="00145A6A"/>
    <w:rsid w:val="0014663A"/>
    <w:rsid w:val="001536DE"/>
    <w:rsid w:val="0015592F"/>
    <w:rsid w:val="00160267"/>
    <w:rsid w:val="0016425E"/>
    <w:rsid w:val="00167BE7"/>
    <w:rsid w:val="00180DA0"/>
    <w:rsid w:val="00181657"/>
    <w:rsid w:val="00182289"/>
    <w:rsid w:val="00190E24"/>
    <w:rsid w:val="00191FD7"/>
    <w:rsid w:val="0019209D"/>
    <w:rsid w:val="00197BA7"/>
    <w:rsid w:val="001A5697"/>
    <w:rsid w:val="001A64A0"/>
    <w:rsid w:val="001B465B"/>
    <w:rsid w:val="001C15DF"/>
    <w:rsid w:val="001C7486"/>
    <w:rsid w:val="001D65E5"/>
    <w:rsid w:val="001D6602"/>
    <w:rsid w:val="001E4F39"/>
    <w:rsid w:val="001E5B80"/>
    <w:rsid w:val="001E6BFE"/>
    <w:rsid w:val="001F6D73"/>
    <w:rsid w:val="001F766E"/>
    <w:rsid w:val="002022D8"/>
    <w:rsid w:val="00205440"/>
    <w:rsid w:val="00206966"/>
    <w:rsid w:val="002102DB"/>
    <w:rsid w:val="002129C1"/>
    <w:rsid w:val="00214D7C"/>
    <w:rsid w:val="00221B76"/>
    <w:rsid w:val="00222E30"/>
    <w:rsid w:val="00225256"/>
    <w:rsid w:val="002305A2"/>
    <w:rsid w:val="00231C6E"/>
    <w:rsid w:val="00232F9D"/>
    <w:rsid w:val="0023666C"/>
    <w:rsid w:val="002367FF"/>
    <w:rsid w:val="00242FD0"/>
    <w:rsid w:val="00254482"/>
    <w:rsid w:val="00256761"/>
    <w:rsid w:val="00261A82"/>
    <w:rsid w:val="0026227A"/>
    <w:rsid w:val="00265D48"/>
    <w:rsid w:val="00273F87"/>
    <w:rsid w:val="00286A75"/>
    <w:rsid w:val="00291511"/>
    <w:rsid w:val="00292E06"/>
    <w:rsid w:val="002933A0"/>
    <w:rsid w:val="002A1611"/>
    <w:rsid w:val="002A336C"/>
    <w:rsid w:val="002A3ED2"/>
    <w:rsid w:val="002A4788"/>
    <w:rsid w:val="002B1E16"/>
    <w:rsid w:val="002B2BEF"/>
    <w:rsid w:val="002B778F"/>
    <w:rsid w:val="002C064D"/>
    <w:rsid w:val="002D6D4A"/>
    <w:rsid w:val="002E04C2"/>
    <w:rsid w:val="002E1DF4"/>
    <w:rsid w:val="002F7643"/>
    <w:rsid w:val="00303890"/>
    <w:rsid w:val="003053A5"/>
    <w:rsid w:val="0031038E"/>
    <w:rsid w:val="003134F7"/>
    <w:rsid w:val="00313CA6"/>
    <w:rsid w:val="00317AB2"/>
    <w:rsid w:val="00324952"/>
    <w:rsid w:val="00332598"/>
    <w:rsid w:val="00333CF1"/>
    <w:rsid w:val="00341012"/>
    <w:rsid w:val="00342BE8"/>
    <w:rsid w:val="00344BD5"/>
    <w:rsid w:val="00344CA7"/>
    <w:rsid w:val="00345B18"/>
    <w:rsid w:val="00346169"/>
    <w:rsid w:val="003478B2"/>
    <w:rsid w:val="00351E0E"/>
    <w:rsid w:val="003571E0"/>
    <w:rsid w:val="00362473"/>
    <w:rsid w:val="00362E31"/>
    <w:rsid w:val="00372621"/>
    <w:rsid w:val="00374987"/>
    <w:rsid w:val="0038212B"/>
    <w:rsid w:val="00383377"/>
    <w:rsid w:val="00383992"/>
    <w:rsid w:val="00392B58"/>
    <w:rsid w:val="00394ABB"/>
    <w:rsid w:val="003A4ACA"/>
    <w:rsid w:val="003A7FDD"/>
    <w:rsid w:val="003B23EB"/>
    <w:rsid w:val="003B2F4F"/>
    <w:rsid w:val="003B7FA2"/>
    <w:rsid w:val="003D4854"/>
    <w:rsid w:val="003E3CB2"/>
    <w:rsid w:val="003E52E4"/>
    <w:rsid w:val="00404BE5"/>
    <w:rsid w:val="00410AE1"/>
    <w:rsid w:val="00410FF6"/>
    <w:rsid w:val="00411330"/>
    <w:rsid w:val="00412456"/>
    <w:rsid w:val="00415D60"/>
    <w:rsid w:val="00417BA4"/>
    <w:rsid w:val="00417BC1"/>
    <w:rsid w:val="004209C4"/>
    <w:rsid w:val="00420BEC"/>
    <w:rsid w:val="0042330A"/>
    <w:rsid w:val="00427D9D"/>
    <w:rsid w:val="00431F52"/>
    <w:rsid w:val="00433CE6"/>
    <w:rsid w:val="00434B10"/>
    <w:rsid w:val="00446CFB"/>
    <w:rsid w:val="004506ED"/>
    <w:rsid w:val="004527DA"/>
    <w:rsid w:val="004561C6"/>
    <w:rsid w:val="004621CC"/>
    <w:rsid w:val="00473D54"/>
    <w:rsid w:val="0047526C"/>
    <w:rsid w:val="00477B78"/>
    <w:rsid w:val="00481926"/>
    <w:rsid w:val="00483F92"/>
    <w:rsid w:val="004948B2"/>
    <w:rsid w:val="00496F6D"/>
    <w:rsid w:val="004A0757"/>
    <w:rsid w:val="004B09F8"/>
    <w:rsid w:val="004B4B8D"/>
    <w:rsid w:val="004C2AEE"/>
    <w:rsid w:val="004D5F90"/>
    <w:rsid w:val="004E1AF5"/>
    <w:rsid w:val="004E2593"/>
    <w:rsid w:val="004E394D"/>
    <w:rsid w:val="004E4F5D"/>
    <w:rsid w:val="004E6E44"/>
    <w:rsid w:val="004F40BB"/>
    <w:rsid w:val="004F4E0C"/>
    <w:rsid w:val="004F53C1"/>
    <w:rsid w:val="00505F55"/>
    <w:rsid w:val="00507BC7"/>
    <w:rsid w:val="00510B86"/>
    <w:rsid w:val="00536A21"/>
    <w:rsid w:val="005377C3"/>
    <w:rsid w:val="005438D0"/>
    <w:rsid w:val="0054486C"/>
    <w:rsid w:val="005473E0"/>
    <w:rsid w:val="0055022D"/>
    <w:rsid w:val="00550C9A"/>
    <w:rsid w:val="00553BA4"/>
    <w:rsid w:val="0057789D"/>
    <w:rsid w:val="00585BED"/>
    <w:rsid w:val="005916AB"/>
    <w:rsid w:val="00592496"/>
    <w:rsid w:val="00593595"/>
    <w:rsid w:val="005A3424"/>
    <w:rsid w:val="005A662C"/>
    <w:rsid w:val="005A6E3C"/>
    <w:rsid w:val="005B70C2"/>
    <w:rsid w:val="005C488D"/>
    <w:rsid w:val="005C60E3"/>
    <w:rsid w:val="005C6D48"/>
    <w:rsid w:val="005C778B"/>
    <w:rsid w:val="005D5007"/>
    <w:rsid w:val="005D50CB"/>
    <w:rsid w:val="005E0ACC"/>
    <w:rsid w:val="005E0C80"/>
    <w:rsid w:val="005E63A3"/>
    <w:rsid w:val="005F1452"/>
    <w:rsid w:val="005F1576"/>
    <w:rsid w:val="005F247D"/>
    <w:rsid w:val="005F2E6C"/>
    <w:rsid w:val="006024A8"/>
    <w:rsid w:val="0061181B"/>
    <w:rsid w:val="0061768E"/>
    <w:rsid w:val="00620930"/>
    <w:rsid w:val="00633A4F"/>
    <w:rsid w:val="00640E29"/>
    <w:rsid w:val="006412C9"/>
    <w:rsid w:val="006421F2"/>
    <w:rsid w:val="00655F15"/>
    <w:rsid w:val="00661AED"/>
    <w:rsid w:val="0066304C"/>
    <w:rsid w:val="00664139"/>
    <w:rsid w:val="00666EBB"/>
    <w:rsid w:val="00671561"/>
    <w:rsid w:val="00672718"/>
    <w:rsid w:val="006756BE"/>
    <w:rsid w:val="006769A7"/>
    <w:rsid w:val="00676BCC"/>
    <w:rsid w:val="0067774C"/>
    <w:rsid w:val="00677D82"/>
    <w:rsid w:val="00682EDF"/>
    <w:rsid w:val="006858E7"/>
    <w:rsid w:val="00686123"/>
    <w:rsid w:val="00687554"/>
    <w:rsid w:val="00693448"/>
    <w:rsid w:val="00695008"/>
    <w:rsid w:val="006A3A89"/>
    <w:rsid w:val="006A6FDC"/>
    <w:rsid w:val="006C3E4B"/>
    <w:rsid w:val="006C5D54"/>
    <w:rsid w:val="006C6956"/>
    <w:rsid w:val="006D0B0B"/>
    <w:rsid w:val="006D0B89"/>
    <w:rsid w:val="006D0FD7"/>
    <w:rsid w:val="006E4E54"/>
    <w:rsid w:val="006F1419"/>
    <w:rsid w:val="00700CD4"/>
    <w:rsid w:val="00701DF4"/>
    <w:rsid w:val="00704174"/>
    <w:rsid w:val="00704536"/>
    <w:rsid w:val="0071201B"/>
    <w:rsid w:val="00720818"/>
    <w:rsid w:val="00723417"/>
    <w:rsid w:val="0073058B"/>
    <w:rsid w:val="007349D4"/>
    <w:rsid w:val="00737891"/>
    <w:rsid w:val="00754120"/>
    <w:rsid w:val="00756B93"/>
    <w:rsid w:val="0076124E"/>
    <w:rsid w:val="00767ED7"/>
    <w:rsid w:val="007707CC"/>
    <w:rsid w:val="00770932"/>
    <w:rsid w:val="0077217D"/>
    <w:rsid w:val="00784182"/>
    <w:rsid w:val="00786728"/>
    <w:rsid w:val="00793BCC"/>
    <w:rsid w:val="007974AB"/>
    <w:rsid w:val="007A0A4C"/>
    <w:rsid w:val="007B039C"/>
    <w:rsid w:val="007B13FA"/>
    <w:rsid w:val="007B46F9"/>
    <w:rsid w:val="007B4DD3"/>
    <w:rsid w:val="007B4F12"/>
    <w:rsid w:val="007B57E2"/>
    <w:rsid w:val="007B6F8C"/>
    <w:rsid w:val="007C0668"/>
    <w:rsid w:val="007C0768"/>
    <w:rsid w:val="007C536F"/>
    <w:rsid w:val="007C7F43"/>
    <w:rsid w:val="007D16E0"/>
    <w:rsid w:val="007D3887"/>
    <w:rsid w:val="007D5CA1"/>
    <w:rsid w:val="007D637D"/>
    <w:rsid w:val="007E3B70"/>
    <w:rsid w:val="007F05A2"/>
    <w:rsid w:val="007F1ED1"/>
    <w:rsid w:val="007F7875"/>
    <w:rsid w:val="00800AE0"/>
    <w:rsid w:val="008013CC"/>
    <w:rsid w:val="00805C0D"/>
    <w:rsid w:val="00827E67"/>
    <w:rsid w:val="00832102"/>
    <w:rsid w:val="00832C23"/>
    <w:rsid w:val="00833FA8"/>
    <w:rsid w:val="0084564C"/>
    <w:rsid w:val="0084644C"/>
    <w:rsid w:val="00851F1E"/>
    <w:rsid w:val="008662AB"/>
    <w:rsid w:val="00867DE4"/>
    <w:rsid w:val="00875967"/>
    <w:rsid w:val="00885497"/>
    <w:rsid w:val="008862A7"/>
    <w:rsid w:val="00892869"/>
    <w:rsid w:val="00896FE7"/>
    <w:rsid w:val="008B03AA"/>
    <w:rsid w:val="008B1FF5"/>
    <w:rsid w:val="008B33CC"/>
    <w:rsid w:val="008B3530"/>
    <w:rsid w:val="008D36D8"/>
    <w:rsid w:val="008D614F"/>
    <w:rsid w:val="008D7CE8"/>
    <w:rsid w:val="008E1276"/>
    <w:rsid w:val="008E6AF7"/>
    <w:rsid w:val="008E7DED"/>
    <w:rsid w:val="008F0E86"/>
    <w:rsid w:val="008F74C8"/>
    <w:rsid w:val="0090251F"/>
    <w:rsid w:val="0090366D"/>
    <w:rsid w:val="00905011"/>
    <w:rsid w:val="00911DD8"/>
    <w:rsid w:val="00917770"/>
    <w:rsid w:val="00921D22"/>
    <w:rsid w:val="00921EF0"/>
    <w:rsid w:val="00932333"/>
    <w:rsid w:val="0094137E"/>
    <w:rsid w:val="00943B87"/>
    <w:rsid w:val="009442C5"/>
    <w:rsid w:val="0094685F"/>
    <w:rsid w:val="00956048"/>
    <w:rsid w:val="00957235"/>
    <w:rsid w:val="00961BF1"/>
    <w:rsid w:val="0096338E"/>
    <w:rsid w:val="00964F72"/>
    <w:rsid w:val="009709F2"/>
    <w:rsid w:val="0097377E"/>
    <w:rsid w:val="0097487E"/>
    <w:rsid w:val="00977060"/>
    <w:rsid w:val="00980482"/>
    <w:rsid w:val="0098378E"/>
    <w:rsid w:val="00986F29"/>
    <w:rsid w:val="009901AD"/>
    <w:rsid w:val="00991EA4"/>
    <w:rsid w:val="009943A8"/>
    <w:rsid w:val="009947D3"/>
    <w:rsid w:val="009965AB"/>
    <w:rsid w:val="009A55AE"/>
    <w:rsid w:val="009B5011"/>
    <w:rsid w:val="009B5851"/>
    <w:rsid w:val="009C406D"/>
    <w:rsid w:val="009C5DDA"/>
    <w:rsid w:val="009D6DA7"/>
    <w:rsid w:val="009E02A8"/>
    <w:rsid w:val="009E265C"/>
    <w:rsid w:val="009E5A22"/>
    <w:rsid w:val="009F404C"/>
    <w:rsid w:val="00A00330"/>
    <w:rsid w:val="00A031DE"/>
    <w:rsid w:val="00A14698"/>
    <w:rsid w:val="00A15119"/>
    <w:rsid w:val="00A219F9"/>
    <w:rsid w:val="00A31FCC"/>
    <w:rsid w:val="00A36DBC"/>
    <w:rsid w:val="00A40DCE"/>
    <w:rsid w:val="00A413AD"/>
    <w:rsid w:val="00A42F44"/>
    <w:rsid w:val="00A430F4"/>
    <w:rsid w:val="00A43B0D"/>
    <w:rsid w:val="00A44A41"/>
    <w:rsid w:val="00A50EDE"/>
    <w:rsid w:val="00A53396"/>
    <w:rsid w:val="00A57284"/>
    <w:rsid w:val="00A62B07"/>
    <w:rsid w:val="00A6409C"/>
    <w:rsid w:val="00A66B32"/>
    <w:rsid w:val="00A747A4"/>
    <w:rsid w:val="00A75C2C"/>
    <w:rsid w:val="00A76E82"/>
    <w:rsid w:val="00A810CE"/>
    <w:rsid w:val="00A949AD"/>
    <w:rsid w:val="00AA7295"/>
    <w:rsid w:val="00AB11DB"/>
    <w:rsid w:val="00AC2C79"/>
    <w:rsid w:val="00AC3596"/>
    <w:rsid w:val="00AD0292"/>
    <w:rsid w:val="00AD09F4"/>
    <w:rsid w:val="00AD797A"/>
    <w:rsid w:val="00AE4204"/>
    <w:rsid w:val="00AE777B"/>
    <w:rsid w:val="00AF1354"/>
    <w:rsid w:val="00B04987"/>
    <w:rsid w:val="00B067B2"/>
    <w:rsid w:val="00B06EED"/>
    <w:rsid w:val="00B07A1C"/>
    <w:rsid w:val="00B12151"/>
    <w:rsid w:val="00B13F7B"/>
    <w:rsid w:val="00B1669E"/>
    <w:rsid w:val="00B21F2B"/>
    <w:rsid w:val="00B23A19"/>
    <w:rsid w:val="00B3064B"/>
    <w:rsid w:val="00B30E1F"/>
    <w:rsid w:val="00B32F56"/>
    <w:rsid w:val="00B5069E"/>
    <w:rsid w:val="00B54FA2"/>
    <w:rsid w:val="00B559AE"/>
    <w:rsid w:val="00B576D4"/>
    <w:rsid w:val="00B605B4"/>
    <w:rsid w:val="00B65994"/>
    <w:rsid w:val="00B718B5"/>
    <w:rsid w:val="00B748D2"/>
    <w:rsid w:val="00B7695F"/>
    <w:rsid w:val="00B80C73"/>
    <w:rsid w:val="00B824FB"/>
    <w:rsid w:val="00B8579B"/>
    <w:rsid w:val="00B85D54"/>
    <w:rsid w:val="00B86E61"/>
    <w:rsid w:val="00B90483"/>
    <w:rsid w:val="00B90FCE"/>
    <w:rsid w:val="00B9269A"/>
    <w:rsid w:val="00B93DBC"/>
    <w:rsid w:val="00BA21E0"/>
    <w:rsid w:val="00BA3557"/>
    <w:rsid w:val="00BB02A3"/>
    <w:rsid w:val="00BB7153"/>
    <w:rsid w:val="00BC66AE"/>
    <w:rsid w:val="00BD1277"/>
    <w:rsid w:val="00BD1B07"/>
    <w:rsid w:val="00BD600A"/>
    <w:rsid w:val="00BE2E9A"/>
    <w:rsid w:val="00BF20DB"/>
    <w:rsid w:val="00BF73DD"/>
    <w:rsid w:val="00C0088E"/>
    <w:rsid w:val="00C02189"/>
    <w:rsid w:val="00C068E9"/>
    <w:rsid w:val="00C20029"/>
    <w:rsid w:val="00C30FDC"/>
    <w:rsid w:val="00C319C9"/>
    <w:rsid w:val="00C33895"/>
    <w:rsid w:val="00C3680C"/>
    <w:rsid w:val="00C44C07"/>
    <w:rsid w:val="00C4612E"/>
    <w:rsid w:val="00C54E49"/>
    <w:rsid w:val="00C5586C"/>
    <w:rsid w:val="00C573B5"/>
    <w:rsid w:val="00C60E03"/>
    <w:rsid w:val="00C62F43"/>
    <w:rsid w:val="00C63B42"/>
    <w:rsid w:val="00C72DCE"/>
    <w:rsid w:val="00C74E58"/>
    <w:rsid w:val="00C865AA"/>
    <w:rsid w:val="00C935BF"/>
    <w:rsid w:val="00CA0A79"/>
    <w:rsid w:val="00CA163D"/>
    <w:rsid w:val="00CA33BA"/>
    <w:rsid w:val="00CB5102"/>
    <w:rsid w:val="00CC0774"/>
    <w:rsid w:val="00CC3862"/>
    <w:rsid w:val="00CC4ADD"/>
    <w:rsid w:val="00CD2BBD"/>
    <w:rsid w:val="00CD35A0"/>
    <w:rsid w:val="00CE087F"/>
    <w:rsid w:val="00CE0DAB"/>
    <w:rsid w:val="00CE3B17"/>
    <w:rsid w:val="00CF75DD"/>
    <w:rsid w:val="00CF7E02"/>
    <w:rsid w:val="00D05ACC"/>
    <w:rsid w:val="00D14DCC"/>
    <w:rsid w:val="00D204FD"/>
    <w:rsid w:val="00D251C2"/>
    <w:rsid w:val="00D258CC"/>
    <w:rsid w:val="00D33649"/>
    <w:rsid w:val="00D4312A"/>
    <w:rsid w:val="00D4564B"/>
    <w:rsid w:val="00D464D3"/>
    <w:rsid w:val="00D52EEC"/>
    <w:rsid w:val="00D55FCF"/>
    <w:rsid w:val="00D60B6C"/>
    <w:rsid w:val="00D61D4D"/>
    <w:rsid w:val="00D62E84"/>
    <w:rsid w:val="00D65095"/>
    <w:rsid w:val="00D67221"/>
    <w:rsid w:val="00D74FF7"/>
    <w:rsid w:val="00D809C7"/>
    <w:rsid w:val="00D903B2"/>
    <w:rsid w:val="00D90B0C"/>
    <w:rsid w:val="00D927CA"/>
    <w:rsid w:val="00DA1E2C"/>
    <w:rsid w:val="00DB79CE"/>
    <w:rsid w:val="00DD1471"/>
    <w:rsid w:val="00DD1B35"/>
    <w:rsid w:val="00DE04EC"/>
    <w:rsid w:val="00DE1D58"/>
    <w:rsid w:val="00DE53FD"/>
    <w:rsid w:val="00DE6B62"/>
    <w:rsid w:val="00DF0050"/>
    <w:rsid w:val="00DF192B"/>
    <w:rsid w:val="00DF3708"/>
    <w:rsid w:val="00DF422E"/>
    <w:rsid w:val="00E04C58"/>
    <w:rsid w:val="00E07FE4"/>
    <w:rsid w:val="00E1178C"/>
    <w:rsid w:val="00E12865"/>
    <w:rsid w:val="00E1598C"/>
    <w:rsid w:val="00E171D4"/>
    <w:rsid w:val="00E20D5A"/>
    <w:rsid w:val="00E21BEA"/>
    <w:rsid w:val="00E2433A"/>
    <w:rsid w:val="00E275D0"/>
    <w:rsid w:val="00E35604"/>
    <w:rsid w:val="00E40FD3"/>
    <w:rsid w:val="00E46D74"/>
    <w:rsid w:val="00E510E7"/>
    <w:rsid w:val="00E53AB1"/>
    <w:rsid w:val="00E54080"/>
    <w:rsid w:val="00E55CDD"/>
    <w:rsid w:val="00E5799B"/>
    <w:rsid w:val="00E63F09"/>
    <w:rsid w:val="00E67C16"/>
    <w:rsid w:val="00E72030"/>
    <w:rsid w:val="00E774DF"/>
    <w:rsid w:val="00E7796F"/>
    <w:rsid w:val="00E80074"/>
    <w:rsid w:val="00E848A7"/>
    <w:rsid w:val="00E85548"/>
    <w:rsid w:val="00E94326"/>
    <w:rsid w:val="00E94979"/>
    <w:rsid w:val="00EA01AD"/>
    <w:rsid w:val="00EB0525"/>
    <w:rsid w:val="00EB0AF9"/>
    <w:rsid w:val="00EB20C3"/>
    <w:rsid w:val="00EC133C"/>
    <w:rsid w:val="00EC2A45"/>
    <w:rsid w:val="00ED459B"/>
    <w:rsid w:val="00ED57CB"/>
    <w:rsid w:val="00EE7E9A"/>
    <w:rsid w:val="00EF6CED"/>
    <w:rsid w:val="00F0324A"/>
    <w:rsid w:val="00F033A8"/>
    <w:rsid w:val="00F07FD8"/>
    <w:rsid w:val="00F15C5B"/>
    <w:rsid w:val="00F204D5"/>
    <w:rsid w:val="00F304CE"/>
    <w:rsid w:val="00F31077"/>
    <w:rsid w:val="00F3377F"/>
    <w:rsid w:val="00F34647"/>
    <w:rsid w:val="00F438FF"/>
    <w:rsid w:val="00F5082F"/>
    <w:rsid w:val="00F53D8C"/>
    <w:rsid w:val="00F5551B"/>
    <w:rsid w:val="00F62E20"/>
    <w:rsid w:val="00F631D3"/>
    <w:rsid w:val="00F647D2"/>
    <w:rsid w:val="00F64A66"/>
    <w:rsid w:val="00F67480"/>
    <w:rsid w:val="00F67A2E"/>
    <w:rsid w:val="00F7046B"/>
    <w:rsid w:val="00F71779"/>
    <w:rsid w:val="00F81E51"/>
    <w:rsid w:val="00F870EA"/>
    <w:rsid w:val="00F921CA"/>
    <w:rsid w:val="00F92AF4"/>
    <w:rsid w:val="00FA0EFF"/>
    <w:rsid w:val="00FA5A76"/>
    <w:rsid w:val="00FB0000"/>
    <w:rsid w:val="00FB5CB5"/>
    <w:rsid w:val="00FD03F6"/>
    <w:rsid w:val="00FD1260"/>
    <w:rsid w:val="00FD3C8A"/>
    <w:rsid w:val="00FD4154"/>
    <w:rsid w:val="00FD47E3"/>
    <w:rsid w:val="00FE15F4"/>
    <w:rsid w:val="00FF2FCA"/>
    <w:rsid w:val="00FF5CAC"/>
    <w:rsid w:val="0B5B5A73"/>
    <w:rsid w:val="17203872"/>
    <w:rsid w:val="20C51591"/>
    <w:rsid w:val="23FD4350"/>
    <w:rsid w:val="2E36575A"/>
    <w:rsid w:val="57E714CD"/>
    <w:rsid w:val="7BB617C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qFormat="1" w:unhideWhenUsed="0" w:uiPriority="99" w:name="FollowedHyperlink"/>
    <w:lsdException w:qFormat="1" w:unhideWhenUsed="0" w:uiPriority="22" w:semiHidden="0" w:name="Strong" w:locked="1"/>
    <w:lsdException w:qFormat="1" w:unhideWhenUsed="0" w:uiPriority="99"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qFormat="1" w:unhideWhenUsed="0" w:uiPriority="99" w:name="HTML Address"/>
    <w:lsdException w:qFormat="1" w:unhideWhenUsed="0" w:uiPriority="99" w:name="HTML Cite"/>
    <w:lsdException w:qFormat="1" w:unhideWhenUsed="0" w:uiPriority="99" w:name="HTML Code"/>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0"/>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21"/>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22"/>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23"/>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24"/>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25"/>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4">
    <w:name w:val="Default Paragraph Font"/>
    <w:semiHidden/>
    <w:qFormat/>
    <w:uiPriority w:val="99"/>
  </w:style>
  <w:style w:type="table" w:default="1" w:styleId="13">
    <w:name w:val="Normal Table"/>
    <w:unhideWhenUsed/>
    <w:qFormat/>
    <w:uiPriority w:val="99"/>
    <w:tblPr>
      <w:tblCellMar>
        <w:top w:w="0" w:type="dxa"/>
        <w:left w:w="108" w:type="dxa"/>
        <w:bottom w:w="0" w:type="dxa"/>
        <w:right w:w="108" w:type="dxa"/>
      </w:tblCellMar>
    </w:tblPr>
  </w:style>
  <w:style w:type="paragraph" w:styleId="8">
    <w:name w:val="HTML Address"/>
    <w:basedOn w:val="1"/>
    <w:link w:val="26"/>
    <w:semiHidden/>
    <w:qFormat/>
    <w:uiPriority w:val="99"/>
    <w:pPr>
      <w:widowControl/>
      <w:jc w:val="left"/>
    </w:pPr>
    <w:rPr>
      <w:rFonts w:ascii="宋体" w:hAnsi="宋体" w:cs="宋体"/>
      <w:kern w:val="0"/>
      <w:sz w:val="24"/>
      <w:szCs w:val="24"/>
    </w:rPr>
  </w:style>
  <w:style w:type="paragraph" w:styleId="9">
    <w:name w:val="Balloon Text"/>
    <w:basedOn w:val="1"/>
    <w:link w:val="128"/>
    <w:semiHidden/>
    <w:qFormat/>
    <w:uiPriority w:val="99"/>
    <w:rPr>
      <w:sz w:val="18"/>
      <w:szCs w:val="18"/>
    </w:rPr>
  </w:style>
  <w:style w:type="paragraph" w:styleId="10">
    <w:name w:val="footer"/>
    <w:basedOn w:val="1"/>
    <w:link w:val="27"/>
    <w:qFormat/>
    <w:uiPriority w:val="99"/>
    <w:pPr>
      <w:tabs>
        <w:tab w:val="center" w:pos="4153"/>
        <w:tab w:val="right" w:pos="8306"/>
      </w:tabs>
      <w:snapToGrid w:val="0"/>
      <w:jc w:val="left"/>
    </w:pPr>
    <w:rPr>
      <w:sz w:val="18"/>
      <w:szCs w:val="18"/>
    </w:rPr>
  </w:style>
  <w:style w:type="paragraph" w:styleId="11">
    <w:name w:val="header"/>
    <w:basedOn w:val="1"/>
    <w:link w:val="28"/>
    <w:semiHidden/>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5">
    <w:name w:val="FollowedHyperlink"/>
    <w:basedOn w:val="14"/>
    <w:semiHidden/>
    <w:qFormat/>
    <w:uiPriority w:val="99"/>
    <w:rPr>
      <w:color w:val="auto"/>
      <w:u w:val="none"/>
    </w:rPr>
  </w:style>
  <w:style w:type="character" w:styleId="16">
    <w:name w:val="Emphasis"/>
    <w:basedOn w:val="14"/>
    <w:qFormat/>
    <w:uiPriority w:val="99"/>
  </w:style>
  <w:style w:type="character" w:styleId="17">
    <w:name w:val="Hyperlink"/>
    <w:basedOn w:val="14"/>
    <w:semiHidden/>
    <w:qFormat/>
    <w:uiPriority w:val="99"/>
    <w:rPr>
      <w:color w:val="auto"/>
      <w:u w:val="none"/>
    </w:rPr>
  </w:style>
  <w:style w:type="character" w:styleId="18">
    <w:name w:val="HTML Code"/>
    <w:basedOn w:val="14"/>
    <w:semiHidden/>
    <w:qFormat/>
    <w:uiPriority w:val="99"/>
    <w:rPr>
      <w:rFonts w:ascii="宋体" w:hAnsi="宋体" w:eastAsia="宋体" w:cs="宋体"/>
      <w:sz w:val="24"/>
      <w:szCs w:val="24"/>
    </w:rPr>
  </w:style>
  <w:style w:type="character" w:styleId="19">
    <w:name w:val="HTML Cite"/>
    <w:basedOn w:val="14"/>
    <w:semiHidden/>
    <w:qFormat/>
    <w:uiPriority w:val="99"/>
  </w:style>
  <w:style w:type="character" w:customStyle="1" w:styleId="20">
    <w:name w:val="Heading 1 Char"/>
    <w:basedOn w:val="14"/>
    <w:link w:val="2"/>
    <w:qFormat/>
    <w:locked/>
    <w:uiPriority w:val="99"/>
    <w:rPr>
      <w:rFonts w:ascii="宋体" w:hAnsi="宋体" w:eastAsia="宋体" w:cs="宋体"/>
      <w:kern w:val="36"/>
      <w:sz w:val="48"/>
      <w:szCs w:val="48"/>
    </w:rPr>
  </w:style>
  <w:style w:type="character" w:customStyle="1" w:styleId="21">
    <w:name w:val="Heading 2 Char"/>
    <w:basedOn w:val="14"/>
    <w:link w:val="3"/>
    <w:qFormat/>
    <w:locked/>
    <w:uiPriority w:val="99"/>
    <w:rPr>
      <w:rFonts w:ascii="宋体" w:hAnsi="宋体" w:eastAsia="宋体" w:cs="宋体"/>
      <w:kern w:val="0"/>
      <w:sz w:val="36"/>
      <w:szCs w:val="36"/>
    </w:rPr>
  </w:style>
  <w:style w:type="character" w:customStyle="1" w:styleId="22">
    <w:name w:val="Heading 3 Char"/>
    <w:basedOn w:val="14"/>
    <w:link w:val="4"/>
    <w:qFormat/>
    <w:locked/>
    <w:uiPriority w:val="99"/>
    <w:rPr>
      <w:rFonts w:ascii="宋体" w:hAnsi="宋体" w:eastAsia="宋体" w:cs="宋体"/>
      <w:kern w:val="0"/>
      <w:sz w:val="27"/>
      <w:szCs w:val="27"/>
    </w:rPr>
  </w:style>
  <w:style w:type="character" w:customStyle="1" w:styleId="23">
    <w:name w:val="Heading 4 Char"/>
    <w:basedOn w:val="14"/>
    <w:link w:val="5"/>
    <w:qFormat/>
    <w:locked/>
    <w:uiPriority w:val="99"/>
    <w:rPr>
      <w:rFonts w:ascii="宋体" w:hAnsi="宋体" w:eastAsia="宋体" w:cs="宋体"/>
      <w:kern w:val="0"/>
      <w:sz w:val="24"/>
      <w:szCs w:val="24"/>
    </w:rPr>
  </w:style>
  <w:style w:type="character" w:customStyle="1" w:styleId="24">
    <w:name w:val="Heading 5 Char"/>
    <w:basedOn w:val="14"/>
    <w:link w:val="6"/>
    <w:qFormat/>
    <w:locked/>
    <w:uiPriority w:val="99"/>
    <w:rPr>
      <w:rFonts w:ascii="宋体" w:hAnsi="宋体" w:eastAsia="宋体" w:cs="宋体"/>
      <w:kern w:val="0"/>
      <w:sz w:val="20"/>
      <w:szCs w:val="20"/>
    </w:rPr>
  </w:style>
  <w:style w:type="character" w:customStyle="1" w:styleId="25">
    <w:name w:val="Heading 6 Char"/>
    <w:basedOn w:val="14"/>
    <w:link w:val="7"/>
    <w:qFormat/>
    <w:locked/>
    <w:uiPriority w:val="99"/>
    <w:rPr>
      <w:rFonts w:ascii="宋体" w:hAnsi="宋体" w:eastAsia="宋体" w:cs="宋体"/>
      <w:kern w:val="0"/>
      <w:sz w:val="15"/>
      <w:szCs w:val="15"/>
    </w:rPr>
  </w:style>
  <w:style w:type="character" w:customStyle="1" w:styleId="26">
    <w:name w:val="HTML Address Char"/>
    <w:basedOn w:val="14"/>
    <w:link w:val="8"/>
    <w:semiHidden/>
    <w:qFormat/>
    <w:locked/>
    <w:uiPriority w:val="99"/>
    <w:rPr>
      <w:rFonts w:ascii="宋体" w:hAnsi="宋体" w:eastAsia="宋体" w:cs="宋体"/>
      <w:kern w:val="0"/>
      <w:sz w:val="24"/>
      <w:szCs w:val="24"/>
    </w:rPr>
  </w:style>
  <w:style w:type="character" w:customStyle="1" w:styleId="27">
    <w:name w:val="Footer Char"/>
    <w:basedOn w:val="14"/>
    <w:link w:val="10"/>
    <w:qFormat/>
    <w:locked/>
    <w:uiPriority w:val="99"/>
    <w:rPr>
      <w:sz w:val="18"/>
      <w:szCs w:val="18"/>
    </w:rPr>
  </w:style>
  <w:style w:type="character" w:customStyle="1" w:styleId="28">
    <w:name w:val="Header Char"/>
    <w:basedOn w:val="14"/>
    <w:link w:val="11"/>
    <w:semiHidden/>
    <w:qFormat/>
    <w:locked/>
    <w:uiPriority w:val="99"/>
    <w:rPr>
      <w:sz w:val="18"/>
      <w:szCs w:val="18"/>
    </w:rPr>
  </w:style>
  <w:style w:type="paragraph" w:customStyle="1" w:styleId="29">
    <w:name w:val="fb"/>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30">
    <w:name w:val="cwhite"/>
    <w:basedOn w:val="1"/>
    <w:qFormat/>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31">
    <w:name w:val="cgray"/>
    <w:basedOn w:val="1"/>
    <w:qFormat/>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32">
    <w:name w:val="cf14"/>
    <w:basedOn w:val="1"/>
    <w:qFormat/>
    <w:uiPriority w:val="99"/>
    <w:pPr>
      <w:widowControl/>
      <w:spacing w:before="100" w:beforeAutospacing="1" w:after="100" w:afterAutospacing="1"/>
      <w:jc w:val="left"/>
    </w:pPr>
    <w:rPr>
      <w:rFonts w:ascii="宋体" w:hAnsi="宋体" w:cs="宋体"/>
      <w:kern w:val="0"/>
    </w:rPr>
  </w:style>
  <w:style w:type="paragraph" w:customStyle="1" w:styleId="33">
    <w:name w:val="line"/>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4">
    <w:name w:val="line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5">
    <w:name w:val="top_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6">
    <w:name w:val="ban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7">
    <w:name w:val="top_nav"/>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8">
    <w:name w:val="top_clear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9">
    <w:name w:val="nav"/>
    <w:basedOn w:val="1"/>
    <w:qFormat/>
    <w:uiPriority w:val="99"/>
    <w:pPr>
      <w:widowControl/>
      <w:spacing w:before="100" w:beforeAutospacing="1" w:after="100" w:afterAutospacing="1" w:line="495" w:lineRule="atLeast"/>
      <w:jc w:val="left"/>
    </w:pPr>
    <w:rPr>
      <w:rFonts w:ascii="宋体" w:hAnsi="宋体" w:cs="宋体"/>
      <w:color w:val="FFFFFF"/>
      <w:kern w:val="0"/>
    </w:rPr>
  </w:style>
  <w:style w:type="paragraph" w:customStyle="1" w:styleId="40">
    <w:name w:val="topinpu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
    <w:name w:val="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2">
    <w:name w:val="btn0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3">
    <w:name w:val="vm"/>
    <w:basedOn w:val="1"/>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4">
    <w:name w:val="navbox"/>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5">
    <w:name w:val="页眉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6">
    <w:name w:val="页脚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7">
    <w:name w:val="main"/>
    <w:basedOn w:val="1"/>
    <w:qFormat/>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8">
    <w:name w:val="newsbox"/>
    <w:basedOn w:val="1"/>
    <w:qFormat/>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9">
    <w:name w:val="newsconcent"/>
    <w:basedOn w:val="1"/>
    <w:qFormat/>
    <w:uiPriority w:val="99"/>
    <w:pPr>
      <w:widowControl/>
      <w:spacing w:before="150" w:after="100" w:afterAutospacing="1"/>
      <w:jc w:val="left"/>
    </w:pPr>
    <w:rPr>
      <w:rFonts w:ascii="宋体" w:hAnsi="宋体" w:cs="宋体"/>
      <w:kern w:val="0"/>
      <w:sz w:val="24"/>
      <w:szCs w:val="24"/>
    </w:rPr>
  </w:style>
  <w:style w:type="paragraph" w:customStyle="1" w:styleId="50">
    <w:name w:val="newstit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1">
    <w:name w:val="line_bottom_dotted"/>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52">
    <w:name w:val="line_3_solid"/>
    <w:basedOn w:val="1"/>
    <w:qFormat/>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3">
    <w:name w:val="line_top_red"/>
    <w:basedOn w:val="1"/>
    <w:qFormat/>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4">
    <w:name w:val="line_bottom_red"/>
    <w:basedOn w:val="1"/>
    <w:qFormat/>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5">
    <w:name w:val="newslist_red"/>
    <w:basedOn w:val="1"/>
    <w:qFormat/>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rPr>
  </w:style>
  <w:style w:type="paragraph" w:customStyle="1" w:styleId="56">
    <w:name w:val="newslist_black"/>
    <w:basedOn w:val="1"/>
    <w:qFormat/>
    <w:uiPriority w:val="99"/>
    <w:pPr>
      <w:widowControl/>
      <w:spacing w:before="100" w:beforeAutospacing="1" w:after="100" w:afterAutospacing="1" w:line="525" w:lineRule="atLeast"/>
      <w:jc w:val="center"/>
    </w:pPr>
    <w:rPr>
      <w:rFonts w:ascii="宋体" w:hAnsi="宋体" w:cs="宋体"/>
      <w:kern w:val="0"/>
    </w:rPr>
  </w:style>
  <w:style w:type="paragraph" w:customStyle="1" w:styleId="57">
    <w:name w:val="zwgk"/>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zwgk_to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zwgk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fwym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bs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2">
    <w:name w:val="hd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
    <w:name w:val="ymzc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4">
    <w:name w:val="martop9"/>
    <w:basedOn w:val="1"/>
    <w:qFormat/>
    <w:uiPriority w:val="99"/>
    <w:pPr>
      <w:widowControl/>
      <w:spacing w:before="135" w:after="100" w:afterAutospacing="1"/>
      <w:jc w:val="left"/>
    </w:pPr>
    <w:rPr>
      <w:rFonts w:ascii="宋体" w:hAnsi="宋体" w:cs="宋体"/>
      <w:kern w:val="0"/>
      <w:sz w:val="24"/>
      <w:szCs w:val="24"/>
    </w:rPr>
  </w:style>
  <w:style w:type="paragraph" w:customStyle="1" w:styleId="65">
    <w:name w:val="marleft20"/>
    <w:basedOn w:val="1"/>
    <w:qFormat/>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6">
    <w:name w:val="zwgk_left_top"/>
    <w:basedOn w:val="1"/>
    <w:qFormat/>
    <w:uiPriority w:val="99"/>
    <w:pPr>
      <w:widowControl/>
      <w:spacing w:before="100" w:beforeAutospacing="1" w:after="100" w:afterAutospacing="1" w:line="495" w:lineRule="atLeast"/>
      <w:jc w:val="left"/>
    </w:pPr>
    <w:rPr>
      <w:rFonts w:ascii="宋体" w:hAnsi="宋体" w:cs="宋体"/>
      <w:b/>
      <w:bCs/>
      <w:color w:val="CC0000"/>
      <w:kern w:val="0"/>
    </w:rPr>
  </w:style>
  <w:style w:type="paragraph" w:customStyle="1" w:styleId="67">
    <w:name w:val="zwgk_nav_span"/>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68">
    <w:name w:val="zwgk_nav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zwgk_nav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nav3"/>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1">
    <w:name w:val="zwgk_nav4"/>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2">
    <w:name w:val="zwgk_nav5"/>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3">
    <w:name w:val="zwgk_right_nav"/>
    <w:basedOn w:val="1"/>
    <w:qFormat/>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4">
    <w:name w:val="zwgk_right_nav1"/>
    <w:basedOn w:val="1"/>
    <w:qFormat/>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5">
    <w:name w:val="bs_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6">
    <w:name w:val="bs_tab_bar"/>
    <w:basedOn w:val="1"/>
    <w:qFormat/>
    <w:uiPriority w:val="99"/>
    <w:pPr>
      <w:widowControl/>
      <w:spacing w:before="100" w:beforeAutospacing="1" w:after="100" w:afterAutospacing="1" w:line="465" w:lineRule="atLeast"/>
      <w:jc w:val="left"/>
    </w:pPr>
    <w:rPr>
      <w:rFonts w:ascii="宋体" w:hAnsi="宋体" w:cs="宋体"/>
      <w:b/>
      <w:bCs/>
      <w:color w:val="CC0000"/>
      <w:kern w:val="0"/>
    </w:rPr>
  </w:style>
  <w:style w:type="paragraph" w:customStyle="1" w:styleId="77">
    <w:name w:val="link_line"/>
    <w:basedOn w:val="1"/>
    <w:qFormat/>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8">
    <w:name w:val="xl_titel"/>
    <w:basedOn w:val="1"/>
    <w:qFormat/>
    <w:uiPriority w:val="99"/>
    <w:pPr>
      <w:widowControl/>
      <w:spacing w:before="100" w:beforeAutospacing="1" w:after="100" w:afterAutospacing="1"/>
      <w:jc w:val="left"/>
    </w:pPr>
    <w:rPr>
      <w:rFonts w:ascii="宋体" w:hAnsi="宋体" w:cs="宋体"/>
      <w:kern w:val="0"/>
      <w:sz w:val="36"/>
      <w:szCs w:val="36"/>
    </w:rPr>
  </w:style>
  <w:style w:type="paragraph" w:customStyle="1" w:styleId="79">
    <w:name w:val="xl_con"/>
    <w:basedOn w:val="1"/>
    <w:qFormat/>
    <w:uiPriority w:val="99"/>
    <w:pPr>
      <w:widowControl/>
      <w:spacing w:before="100" w:beforeAutospacing="1" w:after="100" w:afterAutospacing="1" w:line="450" w:lineRule="atLeast"/>
      <w:jc w:val="left"/>
    </w:pPr>
    <w:rPr>
      <w:rFonts w:ascii="宋体" w:hAnsi="宋体" w:cs="宋体"/>
      <w:kern w:val="0"/>
    </w:rPr>
  </w:style>
  <w:style w:type="paragraph" w:customStyle="1" w:styleId="80">
    <w:name w:val="tabmore"/>
    <w:basedOn w:val="1"/>
    <w:qFormat/>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81">
    <w:name w:val="grid1"/>
    <w:basedOn w:val="1"/>
    <w:qFormat/>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82">
    <w:name w:val="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
    <w:name w:val="tr_color_1"/>
    <w:basedOn w:val="1"/>
    <w:qFormat/>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4">
    <w:name w:val="hj-easyread-smoothtips"/>
    <w:basedOn w:val="1"/>
    <w:qFormat/>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5">
    <w:name w:val="hj-easyread-contai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navmenu"/>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searc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lef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righ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newspic"/>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rightnew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titlefo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smooth-lf"/>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smoot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w98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smooth-box"/>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tipscontrol-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returnto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hj-easyread-icon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dat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curre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2">
    <w:name w:val="xwsd"/>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3">
    <w:name w:val="gsg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4">
    <w:name w:val="hj-easyread-sider-btns-item"/>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05">
    <w:name w:val="hj-easyread-speakerprocesser-position-action-icon"/>
    <w:basedOn w:val="14"/>
    <w:qFormat/>
    <w:uiPriority w:val="99"/>
  </w:style>
  <w:style w:type="paragraph" w:customStyle="1" w:styleId="106">
    <w:name w:val="navmenu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current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search1"/>
    <w:basedOn w:val="1"/>
    <w:qFormat/>
    <w:uiPriority w:val="99"/>
    <w:pPr>
      <w:widowControl/>
      <w:spacing w:line="660" w:lineRule="atLeast"/>
      <w:jc w:val="left"/>
    </w:pPr>
    <w:rPr>
      <w:rFonts w:ascii="宋体" w:hAnsi="宋体" w:cs="宋体"/>
      <w:kern w:val="0"/>
      <w:sz w:val="24"/>
      <w:szCs w:val="24"/>
    </w:rPr>
  </w:style>
  <w:style w:type="paragraph" w:customStyle="1" w:styleId="109">
    <w:name w:val="lef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0">
    <w:name w:val="righ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newspic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2">
    <w:name w:val="rightnews1"/>
    <w:basedOn w:val="1"/>
    <w:qFormat/>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3">
    <w:name w:val="xwsd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4">
    <w:name w:val="gsgg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5">
    <w:name w:val="date1"/>
    <w:basedOn w:val="1"/>
    <w:qFormat/>
    <w:uiPriority w:val="99"/>
    <w:pPr>
      <w:widowControl/>
      <w:spacing w:before="100" w:beforeAutospacing="1" w:after="100" w:afterAutospacing="1"/>
      <w:jc w:val="center"/>
    </w:pPr>
    <w:rPr>
      <w:rFonts w:ascii="宋体" w:hAnsi="宋体" w:cs="宋体"/>
      <w:kern w:val="0"/>
      <w:sz w:val="18"/>
      <w:szCs w:val="18"/>
    </w:rPr>
  </w:style>
  <w:style w:type="paragraph" w:customStyle="1" w:styleId="116">
    <w:name w:val="titlefont1"/>
    <w:basedOn w:val="1"/>
    <w:qFormat/>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7">
    <w:name w:val="smooth-lf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8">
    <w:name w:val="smooth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9">
    <w:name w:val="w9801"/>
    <w:basedOn w:val="1"/>
    <w:qFormat/>
    <w:uiPriority w:val="99"/>
    <w:pPr>
      <w:widowControl/>
      <w:jc w:val="left"/>
    </w:pPr>
    <w:rPr>
      <w:rFonts w:ascii="宋体" w:hAnsi="宋体" w:cs="宋体"/>
      <w:kern w:val="0"/>
      <w:sz w:val="24"/>
      <w:szCs w:val="24"/>
    </w:rPr>
  </w:style>
  <w:style w:type="paragraph" w:customStyle="1" w:styleId="120">
    <w:name w:val="smooth-box1"/>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121">
    <w:name w:val="hj-easyread-sider-btns-item1"/>
    <w:basedOn w:val="1"/>
    <w:qFormat/>
    <w:uiPriority w:val="99"/>
    <w:pPr>
      <w:widowControl/>
      <w:spacing w:before="100" w:beforeAutospacing="1" w:after="100" w:afterAutospacing="1"/>
      <w:jc w:val="left"/>
    </w:pPr>
    <w:rPr>
      <w:rFonts w:ascii="宋体" w:hAnsi="宋体" w:cs="宋体"/>
      <w:vanish/>
      <w:kern w:val="0"/>
      <w:sz w:val="24"/>
      <w:szCs w:val="24"/>
    </w:rPr>
  </w:style>
  <w:style w:type="character" w:customStyle="1" w:styleId="122">
    <w:name w:val="hj-easyread-speakerprocesser-position-action-icon1"/>
    <w:basedOn w:val="14"/>
    <w:qFormat/>
    <w:uiPriority w:val="99"/>
    <w:rPr>
      <w:shd w:val="clear" w:color="auto" w:fill="auto"/>
    </w:rPr>
  </w:style>
  <w:style w:type="paragraph" w:customStyle="1" w:styleId="123">
    <w:name w:val="tipscontrol-btn1"/>
    <w:basedOn w:val="1"/>
    <w:qFormat/>
    <w:uiPriority w:val="99"/>
    <w:pPr>
      <w:widowControl/>
      <w:spacing w:before="100" w:beforeAutospacing="1" w:after="135" w:line="536853376" w:lineRule="auto"/>
      <w:jc w:val="left"/>
    </w:pPr>
    <w:rPr>
      <w:rFonts w:ascii="宋体" w:hAnsi="宋体" w:cs="宋体"/>
      <w:kern w:val="0"/>
      <w:sz w:val="2"/>
      <w:szCs w:val="2"/>
    </w:rPr>
  </w:style>
  <w:style w:type="paragraph" w:customStyle="1" w:styleId="124">
    <w:name w:val="returntotop-btn1"/>
    <w:basedOn w:val="1"/>
    <w:qFormat/>
    <w:uiPriority w:val="99"/>
    <w:pPr>
      <w:widowControl/>
      <w:spacing w:before="100" w:beforeAutospacing="1" w:after="100" w:afterAutospacing="1" w:line="536853376" w:lineRule="auto"/>
      <w:jc w:val="left"/>
    </w:pPr>
    <w:rPr>
      <w:rFonts w:ascii="宋体" w:hAnsi="宋体" w:cs="宋体"/>
      <w:kern w:val="0"/>
      <w:sz w:val="2"/>
      <w:szCs w:val="2"/>
    </w:rPr>
  </w:style>
  <w:style w:type="paragraph" w:customStyle="1" w:styleId="125">
    <w:name w:val="hj-easyread-icons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6">
    <w:name w:val="List Paragraph"/>
    <w:basedOn w:val="1"/>
    <w:qFormat/>
    <w:uiPriority w:val="99"/>
    <w:pPr>
      <w:ind w:firstLine="420" w:firstLineChars="200"/>
    </w:pPr>
  </w:style>
  <w:style w:type="paragraph" w:customStyle="1" w:styleId="127">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28">
    <w:name w:val="Balloon Text Char"/>
    <w:basedOn w:val="14"/>
    <w:link w:val="9"/>
    <w:semiHidden/>
    <w:qFormat/>
    <w:locked/>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Micorosoft</Company>
  <Pages>12</Pages>
  <Words>5372</Words>
  <Characters>5712</Characters>
  <Lines>0</Lines>
  <Paragraphs>0</Paragraphs>
  <TotalTime>0</TotalTime>
  <ScaleCrop>false</ScaleCrop>
  <LinksUpToDate>false</LinksUpToDate>
  <CharactersWithSpaces>5760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2019-06-20T03:35:00Z</dcterms:created>
  <dc:creator>ASUS</dc:creator>
  <cp:lastModifiedBy>陈木沐</cp:lastModifiedBy>
  <cp:lastPrinted>2021-08-25T09:10:00Z</cp:lastPrinted>
  <dcterms:modified xsi:type="dcterms:W3CDTF">2025-07-21T00:48:03Z</dcterms:modified>
  <dc:title>2014年度常德市社会劳动保险处</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F1E193DFA6FC4018BE6F5DB7B52240C6_12</vt:lpwstr>
  </property>
</Properties>
</file>