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</w:rPr>
        <w:t>2021年度澧县财政局整体支出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</w:rPr>
        <w:t>绩效自评报告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单位名称：澧县财政局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2022年6月13日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2021年度澧县财政局整体支出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一、单位基本情况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 机构、人员情况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澧县财政局为财务独立核算的一级预算单位，单位内设机构包括：办公室、预算股、国库股、会计股、综合股、信息股、社保股、企业股、教科文股、经建股等16个股室。局属财政事务中心、乡镇财政服务中心、澧县国库集中支付核算中心3个事业单位。2021年现有在职103人，较上年增加3人，其中调进、新招聘增加4人，退休减少1人；退休47人，新增退休1人，已故1人。年末合计实有人数150人。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主要职责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组织贯彻执行国家、省、市财税方针政策，拟订和执行全县财政政策、改革方案，指导全县财政工作；分析预测宏观经济形势，参与制定各项宏观经济政策；提出运用财税政策实施宏观调控和综合平衡社会财力的建议；拟订和执行县人民政府以及政府与企业之间的分配政策，完善激励公益事业发展的财税政策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承担全县各项财政收支管理的责任；负责编制全县年度财政预算草案并组织执行；汇总全县财政总决算与部门决算；受县人民政府委托，向县人民代表大会报告全县预算及其执行情况，向县人大常委会报告财政总决算；组织制定全县经济开支标准、定额，负责审核批复部门（单位）的年度预决算；完善转移支付制度，落实省直管县财政体制改革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负责政府非税收入管理；负责政府性基金管理，按规定管理行政事业性收费；管理财政票据；负责拟订政府采购制度，并组织实施；负责控制社会集团购买力工作，参与彩票发行、销售监督及财务监管工作。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组织制定国库管理制度、国库集中支付制度，指导和监督县本级国库业务，按规定开展国库现金管理工作；负责县本级财政银行账户、预算单位银行账户监督管理工作。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负责制定全县行政事业单位国有资产管理制度，按规定管理行政事业单位和规定范围内的其他国有资产；负责财政预算内行政事业单位和社会团体的非贸易外汇管理。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负责审核和汇总编制全县国有资本经营预决算草案，制定国有资本经营预算的制度和办法，指导全县企业国有资本收益的收取，组织实施企业财务制度，参与拟订企业国有资产管理相关制度，按规定管理资产评估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负责办理和监督县财政的经济发展支出、县级政府性投资项目的财政拨款；参与拟订城市基础设施建设投资的有关政策；组织实施基本建设财务制度，组织开展政府投资项目评审管理；负责有关政策性补贴和专项储备资金管理工作；负责农业综合开发管理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负责指导镇、街道财政财务管理工作，指导乡村消赤减债和全县涉农补贴发放工作，承担减轻农民负担和农村综合改革有关工作。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会同有关部门监督管理县社会保障资金（基金），组织实施社会保障资金（基金）的财务管理制度，编报县社会保障预决算草案。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贯彻执行政府内外债务管理的政策、制度和办法，防范财政风险；指导和协调全县政府性融资工作；按规定管理外国政府和国际金融组织贷（赠）款；负责承担财税领域交流与合作的具体工作。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负责管理全县的会计工作，监督和规范会计行为，组织实施国家统一的会计制度，拟订并组织实施全县会计制度，指导和监督注册会计师和会计师事务所的业务；指导和管理社会审计及会计从业资格的认定管理。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负责监督检查财税法规、政策的执行；反映、纠正和处置财政收支管理中的重大问题，提出加强财政管理的政策和建议。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承办县委、县人民政府交办的其他事项。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（三）单位财务情况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资产负债情况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末资产总额1353.50万元，其中：流动资产48.96万元，主要是其他应收款属财政结算专户缴款及往来款；非流动资产1304.54万元，属单位固定资产；2021年末负债32.54万元，主要是其他应付款属保证金；净资产1320.96万元，为单位累计结余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收入支出预算情况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2021年初收入预算2514.39万元，支出预算2514.39万元；上年收入预算2287.14万元，支出预算2287.14万元。2021年较上年收支预算增加227.25万元，增长10%，主要是人员经费保障支出增长。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收入支出决算情况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2021年一般公共预算拨款1692.01万元，上年结转722.41万元，收入合计2414.42万元，较年初预算减少99.97万元，减少4%，主要是商品服务支出减少，其中基本支出减少332.96万元，项目支出增加232.99万元。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2021年决算数为一般公共预算拨款2414.42万元，较年初预算减少99.97万元，减少4 %，调整减少主要是压缩公用经费支出。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（四）单位绩效目标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改革创新，统筹兼顾，发挥财政职能，阳光理财，服务全县经济社会发展。继续稳步提高财政收入质量，夯实财力增长基础，确保调速不减势、量增质更优。优化财政支出结构，用好增量资金，坚持勤俭节约，大力优化支出结构，严控部门专项规模，调整公共专项结构。建立现代财政制度，深化预算管理体制改革，全面启用预算管理一体化系统，推进预算绩效管理，推动政府采购转型，加强新会计制度及国库集中电子支付业务指导，完善镇街公务卡系统、优化支付环境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2021年一般公共预算拨款2414.42万元，其中基本支出1480.44万元，项目支出933.98万元。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2021年一般公共预算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拨款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基本支出1480.44万元，其中人员经费1416.29万元，公用经费64.14万元。比年初预算减少18%，比上年决算增加10%，整体控制较好。</w:t>
      </w:r>
    </w:p>
    <w:p>
      <w:pPr>
        <w:spacing w:line="580" w:lineRule="exact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cs="Times New Roman" w:asciiTheme="minorEastAsia" w:hAnsiTheme="minorEastAsia"/>
          <w:b/>
          <w:sz w:val="32"/>
          <w:szCs w:val="32"/>
        </w:rPr>
        <w:t>基本支出决算与预算数、上年数对比情况</w:t>
      </w:r>
    </w:p>
    <w:p>
      <w:pPr>
        <w:spacing w:line="58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单位：万元</w:t>
      </w:r>
    </w:p>
    <w:tbl>
      <w:tblPr>
        <w:tblStyle w:val="6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41"/>
        <w:gridCol w:w="1114"/>
        <w:gridCol w:w="964"/>
        <w:gridCol w:w="1072"/>
        <w:gridCol w:w="1091"/>
        <w:gridCol w:w="1052"/>
        <w:gridCol w:w="120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决算数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2021年预算数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2021年决算数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2021年决算数较年初预算数增减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2021年决算数较上年决算数增减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金额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比例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金额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工资福利支出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1281.16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1423.69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1416.29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-7.4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-1%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135.13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商品服务支出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63.64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389.7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64.14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-325.56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-84%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       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1344.8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1813.39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1480.43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-332.96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-18%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135.63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10%</w:t>
            </w:r>
          </w:p>
        </w:tc>
      </w:tr>
    </w:tbl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（二）项目支出情况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2021年决算项目支出933.98万元，其中商品和服务支出796.38万元，资本性支出137.6万元。比年初预算增加33%，比上年决算数增加2%，主要是预算一体化系统、防疫等项目支出增加。</w:t>
      </w:r>
    </w:p>
    <w:p>
      <w:pPr>
        <w:spacing w:line="580" w:lineRule="exact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cs="Times New Roman" w:asciiTheme="minorEastAsia" w:hAnsiTheme="minorEastAsia"/>
          <w:b/>
          <w:sz w:val="32"/>
          <w:szCs w:val="32"/>
        </w:rPr>
        <w:t>项目支出决算与预算数、上年数对比情况</w:t>
      </w:r>
    </w:p>
    <w:p>
      <w:pPr>
        <w:spacing w:line="58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单位：万元</w:t>
      </w:r>
    </w:p>
    <w:tbl>
      <w:tblPr>
        <w:tblStyle w:val="6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64"/>
        <w:gridCol w:w="1007"/>
        <w:gridCol w:w="1071"/>
        <w:gridCol w:w="1029"/>
        <w:gridCol w:w="943"/>
        <w:gridCol w:w="985"/>
        <w:gridCol w:w="1058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2020年决算数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2021年预算数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2021年决算数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2021年决算较年初预算增减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2021年决算较上年决算增减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金额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比例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金额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商品和服务支出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669.27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546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796.38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250.38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46%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127.11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资本性支出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247.39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137.6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-17.4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-11%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-109.79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       计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916.66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701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933.98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232.98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33%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17.32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2%</w:t>
            </w: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2021年无政府性基金的预算支出。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2021年无国有资本经营预算支出。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2021年无社会保险基金预算支出。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（一）预算管理方面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2021年单位</w:t>
      </w:r>
      <w:r>
        <w:rPr>
          <w:rFonts w:ascii="Times New Roman" w:hAnsi="Times New Roman" w:eastAsia="仿宋_GB2312" w:cs="Times New Roman"/>
          <w:sz w:val="32"/>
          <w:szCs w:val="32"/>
        </w:rPr>
        <w:t>财政供养人员控制在预算编制以内，编制内在职人员控制率为94%；单位没有新建楼堂馆所；2021年部门整体支出预算控制率为96%，预算整体可控，但存在项目明细欠精准，年初预算与实际执行有较大差额，如基本支出的商品服务支出决算较年初预算减少86%，项目支出的商品服务支出较年初预算增加46%；公用经费控制率减少84%，主要是部分公用活动为项目服务列支项目支出；“三公”经费控制率68%；资金拨付严格按照审批程序和手续，预决算信息及时进行公开，对预算实行动态管理，整体预算管理符合相关标准和要求。制度建设比较健全，专项资金均明确相应管理办法，严格执行预算安排，合理使用预算资金，达到年初预算目标。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（二）履职效能方面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，面对疫情持续冲击、减税降费扩面、收入增长乏力、支出刚性增长以及改革任务繁重等多重压力，澧县财政始终牢牢把握工作主动权，坚持向改革要动力，向管理要效益，充分挖掘财政工作潜力，圆满的完成了年度各项工作任务，财政运行态势总体平稳，核心指标保持在合理区间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提质增量抓收入，圆满达成预期目标。</w:t>
      </w:r>
      <w:r>
        <w:rPr>
          <w:rFonts w:ascii="Times New Roman" w:hAnsi="Times New Roman" w:eastAsia="仿宋_GB2312" w:cs="Times New Roman"/>
          <w:sz w:val="32"/>
          <w:szCs w:val="32"/>
        </w:rPr>
        <w:t>把“三高四新”财源建设和税收征管有机融合、协同推进，全县上下齐心抓培植、同心协护税的工作氛围更浓，据收入快报，截止12月31日，澧县完成一般公共预算收入22.85亿元，同比增长15.14%，其中完成地方一般公共预算收入15.45亿元，同比增长23.23%，两年平均增长14.86%，完成地方税收收入9.67亿元，同比增长9.89%，非税收入完成5.78亿元，同比增长54.58%。剔除砂石收入后，非税占比稳定的控制在30%之内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优化结构强保障，圆满实现收支平衡。</w:t>
      </w:r>
      <w:r>
        <w:rPr>
          <w:rFonts w:ascii="Times New Roman" w:hAnsi="Times New Roman" w:eastAsia="仿宋_GB2312" w:cs="Times New Roman"/>
          <w:sz w:val="32"/>
          <w:szCs w:val="32"/>
        </w:rPr>
        <w:t>加强预算源头控管，高度统筹财政资源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预算编制环节严格落实过“紧日子”要求。全面开展民生政策清理，加大专项资金置换、利用、整合和专项债券运作力度，充分将上级资金支持与县域经济发展需求和财政预算有机衔接，加大存量资金清理，按规定统筹收回各类沉淀结余结转资金，腾出的财力重新用于预算安排。将财力优先用于保工资、保运转、保基本民生等“三保”支出，保县委县政府重大决策支出，确保了财政稳健运行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深耕细作严管理，圆满提升绩效水平。</w:t>
      </w:r>
      <w:r>
        <w:rPr>
          <w:rFonts w:ascii="Times New Roman" w:hAnsi="Times New Roman" w:eastAsia="仿宋_GB2312" w:cs="Times New Roman"/>
          <w:sz w:val="32"/>
          <w:szCs w:val="32"/>
        </w:rPr>
        <w:t>将省市政府真抓实干、全省市县财政日常管理工作绩效评价、高质量发展指标等重点考核的七大板块、139个细化指标全部落实到财政管理日常工作中，持之以恒的抓调度、抓落实，定期对上联络汇报，对内考核结账，以创先争优来检验财政工作成色。市县财政日常管理绩效评价获得AA级，预决算公开由去年的全省第85名上升到第6名，预算内国库暂付款实现清零。税政法规、信息宣传、预算执行、直达资金支出进度、预算绩效管理、电子财政建设等单项工作均获得全省先进单位。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shd w:val="clear" w:color="auto" w:fill="FFFFFF"/>
        </w:rPr>
        <w:t>（三）2021年部门整体主要绩效目标完成情况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产出指标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2021年财政工作积极主动，</w:t>
      </w:r>
      <w:r>
        <w:rPr>
          <w:rFonts w:ascii="Times New Roman" w:hAnsi="Times New Roman" w:eastAsia="仿宋_GB2312" w:cs="Times New Roman"/>
          <w:sz w:val="32"/>
          <w:szCs w:val="32"/>
        </w:rPr>
        <w:t>圆满的完成年度各项工作任务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县本级188家预算单位预决审批批复、公开达100%；政府性建设244个项目的预算评审、结算评审全覆盖；绩效评价244个项目结果得以应用；专项监督检查、绩效评价发现问题及用整改；县本级一般公共预算分配执行达91%；启用预算管理一体化系统正常运行。2021年单位在完成各项工作时严格控制支出成本，全年支出2414.42万元，其中基本支出1813.9万元，项目支出933.98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效益指标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2021年</w:t>
      </w:r>
      <w:r>
        <w:rPr>
          <w:rFonts w:ascii="Times New Roman" w:hAnsi="Times New Roman" w:eastAsia="仿宋_GB2312" w:cs="Times New Roman"/>
          <w:sz w:val="32"/>
          <w:szCs w:val="32"/>
        </w:rPr>
        <w:t>财政运行总体平稳，指标保持在合理区间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，经济效率指标年初目标：地方一般公共预算收入增长8%；财政公共服务支出平均数4000元，均已实现目标：收入增长23%；支出平均数5522元。社会效益基本民生资金能有效保障，持续提高财政资金使用效率。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3.社会公众或服务对象满意度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澧县财政局服务的县本级预算单位满意度95%以上，社会公众满意度90%以上。</w:t>
      </w:r>
    </w:p>
    <w:p>
      <w:pPr>
        <w:spacing w:line="580" w:lineRule="exact"/>
        <w:ind w:firstLine="643" w:firstLineChars="200"/>
        <w:rPr>
          <w:rFonts w:hint="eastAsia" w:ascii="楷体_GB2312" w:hAnsi="Times New Roman" w:eastAsia="楷体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shd w:val="clear" w:color="auto" w:fill="FFFFFF"/>
        </w:rPr>
        <w:t>（四）评价结论及等次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澧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县财政局根据相应的指标体系和评分标准，经综合评分，对2021年部门整体支出进行绩效自评，自评得分9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分，绩效自评等级为“良”，详见附件4。评分明细如下：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1.预算执行率10分，得分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分。扣分项目为预算执行率为96%，年初预算较年终执行数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有差异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，扣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2.数量指标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分，得分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3.质量指标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分，得分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4.时效指标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分，得分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5.成本指标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分，得分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分。扣分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项目为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基本支出、项目支出控制额扣3分；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6.经济效益指标10分，得分10分；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7.社会效益指标10分，得分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扣分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项目为民生资金保障标准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扣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8.可持续影响指标10分，得分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扣分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项目为财政资金使用效益有待提高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扣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分；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9.社会公众或服务对象满意度指标10分，得分10分。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ascii="Times New Roman" w:hAnsi="Times New Roman" w:eastAsia="仿宋_GB2312" w:cs="Times New Roman"/>
          <w:sz w:val="32"/>
          <w:szCs w:val="32"/>
        </w:rPr>
        <w:t>部门预算编制欠精准，年初预算项目与实际执行有较大差额，基本支出的商品服务支出决算较年初预算减少86%，项目支出的商品服务支出较年初预算增加46%，主要是中途增加特定工作发生的费用支出。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单位要进一步</w:t>
      </w:r>
      <w:r>
        <w:rPr>
          <w:rFonts w:ascii="Times New Roman" w:hAnsi="Times New Roman" w:eastAsia="仿宋_GB2312" w:cs="Times New Roman"/>
          <w:sz w:val="32"/>
          <w:szCs w:val="32"/>
        </w:rPr>
        <w:t>加强财务管理，规范支出，预算编制工作有待细化、预算的合理性和执行力度还需加强，项目资金支出进度分配不均等，要从预算管理、绩效管理、资金管理方面加强。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八、下一步改进措施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针对上述薄弱环节，下一步，我单位将重点在以下三个方面着力：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一是加强预算编制管理，科学规划预算编制工作，进一步提高预算编制的科学性、合理性、严谨性和可控性；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二是加强资金使用管理，严格按照预算规定的费用项目和用途进行资金申报、审核支付、财务核算，杜绝超支现象的发生；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三是加强项目支出调度，加强项目开展事前事中事后的跟踪和支出进度的控制，开展项目绩效评价，科学、合理安排支出项目；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四是做好绩效产出的跟踪，进行绩效成果统计和成本分析。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left="420" w:leftChars="200"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407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Y2IxY2U3NzVjM2I5YTZkNWI5MmM0OGU0MjY1YmIifQ=="/>
  </w:docVars>
  <w:rsids>
    <w:rsidRoot w:val="27D94564"/>
    <w:rsid w:val="001429DA"/>
    <w:rsid w:val="00226E16"/>
    <w:rsid w:val="002B41A2"/>
    <w:rsid w:val="00347C40"/>
    <w:rsid w:val="004E65E1"/>
    <w:rsid w:val="005A3C2A"/>
    <w:rsid w:val="005C088D"/>
    <w:rsid w:val="00611B46"/>
    <w:rsid w:val="00626EFA"/>
    <w:rsid w:val="006638A9"/>
    <w:rsid w:val="00735188"/>
    <w:rsid w:val="00981C3B"/>
    <w:rsid w:val="00B9329D"/>
    <w:rsid w:val="00C140B6"/>
    <w:rsid w:val="00C22B46"/>
    <w:rsid w:val="00C91C98"/>
    <w:rsid w:val="00CF259E"/>
    <w:rsid w:val="00CF367C"/>
    <w:rsid w:val="00DF768D"/>
    <w:rsid w:val="00E40EA6"/>
    <w:rsid w:val="00E62065"/>
    <w:rsid w:val="00EE483E"/>
    <w:rsid w:val="00F07D7E"/>
    <w:rsid w:val="00F76679"/>
    <w:rsid w:val="00F92C09"/>
    <w:rsid w:val="00FC256A"/>
    <w:rsid w:val="024A6FC2"/>
    <w:rsid w:val="026E5234"/>
    <w:rsid w:val="02795CA2"/>
    <w:rsid w:val="02E602C3"/>
    <w:rsid w:val="049238B9"/>
    <w:rsid w:val="04C40747"/>
    <w:rsid w:val="0569626F"/>
    <w:rsid w:val="05E11832"/>
    <w:rsid w:val="069725CE"/>
    <w:rsid w:val="06D533DC"/>
    <w:rsid w:val="08793FA4"/>
    <w:rsid w:val="08FF18E3"/>
    <w:rsid w:val="09AD65FB"/>
    <w:rsid w:val="0AC27E84"/>
    <w:rsid w:val="0BB04180"/>
    <w:rsid w:val="0BD85924"/>
    <w:rsid w:val="0BFC5617"/>
    <w:rsid w:val="0C4D19CF"/>
    <w:rsid w:val="0D2C5A88"/>
    <w:rsid w:val="0EBD153B"/>
    <w:rsid w:val="0F550CEC"/>
    <w:rsid w:val="0F8423E1"/>
    <w:rsid w:val="13782124"/>
    <w:rsid w:val="13F14EFC"/>
    <w:rsid w:val="159468C1"/>
    <w:rsid w:val="168E50BE"/>
    <w:rsid w:val="16E76FD8"/>
    <w:rsid w:val="17276200"/>
    <w:rsid w:val="1A295829"/>
    <w:rsid w:val="1A424B3D"/>
    <w:rsid w:val="1A8C18A1"/>
    <w:rsid w:val="1ABC48F0"/>
    <w:rsid w:val="1B4347AD"/>
    <w:rsid w:val="1BC42F01"/>
    <w:rsid w:val="1BFE0B30"/>
    <w:rsid w:val="1C9D42AD"/>
    <w:rsid w:val="1DE008F5"/>
    <w:rsid w:val="1E5135A1"/>
    <w:rsid w:val="1F5E5F75"/>
    <w:rsid w:val="1F690CC9"/>
    <w:rsid w:val="1FBC0EEE"/>
    <w:rsid w:val="1FF97A4C"/>
    <w:rsid w:val="204705A1"/>
    <w:rsid w:val="21127312"/>
    <w:rsid w:val="21194E66"/>
    <w:rsid w:val="217E28FF"/>
    <w:rsid w:val="225C4890"/>
    <w:rsid w:val="233A0AA7"/>
    <w:rsid w:val="24B91EA0"/>
    <w:rsid w:val="26192BF6"/>
    <w:rsid w:val="26AB5818"/>
    <w:rsid w:val="26D50DAB"/>
    <w:rsid w:val="276A122F"/>
    <w:rsid w:val="27B43E94"/>
    <w:rsid w:val="27D94564"/>
    <w:rsid w:val="287C746C"/>
    <w:rsid w:val="291A0878"/>
    <w:rsid w:val="2AF459E0"/>
    <w:rsid w:val="2B600DCA"/>
    <w:rsid w:val="2C015FA1"/>
    <w:rsid w:val="2CEC0432"/>
    <w:rsid w:val="2D5664DE"/>
    <w:rsid w:val="2E327E6E"/>
    <w:rsid w:val="2F155DE5"/>
    <w:rsid w:val="2FD61B58"/>
    <w:rsid w:val="33315FDA"/>
    <w:rsid w:val="34F12F90"/>
    <w:rsid w:val="356E5F27"/>
    <w:rsid w:val="370C0E4B"/>
    <w:rsid w:val="38022B03"/>
    <w:rsid w:val="38E05322"/>
    <w:rsid w:val="39E60BE9"/>
    <w:rsid w:val="3AD76784"/>
    <w:rsid w:val="3AE3337B"/>
    <w:rsid w:val="3B110214"/>
    <w:rsid w:val="3BA945C4"/>
    <w:rsid w:val="3DF77869"/>
    <w:rsid w:val="3E194FA2"/>
    <w:rsid w:val="3E1A70B4"/>
    <w:rsid w:val="3E2628E2"/>
    <w:rsid w:val="40D4166E"/>
    <w:rsid w:val="41CD2721"/>
    <w:rsid w:val="421B33FA"/>
    <w:rsid w:val="428C4212"/>
    <w:rsid w:val="42EB1A7F"/>
    <w:rsid w:val="445552E9"/>
    <w:rsid w:val="449D0A3E"/>
    <w:rsid w:val="45505B10"/>
    <w:rsid w:val="47DB1C89"/>
    <w:rsid w:val="47E524E0"/>
    <w:rsid w:val="48F52BF7"/>
    <w:rsid w:val="4AD44F71"/>
    <w:rsid w:val="4B2A2DEB"/>
    <w:rsid w:val="4B775B0D"/>
    <w:rsid w:val="4C1C493F"/>
    <w:rsid w:val="4C341210"/>
    <w:rsid w:val="4CF22DF1"/>
    <w:rsid w:val="4D9D1D55"/>
    <w:rsid w:val="50025BF9"/>
    <w:rsid w:val="505446A7"/>
    <w:rsid w:val="51822595"/>
    <w:rsid w:val="525C7843"/>
    <w:rsid w:val="55911EF9"/>
    <w:rsid w:val="56F75D8C"/>
    <w:rsid w:val="577613A7"/>
    <w:rsid w:val="57B14F18"/>
    <w:rsid w:val="58AB32D2"/>
    <w:rsid w:val="591A2206"/>
    <w:rsid w:val="59722042"/>
    <w:rsid w:val="5A3A5B7F"/>
    <w:rsid w:val="5B9718EC"/>
    <w:rsid w:val="5D2B6790"/>
    <w:rsid w:val="5EA93E10"/>
    <w:rsid w:val="5FE17E80"/>
    <w:rsid w:val="605F59B3"/>
    <w:rsid w:val="617134CC"/>
    <w:rsid w:val="636C1406"/>
    <w:rsid w:val="63F57AF7"/>
    <w:rsid w:val="64BA24D5"/>
    <w:rsid w:val="65085009"/>
    <w:rsid w:val="652F0DE7"/>
    <w:rsid w:val="65474C27"/>
    <w:rsid w:val="683F3A37"/>
    <w:rsid w:val="68741CFF"/>
    <w:rsid w:val="69C66C39"/>
    <w:rsid w:val="6AB510A3"/>
    <w:rsid w:val="6B91671D"/>
    <w:rsid w:val="6C8B0FF9"/>
    <w:rsid w:val="6CE734B2"/>
    <w:rsid w:val="6D9B34BE"/>
    <w:rsid w:val="6F410095"/>
    <w:rsid w:val="6FBC7C5D"/>
    <w:rsid w:val="6FBE0364"/>
    <w:rsid w:val="70944D11"/>
    <w:rsid w:val="71674BA4"/>
    <w:rsid w:val="72695938"/>
    <w:rsid w:val="737C62D9"/>
    <w:rsid w:val="7440091B"/>
    <w:rsid w:val="75C73E7A"/>
    <w:rsid w:val="78C25DA2"/>
    <w:rsid w:val="78D21D5D"/>
    <w:rsid w:val="799A0ACD"/>
    <w:rsid w:val="79A239E2"/>
    <w:rsid w:val="7ADB139D"/>
    <w:rsid w:val="7EA45F4A"/>
    <w:rsid w:val="7F6129F1"/>
    <w:rsid w:val="7FD34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11</Pages>
  <Words>4584</Words>
  <Characters>5164</Characters>
  <Lines>38</Lines>
  <Paragraphs>10</Paragraphs>
  <TotalTime>45</TotalTime>
  <ScaleCrop>false</ScaleCrop>
  <LinksUpToDate>false</LinksUpToDate>
  <CharactersWithSpaces>5180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陈木沐</cp:lastModifiedBy>
  <cp:lastPrinted>2022-03-28T07:16:00Z</cp:lastPrinted>
  <dcterms:modified xsi:type="dcterms:W3CDTF">2025-07-23T03:30:54Z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2C748869A0314D468FCA60B514AE4557</vt:lpwstr>
  </property>
</Properties>
</file>