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b/>
          <w:color w:val="222222"/>
          <w:kern w:val="0"/>
          <w:sz w:val="44"/>
          <w:szCs w:val="44"/>
        </w:rPr>
      </w:pPr>
      <w:r>
        <w:rPr>
          <w:rFonts w:ascii="Times New Roman" w:hAnsi="Times New Roman" w:eastAsia="仿宋_GB2312"/>
          <w:bCs/>
          <w:color w:val="222222"/>
          <w:kern w:val="0"/>
          <w:sz w:val="32"/>
          <w:szCs w:val="32"/>
        </w:rPr>
        <w:t>附件</w:t>
      </w:r>
      <w:r>
        <w:rPr>
          <w:rFonts w:hint="eastAsia" w:ascii="Times New Roman" w:hAnsi="Times New Roman" w:eastAsia="仿宋_GB2312"/>
          <w:bCs/>
          <w:color w:val="222222"/>
          <w:kern w:val="0"/>
          <w:sz w:val="32"/>
          <w:szCs w:val="32"/>
          <w:lang w:val="en-US" w:eastAsia="zh-CN"/>
        </w:rPr>
        <w:t>2</w:t>
      </w:r>
      <w:r>
        <w:rPr>
          <w:rFonts w:ascii="Times New Roman" w:hAnsi="Times New Roman" w:eastAsia="仿宋_GB2312"/>
          <w:bCs/>
          <w:color w:val="222222"/>
          <w:kern w:val="0"/>
          <w:sz w:val="32"/>
          <w:szCs w:val="32"/>
        </w:rPr>
        <w:t>：</w:t>
      </w:r>
    </w:p>
    <w:p>
      <w:pPr>
        <w:spacing w:line="560" w:lineRule="exact"/>
        <w:jc w:val="center"/>
        <w:rPr>
          <w:rFonts w:ascii="Times New Roman" w:hAnsi="Times New Roman" w:eastAsia="方正小标宋_GBK"/>
          <w:b/>
          <w:kern w:val="0"/>
          <w:sz w:val="36"/>
          <w:szCs w:val="36"/>
        </w:rPr>
      </w:pPr>
    </w:p>
    <w:p>
      <w:pPr>
        <w:spacing w:line="560" w:lineRule="exact"/>
        <w:jc w:val="center"/>
        <w:rPr>
          <w:rFonts w:ascii="Times New Roman" w:hAnsi="Times New Roman" w:eastAsiaTheme="majorEastAsia"/>
          <w:b/>
          <w:kern w:val="0"/>
          <w:sz w:val="44"/>
          <w:szCs w:val="44"/>
        </w:rPr>
      </w:pPr>
      <w:r>
        <w:rPr>
          <w:rFonts w:hint="eastAsia" w:ascii="Times New Roman" w:hAnsi="Times New Roman" w:eastAsiaTheme="majorEastAsia"/>
          <w:b/>
          <w:kern w:val="0"/>
          <w:sz w:val="44"/>
          <w:szCs w:val="44"/>
          <w:lang w:eastAsia="zh-CN"/>
        </w:rPr>
        <w:t>澧县城市管理事务中心</w:t>
      </w:r>
      <w:r>
        <w:rPr>
          <w:rFonts w:ascii="Times New Roman" w:hAnsi="Times New Roman" w:eastAsiaTheme="majorEastAsia"/>
          <w:b/>
          <w:kern w:val="0"/>
          <w:sz w:val="44"/>
          <w:szCs w:val="44"/>
        </w:rPr>
        <w:t>20</w:t>
      </w:r>
      <w:r>
        <w:rPr>
          <w:rFonts w:hint="eastAsia" w:ascii="Times New Roman" w:hAnsi="Times New Roman" w:eastAsiaTheme="majorEastAsia"/>
          <w:b/>
          <w:kern w:val="0"/>
          <w:sz w:val="44"/>
          <w:szCs w:val="44"/>
          <w:lang w:val="en-US" w:eastAsia="zh-CN"/>
        </w:rPr>
        <w:t>20</w:t>
      </w:r>
      <w:r>
        <w:rPr>
          <w:rFonts w:ascii="Times New Roman" w:hAnsi="Times New Roman" w:eastAsiaTheme="majorEastAsia"/>
          <w:b/>
          <w:kern w:val="0"/>
          <w:sz w:val="44"/>
          <w:szCs w:val="44"/>
        </w:rPr>
        <w:t>年度整体绩效</w:t>
      </w:r>
      <w:r>
        <w:rPr>
          <w:rFonts w:hint="eastAsia" w:ascii="Times New Roman" w:hAnsi="Times New Roman" w:eastAsiaTheme="majorEastAsia"/>
          <w:b/>
          <w:kern w:val="0"/>
          <w:sz w:val="44"/>
          <w:szCs w:val="44"/>
          <w:lang w:eastAsia="zh-CN"/>
        </w:rPr>
        <w:t>评价</w:t>
      </w:r>
      <w:r>
        <w:rPr>
          <w:rFonts w:ascii="Times New Roman" w:hAnsi="Times New Roman" w:eastAsiaTheme="majorEastAsia"/>
          <w:b/>
          <w:kern w:val="0"/>
          <w:sz w:val="44"/>
          <w:szCs w:val="44"/>
        </w:rPr>
        <w:t>报告</w:t>
      </w:r>
    </w:p>
    <w:p>
      <w:pPr>
        <w:widowControl/>
        <w:spacing w:line="560" w:lineRule="exact"/>
        <w:ind w:firstLine="640"/>
        <w:rPr>
          <w:rFonts w:ascii="Times New Roman" w:hAnsi="Times New Roman" w:eastAsia="仿宋_GB2312"/>
          <w:color w:val="222222"/>
          <w:kern w:val="0"/>
          <w:sz w:val="32"/>
          <w:szCs w:val="32"/>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 机构、人员构成</w:t>
      </w:r>
    </w:p>
    <w:p>
      <w:pPr>
        <w:tabs>
          <w:tab w:val="left" w:pos="3885"/>
        </w:tabs>
        <w:snapToGrid w:val="0"/>
        <w:spacing w:line="580" w:lineRule="exact"/>
        <w:ind w:firstLine="640" w:firstLineChars="200"/>
        <w:rPr>
          <w:rFonts w:eastAsia="仿宋_GB2312"/>
          <w:sz w:val="32"/>
          <w:szCs w:val="32"/>
        </w:rPr>
      </w:pPr>
      <w:r>
        <w:rPr>
          <w:rFonts w:hint="eastAsia" w:ascii="仿宋" w:hAnsi="仿宋" w:eastAsia="仿宋"/>
          <w:sz w:val="32"/>
          <w:szCs w:val="24"/>
          <w:lang w:val="en-US" w:eastAsia="zh-CN"/>
        </w:rPr>
        <w:t>澧县城市管理事务中心是澧县城市管理和综合执法局的二级预算单位，本中心由城市管理事务中心和城市管理与综合执法局市容环境大队</w:t>
      </w:r>
      <w:r>
        <w:rPr>
          <w:rFonts w:hint="eastAsia" w:ascii="仿宋" w:hAnsi="仿宋" w:eastAsia="仿宋"/>
          <w:sz w:val="32"/>
          <w:szCs w:val="24"/>
          <w:lang w:val="en-US"/>
        </w:rPr>
        <w:t>组成</w:t>
      </w:r>
      <w:r>
        <w:rPr>
          <w:rFonts w:hint="eastAsia" w:ascii="仿宋" w:hAnsi="仿宋" w:eastAsia="仿宋"/>
          <w:sz w:val="32"/>
          <w:szCs w:val="24"/>
          <w:lang w:val="en-US" w:eastAsia="zh-CN"/>
        </w:rPr>
        <w:t>。</w:t>
      </w:r>
      <w:r>
        <w:rPr>
          <w:rFonts w:hint="eastAsia" w:eastAsia="仿宋_GB2312"/>
          <w:sz w:val="32"/>
          <w:szCs w:val="32"/>
        </w:rPr>
        <w:t>单位内设办公室、财务室、政工室、收费办、考核办、渣土执法大队、彭山垃圾填埋厂和固废流转中心等职能部门。</w:t>
      </w:r>
      <w:r>
        <w:rPr>
          <w:rFonts w:hint="eastAsia" w:ascii="仿宋" w:hAnsi="仿宋" w:eastAsia="仿宋" w:cs="仿宋"/>
          <w:sz w:val="32"/>
          <w:szCs w:val="32"/>
        </w:rPr>
        <w:t>核定编制数</w:t>
      </w:r>
      <w:r>
        <w:rPr>
          <w:rFonts w:hint="eastAsia" w:ascii="仿宋" w:hAnsi="仿宋" w:eastAsia="仿宋" w:cs="仿宋"/>
          <w:sz w:val="32"/>
          <w:szCs w:val="32"/>
          <w:lang w:val="en-US" w:eastAsia="zh-CN"/>
        </w:rPr>
        <w:t>195</w:t>
      </w:r>
      <w:r>
        <w:rPr>
          <w:rFonts w:hint="eastAsia" w:ascii="仿宋" w:hAnsi="仿宋" w:eastAsia="仿宋" w:cs="仿宋"/>
          <w:sz w:val="32"/>
          <w:szCs w:val="32"/>
        </w:rPr>
        <w:t>人，实际在职人数</w:t>
      </w:r>
      <w:r>
        <w:rPr>
          <w:rFonts w:hint="eastAsia" w:ascii="仿宋" w:hAnsi="仿宋" w:eastAsia="仿宋" w:cs="仿宋"/>
          <w:sz w:val="32"/>
          <w:szCs w:val="32"/>
          <w:lang w:val="en-US" w:eastAsia="zh-CN"/>
        </w:rPr>
        <w:t>102</w:t>
      </w:r>
      <w:r>
        <w:rPr>
          <w:rFonts w:hint="eastAsia" w:ascii="仿宋" w:hAnsi="仿宋" w:eastAsia="仿宋" w:cs="仿宋"/>
          <w:sz w:val="32"/>
          <w:szCs w:val="32"/>
        </w:rPr>
        <w:t>人。</w:t>
      </w:r>
    </w:p>
    <w:p>
      <w:pPr>
        <w:widowControl/>
        <w:numPr>
          <w:ilvl w:val="0"/>
          <w:numId w:val="1"/>
        </w:numPr>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单位主要职责</w:t>
      </w:r>
    </w:p>
    <w:p>
      <w:pPr>
        <w:widowControl/>
        <w:numPr>
          <w:ilvl w:val="0"/>
          <w:numId w:val="0"/>
        </w:numPr>
        <w:rPr>
          <w:rFonts w:hint="default" w:ascii="Times New Roman" w:hAnsi="Times New Roman" w:eastAsia="仿宋_GB2312"/>
          <w:color w:val="222222"/>
          <w:kern w:val="0"/>
          <w:sz w:val="32"/>
          <w:szCs w:val="32"/>
          <w:lang w:val="en-US" w:eastAsia="zh-CN"/>
        </w:rPr>
      </w:pPr>
      <w:r>
        <w:rPr>
          <w:rFonts w:hint="eastAsia" w:ascii="Times New Roman" w:hAnsi="Times New Roman" w:eastAsia="仿宋_GB2312"/>
          <w:color w:val="222222"/>
          <w:kern w:val="0"/>
          <w:sz w:val="32"/>
          <w:szCs w:val="32"/>
          <w:lang w:val="en-US" w:eastAsia="zh-CN"/>
        </w:rPr>
        <w:t xml:space="preserve">    </w:t>
      </w:r>
      <w:r>
        <w:rPr>
          <w:rFonts w:hint="eastAsia" w:eastAsia="仿宋_GB2312"/>
          <w:sz w:val="32"/>
          <w:szCs w:val="32"/>
        </w:rPr>
        <w:t>环卫三清考评工作；垃圾填埋处场运行及渗透液处理；</w:t>
      </w:r>
      <w:r>
        <w:rPr>
          <w:rFonts w:hint="eastAsia" w:eastAsia="仿宋_GB2312"/>
          <w:sz w:val="32"/>
          <w:szCs w:val="32"/>
          <w:lang w:eastAsia="zh-CN"/>
        </w:rPr>
        <w:t>垃圾发电厂管理</w:t>
      </w:r>
      <w:r>
        <w:rPr>
          <w:rFonts w:hint="eastAsia" w:eastAsia="仿宋_GB2312"/>
          <w:sz w:val="32"/>
          <w:szCs w:val="32"/>
        </w:rPr>
        <w:t>；城区垃圾处理费收取；渣土管理工作；市容市貌管理、城区环卫设施更新与维护工作等。</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（一）部门整体支出情况</w:t>
      </w:r>
    </w:p>
    <w:p>
      <w:pPr>
        <w:keepNext w:val="0"/>
        <w:keepLines w:val="0"/>
        <w:widowControl/>
        <w:suppressLineNumbers w:val="0"/>
        <w:spacing w:before="0" w:beforeAutospacing="0" w:after="0" w:afterAutospacing="0" w:line="315" w:lineRule="atLeast"/>
        <w:ind w:left="0" w:right="0" w:firstLine="480"/>
        <w:jc w:val="both"/>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2020年度</w:t>
      </w:r>
      <w:r>
        <w:rPr>
          <w:rFonts w:hint="eastAsia" w:ascii="仿宋" w:hAnsi="仿宋" w:eastAsia="仿宋" w:cs="仿宋"/>
          <w:color w:val="222222"/>
          <w:kern w:val="0"/>
          <w:sz w:val="32"/>
          <w:szCs w:val="32"/>
        </w:rPr>
        <w:t>部门整体收入</w:t>
      </w:r>
      <w:r>
        <w:rPr>
          <w:rFonts w:hint="eastAsia" w:ascii="仿宋" w:hAnsi="仿宋" w:eastAsia="仿宋" w:cs="仿宋"/>
          <w:color w:val="222222"/>
          <w:kern w:val="0"/>
          <w:sz w:val="32"/>
          <w:szCs w:val="32"/>
          <w:lang w:val="en-US" w:eastAsia="zh-CN"/>
        </w:rPr>
        <w:t>2506.79</w:t>
      </w:r>
      <w:r>
        <w:rPr>
          <w:rFonts w:hint="eastAsia" w:ascii="仿宋" w:hAnsi="仿宋" w:eastAsia="仿宋" w:cs="仿宋"/>
          <w:color w:val="222222"/>
          <w:kern w:val="0"/>
          <w:sz w:val="32"/>
          <w:szCs w:val="32"/>
        </w:rPr>
        <w:t>万元，其中：一般公共预算拨款</w:t>
      </w:r>
      <w:r>
        <w:rPr>
          <w:rFonts w:hint="eastAsia" w:ascii="仿宋" w:hAnsi="仿宋" w:eastAsia="仿宋" w:cs="仿宋"/>
          <w:color w:val="222222"/>
          <w:kern w:val="0"/>
          <w:sz w:val="32"/>
          <w:szCs w:val="32"/>
          <w:lang w:val="en-US" w:eastAsia="zh-CN"/>
        </w:rPr>
        <w:t>2506.79</w:t>
      </w:r>
      <w:r>
        <w:rPr>
          <w:rFonts w:hint="eastAsia" w:ascii="仿宋" w:hAnsi="仿宋" w:eastAsia="仿宋" w:cs="仿宋"/>
          <w:color w:val="222222"/>
          <w:kern w:val="0"/>
          <w:sz w:val="32"/>
          <w:szCs w:val="32"/>
        </w:rPr>
        <w:t>万元，政府性基金预算拨款</w:t>
      </w:r>
      <w:r>
        <w:rPr>
          <w:rFonts w:hint="eastAsia" w:ascii="仿宋" w:hAnsi="仿宋" w:eastAsia="仿宋" w:cs="仿宋"/>
          <w:color w:val="222222"/>
          <w:kern w:val="0"/>
          <w:sz w:val="32"/>
          <w:szCs w:val="32"/>
          <w:lang w:val="en-US" w:eastAsia="zh-CN"/>
        </w:rPr>
        <w:t>0</w:t>
      </w:r>
      <w:r>
        <w:rPr>
          <w:rFonts w:hint="eastAsia" w:ascii="仿宋" w:hAnsi="仿宋" w:eastAsia="仿宋" w:cs="仿宋"/>
          <w:color w:val="222222"/>
          <w:kern w:val="0"/>
          <w:sz w:val="32"/>
          <w:szCs w:val="32"/>
        </w:rPr>
        <w:t>万元。部门整体支出</w:t>
      </w:r>
      <w:r>
        <w:rPr>
          <w:rFonts w:hint="eastAsia" w:ascii="仿宋" w:hAnsi="仿宋" w:eastAsia="仿宋" w:cs="仿宋"/>
          <w:color w:val="222222"/>
          <w:kern w:val="0"/>
          <w:sz w:val="32"/>
          <w:szCs w:val="32"/>
          <w:lang w:val="en-US" w:eastAsia="zh-CN"/>
        </w:rPr>
        <w:t>2535.16</w:t>
      </w:r>
      <w:r>
        <w:rPr>
          <w:rFonts w:hint="eastAsia" w:ascii="仿宋" w:hAnsi="仿宋" w:eastAsia="仿宋" w:cs="仿宋"/>
          <w:color w:val="222222"/>
          <w:kern w:val="0"/>
          <w:sz w:val="32"/>
          <w:szCs w:val="32"/>
        </w:rPr>
        <w:t>万元，其中：</w:t>
      </w:r>
      <w:r>
        <w:rPr>
          <w:rFonts w:hint="eastAsia" w:ascii="仿宋" w:hAnsi="仿宋" w:eastAsia="仿宋" w:cs="仿宋"/>
          <w:color w:val="222222"/>
          <w:kern w:val="0"/>
          <w:sz w:val="32"/>
          <w:szCs w:val="32"/>
          <w:lang w:val="en-US" w:eastAsia="zh-CN"/>
        </w:rPr>
        <w:t>其中基本支出1164.59万元，占总支出45.94%，项目支出1370.57万元，占总支出54.06%。</w:t>
      </w:r>
    </w:p>
    <w:p>
      <w:pPr>
        <w:widowControl/>
        <w:autoSpaceDE w:val="0"/>
        <w:ind w:firstLine="640" w:firstLineChars="200"/>
        <w:rPr>
          <w:rFonts w:ascii="仿宋" w:hAnsi="仿宋" w:eastAsia="仿宋" w:cs="仿宋"/>
          <w:color w:val="FF0000"/>
          <w:kern w:val="0"/>
          <w:sz w:val="32"/>
          <w:szCs w:val="32"/>
        </w:rPr>
      </w:pPr>
      <w:r>
        <w:rPr>
          <w:rFonts w:hint="eastAsia" w:ascii="仿宋" w:hAnsi="仿宋" w:eastAsia="仿宋" w:cs="仿宋"/>
          <w:color w:val="222222"/>
          <w:kern w:val="0"/>
          <w:sz w:val="32"/>
          <w:szCs w:val="32"/>
          <w:lang w:val="en-US" w:eastAsia="zh-CN"/>
        </w:rPr>
        <w:t>2020年基本支出主要包括：工资福利支出1054.98万元，商品和服务支出58.94万元，对个人和家庭的补助支出50.52万元，资本性支出0.15万元。</w:t>
      </w:r>
    </w:p>
    <w:p>
      <w:pPr>
        <w:widowControl/>
        <w:numPr>
          <w:ilvl w:val="0"/>
          <w:numId w:val="0"/>
        </w:numPr>
        <w:ind w:leftChars="200" w:firstLine="320" w:firstLineChars="1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w:t>
      </w:r>
      <w:r>
        <w:rPr>
          <w:rFonts w:hint="eastAsia" w:ascii="Times New Roman" w:hAnsi="Times New Roman" w:eastAsia="仿宋_GB2312"/>
          <w:color w:val="222222"/>
          <w:kern w:val="0"/>
          <w:sz w:val="32"/>
          <w:szCs w:val="32"/>
          <w:lang w:eastAsia="zh-CN"/>
        </w:rPr>
        <w:t>二</w:t>
      </w:r>
      <w:r>
        <w:rPr>
          <w:rFonts w:ascii="Times New Roman" w:hAnsi="Times New Roman" w:eastAsia="仿宋_GB2312"/>
          <w:color w:val="222222"/>
          <w:kern w:val="0"/>
          <w:sz w:val="32"/>
          <w:szCs w:val="32"/>
        </w:rPr>
        <w:t>）部门预算收支决算情况</w:t>
      </w:r>
    </w:p>
    <w:p>
      <w:pPr>
        <w:widowControl/>
        <w:autoSpaceDE w:val="0"/>
        <w:ind w:firstLine="640" w:firstLineChars="200"/>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2020年预算收入2662.94万元，决算收入2506.79万元，差异率5.86%，预算支出总计2662.94万元，决算支出总计2535.16万元，差异率4.80%。差异原因：主要是人员经费中城乡社区环境卫生收入和其他污染防治收入结转下年。职工年终绩效及综治奖未发放，填埋场调节池覆盖膜工程未完工，款项未支付。</w:t>
      </w:r>
    </w:p>
    <w:p>
      <w:pPr>
        <w:widowControl/>
        <w:numPr>
          <w:ilvl w:val="0"/>
          <w:numId w:val="0"/>
        </w:numPr>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w:t>
      </w:r>
      <w:r>
        <w:rPr>
          <w:rFonts w:hint="eastAsia" w:ascii="Times New Roman" w:hAnsi="Times New Roman" w:eastAsia="仿宋_GB2312"/>
          <w:color w:val="222222"/>
          <w:kern w:val="0"/>
          <w:sz w:val="32"/>
          <w:szCs w:val="32"/>
          <w:lang w:eastAsia="zh-CN"/>
        </w:rPr>
        <w:t>三</w:t>
      </w:r>
      <w:r>
        <w:rPr>
          <w:rFonts w:ascii="Times New Roman" w:hAnsi="Times New Roman" w:eastAsia="仿宋_GB2312"/>
          <w:color w:val="222222"/>
          <w:kern w:val="0"/>
          <w:sz w:val="32"/>
          <w:szCs w:val="32"/>
        </w:rPr>
        <w:t>）“三公经费”支出使用和管理情况</w:t>
      </w:r>
    </w:p>
    <w:p>
      <w:pPr>
        <w:widowControl/>
        <w:autoSpaceDE w:val="0"/>
        <w:ind w:firstLine="640" w:firstLineChars="200"/>
        <w:rPr>
          <w:rFonts w:ascii="仿宋" w:hAnsi="仿宋" w:eastAsia="仿宋" w:cs="仿宋"/>
          <w:color w:val="222222"/>
          <w:kern w:val="0"/>
          <w:sz w:val="32"/>
          <w:szCs w:val="32"/>
        </w:rPr>
      </w:pPr>
      <w:r>
        <w:rPr>
          <w:rFonts w:hint="eastAsia" w:ascii="仿宋" w:hAnsi="仿宋" w:eastAsia="仿宋" w:cs="仿宋"/>
          <w:color w:val="222222"/>
          <w:kern w:val="0"/>
          <w:sz w:val="32"/>
          <w:szCs w:val="32"/>
          <w:lang w:val="en-US" w:eastAsia="zh-CN"/>
        </w:rPr>
        <w:t>2020</w:t>
      </w:r>
      <w:r>
        <w:rPr>
          <w:rFonts w:hint="eastAsia" w:ascii="仿宋" w:hAnsi="仿宋" w:eastAsia="仿宋" w:cs="仿宋"/>
          <w:color w:val="222222"/>
          <w:kern w:val="0"/>
          <w:sz w:val="32"/>
          <w:szCs w:val="32"/>
        </w:rPr>
        <w:t>年“三公”经费支出</w:t>
      </w:r>
      <w:r>
        <w:rPr>
          <w:rFonts w:hint="eastAsia" w:ascii="仿宋" w:hAnsi="仿宋" w:eastAsia="仿宋" w:cs="仿宋"/>
          <w:color w:val="222222"/>
          <w:kern w:val="0"/>
          <w:sz w:val="32"/>
          <w:szCs w:val="32"/>
          <w:lang w:val="en-US" w:eastAsia="zh-CN"/>
        </w:rPr>
        <w:t>3.39</w:t>
      </w:r>
      <w:r>
        <w:rPr>
          <w:rFonts w:hint="eastAsia" w:ascii="仿宋" w:hAnsi="仿宋" w:eastAsia="仿宋" w:cs="仿宋"/>
          <w:color w:val="222222"/>
          <w:kern w:val="0"/>
          <w:sz w:val="32"/>
          <w:szCs w:val="32"/>
        </w:rPr>
        <w:t>万元，年初预算</w:t>
      </w:r>
      <w:r>
        <w:rPr>
          <w:rFonts w:hint="eastAsia" w:ascii="仿宋" w:hAnsi="仿宋" w:eastAsia="仿宋" w:cs="仿宋"/>
          <w:color w:val="222222"/>
          <w:kern w:val="0"/>
          <w:sz w:val="32"/>
          <w:szCs w:val="32"/>
          <w:lang w:val="en-US" w:eastAsia="zh-CN"/>
        </w:rPr>
        <w:t>12.5</w:t>
      </w:r>
      <w:r>
        <w:rPr>
          <w:rFonts w:hint="eastAsia" w:ascii="仿宋" w:hAnsi="仿宋" w:eastAsia="仿宋" w:cs="仿宋"/>
          <w:color w:val="222222"/>
          <w:kern w:val="0"/>
          <w:sz w:val="32"/>
          <w:szCs w:val="32"/>
        </w:rPr>
        <w:t>万元，</w:t>
      </w:r>
      <w:r>
        <w:rPr>
          <w:rFonts w:hint="eastAsia" w:ascii="仿宋" w:hAnsi="仿宋" w:eastAsia="仿宋" w:cs="仿宋"/>
          <w:color w:val="222222"/>
          <w:kern w:val="0"/>
          <w:sz w:val="32"/>
          <w:szCs w:val="32"/>
          <w:lang w:eastAsia="zh-CN"/>
        </w:rPr>
        <w:t>节约了</w:t>
      </w:r>
      <w:r>
        <w:rPr>
          <w:rFonts w:hint="eastAsia" w:ascii="仿宋" w:hAnsi="仿宋" w:eastAsia="仿宋" w:cs="仿宋"/>
          <w:color w:val="222222"/>
          <w:kern w:val="0"/>
          <w:sz w:val="32"/>
          <w:szCs w:val="32"/>
          <w:lang w:val="en-US" w:eastAsia="zh-CN"/>
        </w:rPr>
        <w:t>72.08</w:t>
      </w:r>
      <w:r>
        <w:rPr>
          <w:rFonts w:ascii="仿宋" w:hAnsi="仿宋" w:eastAsia="仿宋" w:cs="仿宋"/>
          <w:color w:val="222222"/>
          <w:kern w:val="0"/>
          <w:sz w:val="32"/>
          <w:szCs w:val="32"/>
        </w:rPr>
        <w:t>%</w:t>
      </w:r>
      <w:r>
        <w:rPr>
          <w:rFonts w:hint="eastAsia" w:ascii="仿宋" w:hAnsi="仿宋" w:eastAsia="仿宋" w:cs="仿宋"/>
          <w:color w:val="222222"/>
          <w:kern w:val="0"/>
          <w:sz w:val="32"/>
          <w:szCs w:val="32"/>
        </w:rPr>
        <w:t>。其中：因公出国（境）费</w:t>
      </w:r>
      <w:r>
        <w:rPr>
          <w:rFonts w:ascii="仿宋" w:hAnsi="仿宋" w:eastAsia="仿宋" w:cs="仿宋"/>
          <w:color w:val="222222"/>
          <w:kern w:val="0"/>
          <w:sz w:val="32"/>
          <w:szCs w:val="32"/>
        </w:rPr>
        <w:t>0</w:t>
      </w:r>
      <w:r>
        <w:rPr>
          <w:rFonts w:hint="eastAsia" w:ascii="仿宋" w:hAnsi="仿宋" w:eastAsia="仿宋" w:cs="仿宋"/>
          <w:color w:val="222222"/>
          <w:kern w:val="0"/>
          <w:sz w:val="32"/>
          <w:szCs w:val="32"/>
        </w:rPr>
        <w:t>万元</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公务用车购置及运行维护费（公务用车运行维护费</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lang w:val="en-US" w:eastAsia="zh-CN"/>
        </w:rPr>
        <w:t>1.59</w:t>
      </w:r>
      <w:r>
        <w:rPr>
          <w:rFonts w:hint="eastAsia" w:ascii="仿宋" w:hAnsi="仿宋" w:eastAsia="仿宋" w:cs="仿宋"/>
          <w:color w:val="222222"/>
          <w:kern w:val="0"/>
          <w:sz w:val="32"/>
          <w:szCs w:val="32"/>
        </w:rPr>
        <w:t>万元，公务接待费</w:t>
      </w:r>
      <w:r>
        <w:rPr>
          <w:rFonts w:hint="eastAsia" w:ascii="仿宋" w:hAnsi="仿宋" w:eastAsia="仿宋" w:cs="仿宋"/>
          <w:color w:val="222222"/>
          <w:kern w:val="0"/>
          <w:sz w:val="32"/>
          <w:szCs w:val="32"/>
          <w:lang w:val="en-US" w:eastAsia="zh-CN"/>
        </w:rPr>
        <w:t>1.8</w:t>
      </w:r>
      <w:r>
        <w:rPr>
          <w:rFonts w:hint="eastAsia" w:ascii="仿宋" w:hAnsi="仿宋" w:eastAsia="仿宋" w:cs="仿宋"/>
          <w:color w:val="222222"/>
          <w:kern w:val="0"/>
          <w:sz w:val="32"/>
          <w:szCs w:val="32"/>
        </w:rPr>
        <w:t>万元。</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（一）部门绩效总目标</w:t>
      </w:r>
    </w:p>
    <w:p>
      <w:pPr>
        <w:widowControl/>
        <w:autoSpaceDE w:val="0"/>
        <w:ind w:firstLine="640" w:firstLineChars="200"/>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保障城区环境清洁卫生；做好环卫设施维护；保证垃圾填埋厂运行和渗滤液处理工作顺利进行，并达标排放；做好城区渣土管理工作；组织垃圾处理费征收工作，力争完成2020年非税征收任务。</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（二）20</w:t>
      </w:r>
      <w:r>
        <w:rPr>
          <w:rFonts w:hint="eastAsia" w:ascii="Times New Roman" w:hAnsi="Times New Roman" w:eastAsia="仿宋_GB2312"/>
          <w:color w:val="222222"/>
          <w:kern w:val="0"/>
          <w:sz w:val="32"/>
          <w:szCs w:val="32"/>
          <w:lang w:val="en-US" w:eastAsia="zh-CN"/>
        </w:rPr>
        <w:t>20</w:t>
      </w:r>
      <w:r>
        <w:rPr>
          <w:rFonts w:ascii="Times New Roman" w:hAnsi="Times New Roman" w:eastAsia="仿宋_GB2312"/>
          <w:color w:val="222222"/>
          <w:kern w:val="0"/>
          <w:sz w:val="32"/>
          <w:szCs w:val="32"/>
        </w:rPr>
        <w:t>年度部门绩效目标</w:t>
      </w:r>
    </w:p>
    <w:p>
      <w:pPr>
        <w:ind w:firstLine="640" w:firstLineChars="200"/>
        <w:rPr>
          <w:rFonts w:ascii="仿宋" w:hAnsi="仿宋" w:eastAsia="仿宋" w:cs="Times New Roman"/>
          <w:sz w:val="32"/>
          <w:szCs w:val="32"/>
        </w:rPr>
      </w:pPr>
      <w:r>
        <w:rPr>
          <w:rFonts w:hint="eastAsia" w:ascii="仿宋" w:hAnsi="仿宋" w:eastAsia="仿宋" w:cs="Times New Roman"/>
          <w:sz w:val="32"/>
          <w:szCs w:val="32"/>
          <w:lang w:val="en-US" w:eastAsia="zh-CN"/>
        </w:rPr>
        <w:t>2020年</w:t>
      </w:r>
      <w:r>
        <w:rPr>
          <w:rFonts w:hint="eastAsia" w:ascii="仿宋" w:hAnsi="仿宋" w:eastAsia="仿宋" w:cs="Times New Roman"/>
          <w:sz w:val="32"/>
          <w:szCs w:val="32"/>
        </w:rPr>
        <w:t>以提升服务为重心，认真开展</w:t>
      </w:r>
      <w:r>
        <w:rPr>
          <w:rFonts w:hint="eastAsia" w:ascii="仿宋" w:hAnsi="仿宋" w:eastAsia="仿宋"/>
          <w:sz w:val="32"/>
          <w:szCs w:val="32"/>
        </w:rPr>
        <w:t>城乡垃圾处理一体化PPP</w:t>
      </w:r>
      <w:r>
        <w:rPr>
          <w:rFonts w:hint="eastAsia" w:ascii="仿宋" w:hAnsi="仿宋" w:eastAsia="仿宋" w:cs="Times New Roman"/>
          <w:sz w:val="32"/>
          <w:szCs w:val="32"/>
        </w:rPr>
        <w:t>市场化、渣土专项整治、</w:t>
      </w:r>
      <w:r>
        <w:rPr>
          <w:rFonts w:hint="eastAsia" w:ascii="仿宋" w:hAnsi="仿宋" w:eastAsia="仿宋"/>
          <w:sz w:val="32"/>
          <w:szCs w:val="32"/>
        </w:rPr>
        <w:t>餐厨垃圾收运工作、疫情防控</w:t>
      </w:r>
      <w:r>
        <w:rPr>
          <w:rFonts w:hint="eastAsia" w:ascii="仿宋" w:hAnsi="仿宋" w:eastAsia="仿宋" w:cs="Times New Roman"/>
          <w:sz w:val="32"/>
          <w:szCs w:val="32"/>
        </w:rPr>
        <w:t>等工作。一年以来，共收集转运处理生活垃圾10万多吨，餐厨垃圾4000多吨，渣土执法查处</w:t>
      </w:r>
      <w:r>
        <w:rPr>
          <w:rFonts w:hint="eastAsia" w:ascii="仿宋" w:hAnsi="仿宋" w:eastAsia="仿宋"/>
          <w:sz w:val="32"/>
          <w:szCs w:val="32"/>
        </w:rPr>
        <w:t>9</w:t>
      </w:r>
      <w:r>
        <w:rPr>
          <w:rFonts w:hint="eastAsia" w:ascii="仿宋" w:hAnsi="仿宋" w:eastAsia="仿宋" w:cs="Times New Roman"/>
          <w:sz w:val="32"/>
          <w:szCs w:val="32"/>
        </w:rPr>
        <w:t>起，其中顶格处罚</w:t>
      </w:r>
      <w:r>
        <w:rPr>
          <w:rFonts w:hint="eastAsia" w:ascii="仿宋" w:hAnsi="仿宋" w:eastAsia="仿宋"/>
          <w:sz w:val="32"/>
          <w:szCs w:val="32"/>
        </w:rPr>
        <w:t>4</w:t>
      </w:r>
      <w:r>
        <w:rPr>
          <w:rFonts w:hint="eastAsia" w:ascii="仿宋" w:hAnsi="仿宋" w:eastAsia="仿宋" w:cs="Times New Roman"/>
          <w:sz w:val="32"/>
          <w:szCs w:val="32"/>
        </w:rPr>
        <w:t>起，教育整改</w:t>
      </w:r>
      <w:r>
        <w:rPr>
          <w:rFonts w:hint="eastAsia" w:ascii="仿宋" w:hAnsi="仿宋" w:eastAsia="仿宋"/>
          <w:sz w:val="32"/>
          <w:szCs w:val="32"/>
        </w:rPr>
        <w:t>1600多起，圆满完成垃圾处置收费任务</w:t>
      </w:r>
      <w:r>
        <w:rPr>
          <w:rFonts w:hint="eastAsia" w:ascii="仿宋" w:hAnsi="仿宋" w:eastAsia="仿宋" w:cs="Times New Roman"/>
          <w:sz w:val="32"/>
          <w:szCs w:val="32"/>
        </w:rPr>
        <w:t>。</w:t>
      </w:r>
    </w:p>
    <w:p>
      <w:pPr>
        <w:widowControl/>
        <w:numPr>
          <w:ilvl w:val="0"/>
          <w:numId w:val="0"/>
        </w:numPr>
        <w:ind w:firstLine="640" w:firstLineChars="200"/>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lang w:eastAsia="zh-CN"/>
        </w:rPr>
        <w:t>四、</w:t>
      </w:r>
      <w:r>
        <w:rPr>
          <w:rFonts w:hint="eastAsia" w:ascii="黑体" w:hAnsi="黑体" w:eastAsia="黑体" w:cs="黑体"/>
          <w:color w:val="222222"/>
          <w:kern w:val="0"/>
          <w:sz w:val="32"/>
          <w:szCs w:val="32"/>
        </w:rPr>
        <w:t>绩效评价工作情况</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color w:val="222222"/>
          <w:kern w:val="0"/>
          <w:sz w:val="32"/>
          <w:szCs w:val="32"/>
          <w:lang w:val="en-US" w:eastAsia="zh-CN"/>
        </w:rPr>
      </w:pPr>
      <w:r>
        <w:rPr>
          <w:rFonts w:hint="eastAsia" w:ascii="仿宋" w:hAnsi="仿宋" w:eastAsia="仿宋" w:cs="仿宋"/>
          <w:bCs/>
          <w:color w:val="222222"/>
          <w:kern w:val="0"/>
          <w:sz w:val="32"/>
          <w:szCs w:val="32"/>
        </w:rPr>
        <w:t>我</w:t>
      </w:r>
      <w:r>
        <w:rPr>
          <w:rFonts w:hint="eastAsia" w:ascii="仿宋" w:hAnsi="仿宋" w:eastAsia="仿宋" w:cs="仿宋"/>
          <w:bCs/>
          <w:color w:val="222222"/>
          <w:kern w:val="0"/>
          <w:sz w:val="32"/>
          <w:szCs w:val="32"/>
          <w:lang w:eastAsia="zh-CN"/>
        </w:rPr>
        <w:t>中心</w:t>
      </w:r>
      <w:r>
        <w:rPr>
          <w:rFonts w:hint="eastAsia" w:ascii="仿宋" w:hAnsi="仿宋" w:eastAsia="仿宋" w:cs="仿宋"/>
          <w:bCs/>
          <w:color w:val="222222"/>
          <w:kern w:val="0"/>
          <w:sz w:val="32"/>
          <w:szCs w:val="32"/>
        </w:rPr>
        <w:t>高度重视绩效评价工作，按县财政局相关文件精神，坚持“谁花钱、评价谁”、“花钱无效要问责”的评价原则，将部门年初预算细化到各室，明确专人负责，及时组织自评自查。</w:t>
      </w:r>
      <w:r>
        <w:rPr>
          <w:rFonts w:hint="eastAsia" w:ascii="仿宋" w:hAnsi="仿宋" w:eastAsia="仿宋" w:cs="仿宋"/>
          <w:bCs/>
          <w:color w:val="222222"/>
          <w:kern w:val="0"/>
          <w:sz w:val="32"/>
          <w:szCs w:val="32"/>
          <w:lang w:val="en-US" w:eastAsia="zh-CN"/>
        </w:rPr>
        <w:t xml:space="preserve"> </w:t>
      </w:r>
    </w:p>
    <w:p>
      <w:pPr>
        <w:widowControl/>
        <w:ind w:firstLine="640" w:firstLineChars="200"/>
        <w:rPr>
          <w:rFonts w:hint="eastAsia" w:ascii="黑体" w:hAnsi="黑体" w:eastAsia="黑体" w:cs="黑体"/>
          <w:color w:val="222222"/>
          <w:kern w:val="0"/>
          <w:sz w:val="32"/>
          <w:szCs w:val="32"/>
          <w:lang w:eastAsia="zh-CN"/>
        </w:rPr>
      </w:pPr>
      <w:r>
        <w:rPr>
          <w:rFonts w:hint="eastAsia" w:ascii="黑体" w:hAnsi="黑体" w:eastAsia="黑体" w:cs="黑体"/>
          <w:color w:val="222222"/>
          <w:kern w:val="0"/>
          <w:sz w:val="32"/>
          <w:szCs w:val="32"/>
          <w:lang w:val="en-US" w:eastAsia="zh-CN"/>
        </w:rPr>
        <w:t>五、</w:t>
      </w:r>
      <w:r>
        <w:rPr>
          <w:rFonts w:hint="eastAsia" w:ascii="黑体" w:hAnsi="黑体" w:eastAsia="黑体" w:cs="黑体"/>
          <w:color w:val="222222"/>
          <w:kern w:val="0"/>
          <w:sz w:val="32"/>
          <w:szCs w:val="32"/>
          <w:lang w:eastAsia="zh-CN"/>
        </w:rPr>
        <w:t>综合评价结果</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ascii="仿宋" w:hAnsi="仿宋" w:eastAsia="仿宋" w:cs="仿宋"/>
          <w:bCs/>
          <w:color w:val="222222"/>
          <w:kern w:val="0"/>
          <w:sz w:val="32"/>
          <w:szCs w:val="32"/>
        </w:rPr>
      </w:pPr>
      <w:r>
        <w:rPr>
          <w:rFonts w:hint="eastAsia" w:ascii="仿宋" w:hAnsi="仿宋" w:eastAsia="仿宋"/>
          <w:sz w:val="32"/>
          <w:szCs w:val="32"/>
          <w:lang w:eastAsia="zh-CN"/>
        </w:rPr>
        <w:t>较好的完成年初制订的绩效目标</w:t>
      </w:r>
      <w:r>
        <w:rPr>
          <w:rFonts w:hint="eastAsia" w:ascii="仿宋" w:hAnsi="仿宋" w:eastAsia="仿宋"/>
          <w:sz w:val="32"/>
          <w:szCs w:val="32"/>
          <w:lang w:val="en-US" w:eastAsia="zh-CN"/>
        </w:rPr>
        <w:t>,减少、控制了环境污染，为市提供了良好的生活环境，提高了市民满意度、幸福感，增强了全民环境卫生意识。</w:t>
      </w:r>
      <w:r>
        <w:rPr>
          <w:rFonts w:ascii="仿宋" w:hAnsi="仿宋" w:eastAsia="仿宋"/>
          <w:sz w:val="32"/>
          <w:szCs w:val="32"/>
        </w:rPr>
        <w:t>在预算配置、预算执行、预算管理等方面</w:t>
      </w:r>
      <w:r>
        <w:rPr>
          <w:rFonts w:hint="eastAsia" w:ascii="仿宋" w:hAnsi="仿宋" w:eastAsia="仿宋"/>
          <w:sz w:val="32"/>
          <w:szCs w:val="32"/>
          <w:lang w:eastAsia="zh-CN"/>
        </w:rPr>
        <w:t>取得了较好的成效，</w:t>
      </w:r>
      <w:r>
        <w:rPr>
          <w:rFonts w:hint="eastAsia" w:ascii="仿宋" w:hAnsi="仿宋" w:eastAsia="仿宋" w:cs="仿宋"/>
          <w:bCs/>
          <w:color w:val="222222"/>
          <w:kern w:val="0"/>
          <w:sz w:val="32"/>
          <w:szCs w:val="32"/>
        </w:rPr>
        <w:t>综合评价得分</w:t>
      </w:r>
      <w:r>
        <w:rPr>
          <w:rFonts w:hint="eastAsia" w:ascii="仿宋" w:hAnsi="仿宋" w:eastAsia="仿宋" w:cs="仿宋"/>
          <w:bCs/>
          <w:color w:val="222222"/>
          <w:kern w:val="0"/>
          <w:sz w:val="32"/>
          <w:szCs w:val="32"/>
          <w:lang w:val="en-US" w:eastAsia="zh-CN"/>
        </w:rPr>
        <w:t>88</w:t>
      </w:r>
      <w:r>
        <w:rPr>
          <w:rFonts w:hint="eastAsia" w:ascii="仿宋" w:hAnsi="仿宋" w:eastAsia="仿宋" w:cs="仿宋"/>
          <w:bCs/>
          <w:color w:val="222222"/>
          <w:kern w:val="0"/>
          <w:sz w:val="32"/>
          <w:szCs w:val="32"/>
        </w:rPr>
        <w:t>分，</w:t>
      </w:r>
      <w:r>
        <w:rPr>
          <w:rFonts w:hint="eastAsia" w:ascii="仿宋" w:hAnsi="仿宋" w:eastAsia="仿宋" w:cs="仿宋"/>
          <w:bCs/>
          <w:color w:val="222222"/>
          <w:kern w:val="0"/>
          <w:sz w:val="32"/>
          <w:szCs w:val="32"/>
          <w:lang w:eastAsia="zh-CN"/>
        </w:rPr>
        <w:t>评价等级为良好。</w:t>
      </w:r>
    </w:p>
    <w:p>
      <w:pPr>
        <w:widowControl/>
        <w:ind w:firstLine="640" w:firstLineChars="200"/>
        <w:rPr>
          <w:rFonts w:hint="eastAsia" w:ascii="黑体" w:hAnsi="黑体" w:eastAsia="黑体" w:cs="黑体"/>
          <w:color w:val="222222"/>
          <w:kern w:val="0"/>
          <w:sz w:val="32"/>
          <w:szCs w:val="32"/>
          <w:lang w:val="en-US" w:eastAsia="zh-CN"/>
        </w:rPr>
      </w:pPr>
      <w:r>
        <w:rPr>
          <w:rFonts w:hint="eastAsia" w:ascii="黑体" w:hAnsi="黑体" w:eastAsia="黑体" w:cs="黑体"/>
          <w:color w:val="222222"/>
          <w:kern w:val="0"/>
          <w:sz w:val="32"/>
          <w:szCs w:val="32"/>
          <w:lang w:val="en-US" w:eastAsia="zh-CN"/>
        </w:rPr>
        <w:t>六、部门整体支出绩效情况</w:t>
      </w:r>
    </w:p>
    <w:p>
      <w:pPr>
        <w:widowControl/>
        <w:numPr>
          <w:ilvl w:val="0"/>
          <w:numId w:val="0"/>
        </w:numPr>
        <w:ind w:leftChars="200"/>
        <w:rPr>
          <w:rFonts w:hint="eastAsia" w:ascii="黑体" w:hAnsi="黑体" w:eastAsia="仿宋_GB2312" w:cs="黑体"/>
          <w:color w:val="222222"/>
          <w:kern w:val="0"/>
          <w:sz w:val="32"/>
          <w:szCs w:val="32"/>
          <w:lang w:eastAsia="zh-CN"/>
        </w:rPr>
      </w:pPr>
      <w:r>
        <w:rPr>
          <w:rFonts w:ascii="Times New Roman" w:hAnsi="Times New Roman" w:eastAsia="仿宋_GB2312"/>
          <w:color w:val="222222"/>
          <w:kern w:val="0"/>
          <w:sz w:val="32"/>
          <w:szCs w:val="32"/>
        </w:rPr>
        <w:t>（一）</w:t>
      </w:r>
      <w:r>
        <w:rPr>
          <w:rFonts w:hint="eastAsia" w:ascii="Times New Roman" w:hAnsi="Times New Roman" w:eastAsia="仿宋_GB2312"/>
          <w:color w:val="222222"/>
          <w:kern w:val="0"/>
          <w:sz w:val="32"/>
          <w:szCs w:val="32"/>
          <w:lang w:eastAsia="zh-CN"/>
        </w:rPr>
        <w:t>社会效益</w:t>
      </w:r>
    </w:p>
    <w:p>
      <w:pPr>
        <w:ind w:firstLine="643" w:firstLineChars="200"/>
        <w:rPr>
          <w:rFonts w:ascii="Calibri" w:hAnsi="Calibri" w:eastAsia="宋体" w:cs="Times New Roman"/>
        </w:rPr>
      </w:pPr>
      <w:r>
        <w:rPr>
          <w:rFonts w:hint="eastAsia" w:ascii="楷体" w:hAnsi="楷体" w:eastAsia="楷体"/>
          <w:b/>
          <w:sz w:val="32"/>
          <w:szCs w:val="32"/>
        </w:rPr>
        <w:t>1、</w:t>
      </w:r>
      <w:r>
        <w:rPr>
          <w:rFonts w:hint="eastAsia" w:ascii="楷体" w:hAnsi="楷体" w:eastAsia="楷体"/>
          <w:b w:val="0"/>
          <w:bCs/>
          <w:sz w:val="32"/>
          <w:szCs w:val="32"/>
        </w:rPr>
        <w:t>城乡共管促提质</w:t>
      </w:r>
      <w:r>
        <w:rPr>
          <w:rFonts w:hint="eastAsia" w:ascii="楷体" w:hAnsi="楷体" w:eastAsia="楷体" w:cs="Times New Roman"/>
          <w:b w:val="0"/>
          <w:bCs/>
          <w:sz w:val="32"/>
          <w:szCs w:val="32"/>
        </w:rPr>
        <w:t>：</w:t>
      </w:r>
      <w:r>
        <w:rPr>
          <w:rFonts w:hint="eastAsia" w:ascii="仿宋" w:hAnsi="仿宋" w:eastAsia="仿宋"/>
          <w:sz w:val="32"/>
          <w:szCs w:val="32"/>
        </w:rPr>
        <w:t>一是取缔津澧大道、翊武路临街密闭式垃圾箱5个，放置了28个环保桶，对城区500多个果皮箱、20多个密闭式垃圾箱、10座公厕进行维护，增加了5个公厕标识标牌，对全县61座压缩站进行了安全检查；二是我中心组织人员对清洁公司工作进行监督，听取公司负责人汇报，指出公司存在的问题，提出整改意见，与澧澹镇政府、码头铺镇政府进行工作对接，落实双方工作责任；三是根据我中心工作安排，升阳升、仁仁洁、龙吉顺清洁公司组织人力、物力对主次干道、集镇街道进行了冲洗，环卫设施进行清洗，对死角死点垃圾进行清理。</w:t>
      </w:r>
    </w:p>
    <w:p>
      <w:pPr>
        <w:ind w:firstLine="643" w:firstLineChars="200"/>
        <w:rPr>
          <w:rFonts w:ascii="仿宋" w:hAnsi="仿宋" w:eastAsia="仿宋" w:cs="Times New Roman"/>
          <w:sz w:val="32"/>
          <w:szCs w:val="32"/>
        </w:rPr>
      </w:pPr>
      <w:r>
        <w:rPr>
          <w:rFonts w:hint="eastAsia" w:ascii="楷体" w:hAnsi="楷体" w:eastAsia="楷体" w:cs="Times New Roman"/>
          <w:b/>
          <w:sz w:val="32"/>
          <w:szCs w:val="32"/>
        </w:rPr>
        <w:t>2、</w:t>
      </w:r>
      <w:r>
        <w:rPr>
          <w:rFonts w:hint="eastAsia" w:ascii="楷体" w:hAnsi="楷体" w:eastAsia="楷体" w:cs="Times New Roman"/>
          <w:b w:val="0"/>
          <w:bCs/>
          <w:sz w:val="32"/>
          <w:szCs w:val="32"/>
        </w:rPr>
        <w:t>巩固设施促提升：</w:t>
      </w:r>
      <w:r>
        <w:rPr>
          <w:rFonts w:hint="eastAsia" w:ascii="仿宋" w:hAnsi="仿宋" w:eastAsia="仿宋" w:cs="Times New Roman"/>
          <w:sz w:val="32"/>
          <w:szCs w:val="32"/>
        </w:rPr>
        <w:t>投入70多万元对城区环卫设施进行更换与维护，共更换果皮箱200多个，密闭式垃圾桶20个，维修果皮箱800多次，密闭式垃圾桶500多次。</w:t>
      </w:r>
    </w:p>
    <w:p>
      <w:pPr>
        <w:widowControl/>
        <w:numPr>
          <w:ilvl w:val="0"/>
          <w:numId w:val="0"/>
        </w:numPr>
        <w:ind w:firstLine="643" w:firstLineChars="200"/>
        <w:rPr>
          <w:rFonts w:hint="eastAsia" w:ascii="仿宋" w:hAnsi="仿宋" w:eastAsia="仿宋"/>
          <w:sz w:val="32"/>
          <w:szCs w:val="32"/>
        </w:rPr>
      </w:pPr>
      <w:r>
        <w:rPr>
          <w:rFonts w:hint="eastAsia" w:ascii="楷体" w:hAnsi="楷体" w:eastAsia="楷体" w:cs="Times New Roman"/>
          <w:b/>
          <w:sz w:val="32"/>
          <w:szCs w:val="32"/>
        </w:rPr>
        <w:t>3、</w:t>
      </w:r>
      <w:r>
        <w:rPr>
          <w:rFonts w:hint="eastAsia" w:ascii="楷体" w:hAnsi="楷体" w:eastAsia="楷体" w:cs="Times New Roman"/>
          <w:b w:val="0"/>
          <w:bCs/>
          <w:sz w:val="32"/>
          <w:szCs w:val="32"/>
        </w:rPr>
        <w:t>抓</w:t>
      </w:r>
      <w:r>
        <w:rPr>
          <w:rFonts w:hint="eastAsia" w:ascii="楷体" w:hAnsi="楷体" w:eastAsia="楷体"/>
          <w:b w:val="0"/>
          <w:bCs/>
          <w:sz w:val="32"/>
          <w:szCs w:val="32"/>
        </w:rPr>
        <w:t>渣土管理共发展</w:t>
      </w:r>
      <w:r>
        <w:rPr>
          <w:rFonts w:hint="eastAsia" w:ascii="楷体" w:hAnsi="楷体" w:eastAsia="楷体" w:cs="Times New Roman"/>
          <w:b w:val="0"/>
          <w:bCs/>
          <w:sz w:val="32"/>
          <w:szCs w:val="32"/>
        </w:rPr>
        <w:t>：</w:t>
      </w:r>
      <w:r>
        <w:rPr>
          <w:rFonts w:hint="eastAsia" w:ascii="仿宋" w:hAnsi="仿宋" w:eastAsia="仿宋"/>
          <w:sz w:val="32"/>
          <w:szCs w:val="32"/>
        </w:rPr>
        <w:t>一是疫情期间对万达广场等复工在建工地每天固定进行2次的疫情防控督导，对渣土运输车辆消毒、规范运输、装载进行监督；二是多次召开渣土运输行业业主会议，宣传扫黑除恶、安全生产工作；三是对城区在建工地、拟建工地加大监管力度，要求工地配备清洁人员，对进出路口进行清洗；四是执法人员积极配合餐厨垃圾启动宣传工作，落实餐厨垃圾收运承诺书的签署工作。</w:t>
      </w:r>
    </w:p>
    <w:p>
      <w:pPr>
        <w:widowControl/>
        <w:numPr>
          <w:ilvl w:val="0"/>
          <w:numId w:val="0"/>
        </w:numPr>
        <w:ind w:leftChars="200"/>
        <w:rPr>
          <w:rFonts w:hint="eastAsia" w:ascii="Times New Roman" w:hAnsi="Times New Roman" w:eastAsia="仿宋_GB2312"/>
          <w:color w:val="222222"/>
          <w:kern w:val="0"/>
          <w:sz w:val="32"/>
          <w:szCs w:val="32"/>
          <w:lang w:eastAsia="zh-CN"/>
        </w:rPr>
      </w:pPr>
      <w:r>
        <w:rPr>
          <w:rFonts w:ascii="Times New Roman" w:hAnsi="Times New Roman" w:eastAsia="仿宋_GB2312"/>
          <w:color w:val="222222"/>
          <w:kern w:val="0"/>
          <w:sz w:val="32"/>
          <w:szCs w:val="32"/>
        </w:rPr>
        <w:t>（</w:t>
      </w:r>
      <w:r>
        <w:rPr>
          <w:rFonts w:hint="eastAsia" w:ascii="Times New Roman" w:hAnsi="Times New Roman" w:eastAsia="仿宋_GB2312"/>
          <w:color w:val="222222"/>
          <w:kern w:val="0"/>
          <w:sz w:val="32"/>
          <w:szCs w:val="32"/>
          <w:lang w:eastAsia="zh-CN"/>
        </w:rPr>
        <w:t>二</w:t>
      </w:r>
      <w:r>
        <w:rPr>
          <w:rFonts w:ascii="Times New Roman" w:hAnsi="Times New Roman" w:eastAsia="仿宋_GB2312"/>
          <w:color w:val="222222"/>
          <w:kern w:val="0"/>
          <w:sz w:val="32"/>
          <w:szCs w:val="32"/>
        </w:rPr>
        <w:t>）</w:t>
      </w:r>
      <w:r>
        <w:rPr>
          <w:rFonts w:hint="eastAsia" w:ascii="Times New Roman" w:hAnsi="Times New Roman" w:eastAsia="仿宋_GB2312"/>
          <w:color w:val="222222"/>
          <w:kern w:val="0"/>
          <w:sz w:val="32"/>
          <w:szCs w:val="32"/>
          <w:lang w:eastAsia="zh-CN"/>
        </w:rPr>
        <w:t>经济效益</w:t>
      </w:r>
    </w:p>
    <w:p>
      <w:pPr>
        <w:widowControl/>
        <w:numPr>
          <w:ilvl w:val="0"/>
          <w:numId w:val="0"/>
        </w:numPr>
        <w:autoSpaceDE w:val="0"/>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 xml:space="preserve">   根据湘发改价费（2016）716号文件标准，全年完成非税收入473万元，并及时缴存国库。</w:t>
      </w:r>
      <w:bookmarkStart w:id="0" w:name="_GoBack"/>
      <w:bookmarkEnd w:id="0"/>
    </w:p>
    <w:p>
      <w:pPr>
        <w:widowControl/>
        <w:numPr>
          <w:ilvl w:val="0"/>
          <w:numId w:val="0"/>
        </w:numPr>
        <w:ind w:leftChars="200" w:firstLine="320" w:firstLineChars="100"/>
        <w:rPr>
          <w:rFonts w:hint="eastAsia" w:ascii="黑体" w:hAnsi="黑体" w:eastAsia="黑体" w:cs="黑体"/>
          <w:color w:val="222222"/>
          <w:kern w:val="0"/>
          <w:sz w:val="32"/>
          <w:szCs w:val="32"/>
        </w:rPr>
      </w:pPr>
      <w:r>
        <w:rPr>
          <w:rFonts w:hint="eastAsia" w:ascii="黑体" w:hAnsi="黑体" w:eastAsia="黑体" w:cs="黑体"/>
          <w:color w:val="000000"/>
          <w:sz w:val="32"/>
          <w:szCs w:val="32"/>
          <w:lang w:eastAsia="zh-CN"/>
        </w:rPr>
        <w:t>七、</w:t>
      </w:r>
      <w:r>
        <w:rPr>
          <w:rFonts w:hint="eastAsia" w:ascii="黑体" w:hAnsi="黑体" w:eastAsia="黑体" w:cs="黑体"/>
          <w:color w:val="222222"/>
          <w:kern w:val="0"/>
          <w:sz w:val="32"/>
          <w:szCs w:val="32"/>
        </w:rPr>
        <w:t>存在的主要问题</w:t>
      </w:r>
    </w:p>
    <w:p>
      <w:pPr>
        <w:spacing w:line="600" w:lineRule="exact"/>
        <w:ind w:firstLine="640" w:firstLineChars="200"/>
        <w:rPr>
          <w:rFonts w:eastAsia="仿宋_GB2312"/>
          <w:sz w:val="32"/>
          <w:szCs w:val="32"/>
        </w:rPr>
      </w:pPr>
      <w:r>
        <w:rPr>
          <w:rFonts w:hint="eastAsia" w:eastAsia="仿宋_GB2312"/>
          <w:sz w:val="32"/>
          <w:szCs w:val="32"/>
          <w:lang w:val="en-US" w:eastAsia="zh-CN"/>
        </w:rPr>
        <w:t>1</w:t>
      </w:r>
      <w:r>
        <w:rPr>
          <w:rFonts w:hint="eastAsia" w:eastAsia="仿宋_GB2312"/>
          <w:sz w:val="32"/>
          <w:szCs w:val="32"/>
        </w:rPr>
        <w:t>、考核机制还需不断完善。</w:t>
      </w:r>
    </w:p>
    <w:p>
      <w:pPr>
        <w:spacing w:line="600" w:lineRule="exact"/>
        <w:ind w:firstLine="630"/>
        <w:rPr>
          <w:rFonts w:eastAsia="仿宋_GB2312"/>
          <w:sz w:val="32"/>
          <w:szCs w:val="32"/>
        </w:rPr>
      </w:pPr>
      <w:r>
        <w:rPr>
          <w:rFonts w:hint="eastAsia" w:eastAsia="仿宋_GB2312"/>
          <w:sz w:val="32"/>
          <w:szCs w:val="32"/>
          <w:lang w:val="en-US" w:eastAsia="zh-CN"/>
        </w:rPr>
        <w:t>2</w:t>
      </w:r>
      <w:r>
        <w:rPr>
          <w:rFonts w:hint="eastAsia" w:eastAsia="仿宋_GB2312"/>
          <w:sz w:val="32"/>
          <w:szCs w:val="32"/>
        </w:rPr>
        <w:t>、市民卫生意识欠缺：自两家清洁公司接管“三清”工作以来，他们通过增加人员、作业工具、机扫合一等方式加大工作力度，让我县城区环境卫生得到明显改观，但是市民卫生意识低，破坏环卫设施，纸屑、果皮等随意丢弃，经常出现工作人员前面扫，后面丢的现象，影响了城区卫生，阻碍了环卫“三清”市场化的发展。</w:t>
      </w:r>
    </w:p>
    <w:p>
      <w:pPr>
        <w:widowControl/>
        <w:numPr>
          <w:ilvl w:val="0"/>
          <w:numId w:val="0"/>
        </w:numPr>
        <w:ind w:leftChars="200"/>
        <w:rPr>
          <w:rFonts w:hint="eastAsia" w:ascii="黑体" w:hAnsi="黑体" w:eastAsia="黑体" w:cs="黑体"/>
          <w:color w:val="222222"/>
          <w:kern w:val="0"/>
          <w:sz w:val="32"/>
          <w:szCs w:val="32"/>
        </w:rPr>
      </w:pPr>
    </w:p>
    <w:p>
      <w:pPr>
        <w:widowControl/>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八、有关建议</w:t>
      </w:r>
    </w:p>
    <w:p>
      <w:pPr>
        <w:ind w:firstLine="640" w:firstLineChars="200"/>
        <w:rPr>
          <w:rFonts w:eastAsia="仿宋_GB2312"/>
          <w:sz w:val="32"/>
          <w:szCs w:val="32"/>
        </w:rPr>
      </w:pPr>
      <w:r>
        <w:rPr>
          <w:rFonts w:hint="eastAsia" w:eastAsia="仿宋_GB2312"/>
          <w:sz w:val="32"/>
          <w:szCs w:val="32"/>
          <w:lang w:val="en-US" w:eastAsia="zh-CN"/>
        </w:rPr>
        <w:t>1</w:t>
      </w:r>
      <w:r>
        <w:rPr>
          <w:rFonts w:hint="eastAsia" w:eastAsia="仿宋_GB2312"/>
          <w:sz w:val="32"/>
          <w:szCs w:val="32"/>
        </w:rPr>
        <w:t>、完善考核机制：完善考评制度，结合澧县实际情况，总结经验，逐步完善考评细则。</w:t>
      </w:r>
    </w:p>
    <w:p>
      <w:pPr>
        <w:ind w:firstLine="640" w:firstLineChars="200"/>
        <w:rPr>
          <w:rFonts w:eastAsia="仿宋_GB2312"/>
          <w:sz w:val="32"/>
          <w:szCs w:val="32"/>
        </w:rPr>
      </w:pPr>
      <w:r>
        <w:rPr>
          <w:rFonts w:hint="eastAsia" w:eastAsia="仿宋_GB2312"/>
          <w:sz w:val="32"/>
          <w:szCs w:val="32"/>
          <w:lang w:val="en-US" w:eastAsia="zh-CN"/>
        </w:rPr>
        <w:t>2</w:t>
      </w:r>
      <w:r>
        <w:rPr>
          <w:rFonts w:hint="eastAsia" w:eastAsia="仿宋_GB2312"/>
          <w:sz w:val="32"/>
          <w:szCs w:val="32"/>
        </w:rPr>
        <w:t>、加大宣传力度：一是部门联合。环境卫生不是靠一个部门就能做好的，要靠各部门联合形成整体合力，共同参与，才能得到整体提高；二是多方宣传。创建文明卫生城市同时也要市民的支持与参与，这就需要从电视、流动宣传车、宣传栏等渠道加大宣传，把卫生意识传播到各个市民心中，做到人人知晓，多组织卫生创建活动，做到人人参与。</w:t>
      </w:r>
    </w:p>
    <w:p>
      <w:pPr>
        <w:widowControl/>
        <w:ind w:firstLine="640" w:firstLineChars="200"/>
        <w:rPr>
          <w:rFonts w:hint="eastAsia" w:ascii="黑体" w:hAnsi="黑体" w:eastAsia="黑体" w:cs="黑体"/>
          <w:color w:val="000000"/>
          <w:sz w:val="32"/>
          <w:szCs w:val="32"/>
        </w:rPr>
      </w:pPr>
    </w:p>
    <w:p>
      <w:pPr>
        <w:widowControl/>
        <w:jc w:val="left"/>
        <w:rPr>
          <w:rFonts w:ascii="Times New Roman" w:hAnsi="Times New Roman" w:eastAsia="仿宋_GB2312"/>
          <w:color w:val="000000"/>
          <w:sz w:val="32"/>
          <w:szCs w:val="32"/>
        </w:rPr>
      </w:pPr>
    </w:p>
    <w:p>
      <w:pPr>
        <w:widowControl/>
        <w:jc w:val="left"/>
        <w:rPr>
          <w:rFonts w:ascii="Times New Roman" w:hAnsi="Times New Roman" w:eastAsia="黑体"/>
          <w:color w:val="000000"/>
          <w:sz w:val="32"/>
          <w:szCs w:val="32"/>
        </w:rPr>
      </w:pPr>
    </w:p>
    <w:p>
      <w:pPr>
        <w:widowControl/>
        <w:jc w:val="left"/>
        <w:rPr>
          <w:rFonts w:ascii="Times New Roman" w:hAnsi="Times New Roman" w:eastAsia="黑体"/>
          <w:color w:val="000000"/>
          <w:sz w:val="32"/>
          <w:szCs w:val="32"/>
        </w:rPr>
      </w:pPr>
    </w:p>
    <w:p>
      <w:pPr>
        <w:widowControl/>
        <w:spacing w:line="560" w:lineRule="exact"/>
        <w:rPr>
          <w:rFonts w:ascii="Times New Roman" w:hAnsi="Times New Roman" w:eastAsia="黑体"/>
          <w:color w:val="000000"/>
          <w:sz w:val="32"/>
          <w:szCs w:val="32"/>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5</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45454"/>
    <w:multiLevelType w:val="singleLevel"/>
    <w:tmpl w:val="02045454"/>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4AB"/>
    <w:rsid w:val="0000298E"/>
    <w:rsid w:val="00002AE4"/>
    <w:rsid w:val="00031747"/>
    <w:rsid w:val="0003456A"/>
    <w:rsid w:val="00037035"/>
    <w:rsid w:val="000469BA"/>
    <w:rsid w:val="000516DC"/>
    <w:rsid w:val="00053F71"/>
    <w:rsid w:val="000552F3"/>
    <w:rsid w:val="00070B5F"/>
    <w:rsid w:val="00074239"/>
    <w:rsid w:val="000747B8"/>
    <w:rsid w:val="00075715"/>
    <w:rsid w:val="00083406"/>
    <w:rsid w:val="00085A99"/>
    <w:rsid w:val="00087EA5"/>
    <w:rsid w:val="00091B80"/>
    <w:rsid w:val="00092609"/>
    <w:rsid w:val="000A6E3A"/>
    <w:rsid w:val="000B1FC2"/>
    <w:rsid w:val="000D6179"/>
    <w:rsid w:val="000E240C"/>
    <w:rsid w:val="000F21D6"/>
    <w:rsid w:val="000F61BE"/>
    <w:rsid w:val="000F73AE"/>
    <w:rsid w:val="001062E8"/>
    <w:rsid w:val="00112EB7"/>
    <w:rsid w:val="00114AFB"/>
    <w:rsid w:val="001167EB"/>
    <w:rsid w:val="00121B82"/>
    <w:rsid w:val="00122D73"/>
    <w:rsid w:val="00126F08"/>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D6D4A"/>
    <w:rsid w:val="002E1DF4"/>
    <w:rsid w:val="002F764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45F8"/>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948B2"/>
    <w:rsid w:val="00496F6D"/>
    <w:rsid w:val="004A0757"/>
    <w:rsid w:val="004B09F8"/>
    <w:rsid w:val="004B4B8D"/>
    <w:rsid w:val="004C2AEE"/>
    <w:rsid w:val="004D5F90"/>
    <w:rsid w:val="004E1AF5"/>
    <w:rsid w:val="004E2593"/>
    <w:rsid w:val="004E394D"/>
    <w:rsid w:val="004E6E44"/>
    <w:rsid w:val="004F40BB"/>
    <w:rsid w:val="004F4E0C"/>
    <w:rsid w:val="004F53C1"/>
    <w:rsid w:val="00505F55"/>
    <w:rsid w:val="00507BC7"/>
    <w:rsid w:val="00510B86"/>
    <w:rsid w:val="00536A21"/>
    <w:rsid w:val="005377C3"/>
    <w:rsid w:val="005438D0"/>
    <w:rsid w:val="0054486C"/>
    <w:rsid w:val="005473E0"/>
    <w:rsid w:val="0055022D"/>
    <w:rsid w:val="00550C9A"/>
    <w:rsid w:val="00553BA4"/>
    <w:rsid w:val="0057789D"/>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C6956"/>
    <w:rsid w:val="006D0B0B"/>
    <w:rsid w:val="006D0B89"/>
    <w:rsid w:val="006E4E54"/>
    <w:rsid w:val="006F1419"/>
    <w:rsid w:val="00700CD4"/>
    <w:rsid w:val="00701DF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32102"/>
    <w:rsid w:val="00833FA8"/>
    <w:rsid w:val="0084564C"/>
    <w:rsid w:val="00851F1E"/>
    <w:rsid w:val="008662AB"/>
    <w:rsid w:val="00867DE4"/>
    <w:rsid w:val="00885497"/>
    <w:rsid w:val="008862A7"/>
    <w:rsid w:val="00892869"/>
    <w:rsid w:val="008B03AA"/>
    <w:rsid w:val="008B1FF5"/>
    <w:rsid w:val="008B33CC"/>
    <w:rsid w:val="008B3530"/>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E777B"/>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2E9A"/>
    <w:rsid w:val="00BF20DB"/>
    <w:rsid w:val="00BF73DD"/>
    <w:rsid w:val="00C0088E"/>
    <w:rsid w:val="00C02189"/>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324A"/>
    <w:rsid w:val="00F033A8"/>
    <w:rsid w:val="00F07FD8"/>
    <w:rsid w:val="00F15C5B"/>
    <w:rsid w:val="00F204D5"/>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7D94159"/>
    <w:rsid w:val="0B5B5A73"/>
    <w:rsid w:val="10887723"/>
    <w:rsid w:val="1702209E"/>
    <w:rsid w:val="17203872"/>
    <w:rsid w:val="17833EA7"/>
    <w:rsid w:val="20C51591"/>
    <w:rsid w:val="275F4019"/>
    <w:rsid w:val="2A1A7652"/>
    <w:rsid w:val="31A94FCC"/>
    <w:rsid w:val="38937963"/>
    <w:rsid w:val="41AF40CB"/>
    <w:rsid w:val="48005C88"/>
    <w:rsid w:val="4C012D08"/>
    <w:rsid w:val="4E7612F1"/>
    <w:rsid w:val="4F37699B"/>
    <w:rsid w:val="510B4E0A"/>
    <w:rsid w:val="57E714CD"/>
    <w:rsid w:val="58D257F0"/>
    <w:rsid w:val="608443A3"/>
    <w:rsid w:val="64082157"/>
    <w:rsid w:val="76D927E7"/>
    <w:rsid w:val="78BB6129"/>
    <w:rsid w:val="7978499E"/>
    <w:rsid w:val="7B526280"/>
    <w:rsid w:val="7F827A8B"/>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qFormat="1" w:unhideWhenUsed="0" w:uiPriority="99" w:name="HTML Address"/>
    <w:lsdException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qFormat/>
    <w:locked/>
    <w:uiPriority w:val="99"/>
    <w:rPr>
      <w:rFonts w:ascii="宋体" w:hAnsi="宋体" w:eastAsia="宋体" w:cs="宋体"/>
      <w:kern w:val="0"/>
      <w:sz w:val="36"/>
      <w:szCs w:val="36"/>
    </w:rPr>
  </w:style>
  <w:style w:type="character" w:customStyle="1" w:styleId="21">
    <w:name w:val="标题 3 Char"/>
    <w:basedOn w:val="13"/>
    <w:link w:val="4"/>
    <w:qFormat/>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qFormat/>
    <w:locked/>
    <w:uiPriority w:val="99"/>
    <w:rPr>
      <w:rFonts w:ascii="宋体" w:hAnsi="宋体" w:eastAsia="宋体" w:cs="宋体"/>
      <w:kern w:val="0"/>
      <w:sz w:val="20"/>
      <w:szCs w:val="20"/>
    </w:rPr>
  </w:style>
  <w:style w:type="character" w:customStyle="1" w:styleId="24">
    <w:name w:val="标题 6 Char"/>
    <w:basedOn w:val="13"/>
    <w:link w:val="7"/>
    <w:qFormat/>
    <w:locked/>
    <w:uiPriority w:val="99"/>
    <w:rPr>
      <w:rFonts w:ascii="宋体" w:hAnsi="宋体" w:eastAsia="宋体" w:cs="宋体"/>
      <w:kern w:val="0"/>
      <w:sz w:val="15"/>
      <w:szCs w:val="15"/>
    </w:rPr>
  </w:style>
  <w:style w:type="character" w:customStyle="1" w:styleId="25">
    <w:name w:val="HTML 地址 Char"/>
    <w:basedOn w:val="13"/>
    <w:link w:val="8"/>
    <w:semiHidden/>
    <w:qFormat/>
    <w:locked/>
    <w:uiPriority w:val="99"/>
    <w:rPr>
      <w:rFonts w:ascii="宋体" w:hAnsi="宋体" w:eastAsia="宋体" w:cs="宋体"/>
      <w:kern w:val="0"/>
      <w:sz w:val="24"/>
      <w:szCs w:val="24"/>
    </w:rPr>
  </w:style>
  <w:style w:type="paragraph" w:customStyle="1" w:styleId="26">
    <w:name w:val="fb"/>
    <w:basedOn w:val="1"/>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dat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uiPriority w:val="99"/>
    <w:rPr>
      <w:rFonts w:cs="Times New Roman"/>
    </w:rPr>
  </w:style>
  <w:style w:type="paragraph" w:customStyle="1" w:styleId="103">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uiPriority w:val="99"/>
    <w:pPr>
      <w:widowControl/>
      <w:spacing w:line="660" w:lineRule="atLeast"/>
      <w:jc w:val="left"/>
    </w:pPr>
    <w:rPr>
      <w:rFonts w:ascii="宋体" w:hAnsi="宋体" w:cs="宋体"/>
      <w:kern w:val="0"/>
      <w:sz w:val="24"/>
      <w:szCs w:val="24"/>
    </w:rPr>
  </w:style>
  <w:style w:type="paragraph" w:customStyle="1" w:styleId="106">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uiPriority w:val="99"/>
    <w:pPr>
      <w:widowControl/>
      <w:jc w:val="left"/>
    </w:pPr>
    <w:rPr>
      <w:rFonts w:ascii="宋体" w:hAnsi="宋体" w:cs="宋体"/>
      <w:kern w:val="0"/>
      <w:sz w:val="24"/>
      <w:szCs w:val="24"/>
    </w:rPr>
  </w:style>
  <w:style w:type="paragraph" w:customStyle="1" w:styleId="117">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uiPriority w:val="99"/>
    <w:rPr>
      <w:rFonts w:cs="Times New Roman"/>
      <w:shd w:val="clear" w:color="auto" w:fill="auto"/>
    </w:rPr>
  </w:style>
  <w:style w:type="paragraph" w:customStyle="1" w:styleId="120">
    <w:name w:val="tipscontrol-btn1"/>
    <w:basedOn w:val="1"/>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locked/>
    <w:uiPriority w:val="99"/>
    <w:rPr>
      <w:rFonts w:cs="Times New Roman"/>
      <w:sz w:val="18"/>
      <w:szCs w:val="18"/>
    </w:rPr>
  </w:style>
  <w:style w:type="character" w:customStyle="1" w:styleId="124">
    <w:name w:val="页脚 Char"/>
    <w:basedOn w:val="13"/>
    <w:link w:val="9"/>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394</Words>
  <Characters>2246</Characters>
  <Lines>18</Lines>
  <Paragraphs>5</Paragraphs>
  <TotalTime>4</TotalTime>
  <ScaleCrop>false</ScaleCrop>
  <LinksUpToDate>false</LinksUpToDate>
  <CharactersWithSpaces>2635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雨过天晴</cp:lastModifiedBy>
  <cp:lastPrinted>2018-04-16T00:45:00Z</cp:lastPrinted>
  <dcterms:modified xsi:type="dcterms:W3CDTF">2021-08-11T07:28:22Z</dcterms:modified>
  <dc:title>2014年度常德市社会劳动保险处</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767EF751C3D34BB8A73A8166BBB48E5B</vt:lpwstr>
  </property>
</Properties>
</file>