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附件8：</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lang w:eastAsia="zh-CN"/>
        </w:rPr>
        <w:t>澧县林业科技推广中心部门</w:t>
      </w:r>
      <w:r>
        <w:rPr>
          <w:rFonts w:ascii="Times New Roman" w:hAnsi="Times New Roman" w:eastAsiaTheme="majorEastAsia"/>
          <w:b/>
          <w:kern w:val="0"/>
          <w:sz w:val="44"/>
          <w:szCs w:val="44"/>
        </w:rPr>
        <w:t>整体支出绩效报告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widowControl/>
        <w:ind w:firstLine="960" w:firstLineChars="300"/>
        <w:rPr>
          <w:rFonts w:ascii="Times New Roman" w:hAnsi="Times New Roman" w:eastAsia="仿宋_GB2312"/>
          <w:color w:val="222222"/>
          <w:kern w:val="0"/>
          <w:sz w:val="32"/>
          <w:szCs w:val="32"/>
        </w:rPr>
      </w:pPr>
      <w:r>
        <w:rPr>
          <w:rFonts w:hint="eastAsia" w:ascii="仿宋_GB2312" w:hAnsi="仿宋" w:eastAsia="仿宋_GB2312"/>
          <w:sz w:val="32"/>
          <w:szCs w:val="32"/>
        </w:rPr>
        <w:t>本单位截止20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年底现有在职人员1</w:t>
      </w:r>
      <w:r>
        <w:rPr>
          <w:rFonts w:hint="eastAsia" w:ascii="仿宋_GB2312" w:hAnsi="仿宋" w:eastAsia="仿宋_GB2312"/>
          <w:sz w:val="32"/>
          <w:szCs w:val="32"/>
          <w:lang w:val="en-US" w:eastAsia="zh-CN"/>
        </w:rPr>
        <w:t>5</w:t>
      </w:r>
      <w:r>
        <w:rPr>
          <w:rFonts w:hint="eastAsia" w:ascii="仿宋_GB2312" w:hAnsi="仿宋" w:eastAsia="仿宋_GB2312"/>
          <w:sz w:val="32"/>
          <w:szCs w:val="32"/>
        </w:rPr>
        <w:t>人，退休人员8人。无其它内设机构。</w:t>
      </w: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单位主要职责</w:t>
      </w:r>
    </w:p>
    <w:p>
      <w:pPr>
        <w:widowControl/>
        <w:ind w:firstLine="960" w:firstLineChars="300"/>
        <w:rPr>
          <w:rFonts w:ascii="Times New Roman" w:hAnsi="Times New Roman" w:eastAsia="仿宋_GB2312"/>
          <w:color w:val="222222"/>
          <w:kern w:val="0"/>
          <w:sz w:val="32"/>
          <w:szCs w:val="32"/>
        </w:rPr>
      </w:pPr>
      <w:r>
        <w:rPr>
          <w:rFonts w:hint="eastAsia" w:ascii="仿宋_GB2312" w:hAnsi="仿宋" w:eastAsia="仿宋_GB2312"/>
          <w:sz w:val="32"/>
          <w:szCs w:val="32"/>
        </w:rPr>
        <w:t>本单位的主要职能是在全县推广和应用先进林业生产技术。</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（一）部门整体支出情况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2020</w:t>
      </w:r>
      <w:r>
        <w:rPr>
          <w:rFonts w:hint="eastAsia" w:ascii="Times New Roman" w:hAnsi="Times New Roman" w:eastAsia="仿宋_GB2312"/>
          <w:color w:val="222222"/>
          <w:kern w:val="0"/>
          <w:sz w:val="32"/>
          <w:szCs w:val="32"/>
        </w:rPr>
        <w:t>年度</w:t>
      </w:r>
      <w:r>
        <w:rPr>
          <w:rFonts w:hint="eastAsia" w:ascii="Times New Roman" w:hAnsi="Times New Roman" w:eastAsia="仿宋_GB2312"/>
          <w:color w:val="222222"/>
          <w:kern w:val="0"/>
          <w:sz w:val="32"/>
          <w:szCs w:val="32"/>
          <w:lang w:eastAsia="zh-CN"/>
        </w:rPr>
        <w:t>一般公共预算</w:t>
      </w:r>
      <w:r>
        <w:rPr>
          <w:rFonts w:hint="eastAsia" w:ascii="Times New Roman" w:hAnsi="Times New Roman" w:eastAsia="仿宋_GB2312"/>
          <w:color w:val="222222"/>
          <w:kern w:val="0"/>
          <w:sz w:val="32"/>
          <w:szCs w:val="32"/>
        </w:rPr>
        <w:t>财政拨款支出</w:t>
      </w:r>
      <w:r>
        <w:rPr>
          <w:rFonts w:hint="eastAsia" w:ascii="Times New Roman" w:hAnsi="Times New Roman" w:eastAsia="仿宋_GB2312"/>
          <w:color w:val="222222"/>
          <w:kern w:val="0"/>
          <w:sz w:val="32"/>
          <w:szCs w:val="32"/>
          <w:lang w:val="en-US" w:eastAsia="zh-CN"/>
        </w:rPr>
        <w:t>150.57</w:t>
      </w:r>
      <w:r>
        <w:rPr>
          <w:rFonts w:hint="eastAsia" w:ascii="Times New Roman" w:hAnsi="Times New Roman" w:eastAsia="仿宋_GB2312"/>
          <w:color w:val="222222"/>
          <w:kern w:val="0"/>
          <w:sz w:val="32"/>
          <w:szCs w:val="32"/>
        </w:rPr>
        <w:t>万元，主要用于以下方面：</w:t>
      </w:r>
      <w:r>
        <w:rPr>
          <w:rFonts w:hint="eastAsia" w:ascii="Times New Roman" w:hAnsi="Times New Roman" w:eastAsia="仿宋_GB2312"/>
          <w:color w:val="222222"/>
          <w:kern w:val="0"/>
          <w:sz w:val="32"/>
          <w:szCs w:val="32"/>
          <w:lang w:eastAsia="zh-CN"/>
        </w:rPr>
        <w:t>社会保障和就业</w:t>
      </w:r>
      <w:r>
        <w:rPr>
          <w:rFonts w:hint="eastAsia" w:ascii="Times New Roman" w:hAnsi="Times New Roman" w:eastAsia="仿宋_GB2312"/>
          <w:color w:val="222222"/>
          <w:kern w:val="0"/>
          <w:sz w:val="32"/>
          <w:szCs w:val="32"/>
        </w:rPr>
        <w:t>（类）支出</w:t>
      </w:r>
      <w:r>
        <w:rPr>
          <w:rFonts w:hint="eastAsia" w:ascii="Times New Roman" w:hAnsi="Times New Roman" w:eastAsia="仿宋_GB2312"/>
          <w:color w:val="222222"/>
          <w:kern w:val="0"/>
          <w:sz w:val="32"/>
          <w:szCs w:val="32"/>
          <w:lang w:val="en-US" w:eastAsia="zh-CN"/>
        </w:rPr>
        <w:t>14.23</w:t>
      </w:r>
      <w:r>
        <w:rPr>
          <w:rFonts w:hint="eastAsia" w:ascii="Times New Roman" w:hAnsi="Times New Roman" w:eastAsia="仿宋_GB2312"/>
          <w:color w:val="222222"/>
          <w:kern w:val="0"/>
          <w:sz w:val="32"/>
          <w:szCs w:val="32"/>
        </w:rPr>
        <w:t>万元，占</w:t>
      </w:r>
      <w:r>
        <w:rPr>
          <w:rFonts w:hint="eastAsia" w:ascii="Times New Roman" w:hAnsi="Times New Roman" w:eastAsia="仿宋_GB2312"/>
          <w:color w:val="222222"/>
          <w:kern w:val="0"/>
          <w:sz w:val="32"/>
          <w:szCs w:val="32"/>
          <w:lang w:val="en-US" w:eastAsia="zh-CN"/>
        </w:rPr>
        <w:t>9.44</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卫生健康</w:t>
      </w:r>
      <w:r>
        <w:rPr>
          <w:rFonts w:hint="eastAsia" w:ascii="Times New Roman" w:hAnsi="Times New Roman" w:eastAsia="仿宋_GB2312"/>
          <w:color w:val="222222"/>
          <w:kern w:val="0"/>
          <w:sz w:val="32"/>
          <w:szCs w:val="32"/>
        </w:rPr>
        <w:t>（类）支出</w:t>
      </w:r>
      <w:r>
        <w:rPr>
          <w:rFonts w:hint="eastAsia" w:ascii="Times New Roman" w:hAnsi="Times New Roman" w:eastAsia="仿宋_GB2312"/>
          <w:color w:val="222222"/>
          <w:kern w:val="0"/>
          <w:sz w:val="32"/>
          <w:szCs w:val="32"/>
          <w:lang w:val="en-US" w:eastAsia="zh-CN"/>
        </w:rPr>
        <w:t>5.91</w:t>
      </w:r>
      <w:r>
        <w:rPr>
          <w:rFonts w:hint="eastAsia" w:ascii="Times New Roman" w:hAnsi="Times New Roman" w:eastAsia="仿宋_GB2312"/>
          <w:color w:val="222222"/>
          <w:kern w:val="0"/>
          <w:sz w:val="32"/>
          <w:szCs w:val="32"/>
        </w:rPr>
        <w:t>万元，占</w:t>
      </w:r>
      <w:r>
        <w:rPr>
          <w:rFonts w:hint="eastAsia" w:ascii="Times New Roman" w:hAnsi="Times New Roman" w:eastAsia="仿宋_GB2312"/>
          <w:color w:val="222222"/>
          <w:kern w:val="0"/>
          <w:sz w:val="32"/>
          <w:szCs w:val="32"/>
          <w:lang w:val="en-US" w:eastAsia="zh-CN"/>
        </w:rPr>
        <w:t>3.93</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农林水</w:t>
      </w:r>
      <w:r>
        <w:rPr>
          <w:rFonts w:hint="eastAsia" w:ascii="Times New Roman" w:hAnsi="Times New Roman" w:eastAsia="仿宋_GB2312"/>
          <w:color w:val="222222"/>
          <w:kern w:val="0"/>
          <w:sz w:val="32"/>
          <w:szCs w:val="32"/>
        </w:rPr>
        <w:t>（类）支出</w:t>
      </w:r>
      <w:r>
        <w:rPr>
          <w:rFonts w:hint="eastAsia" w:ascii="Times New Roman" w:hAnsi="Times New Roman" w:eastAsia="仿宋_GB2312"/>
          <w:color w:val="222222"/>
          <w:kern w:val="0"/>
          <w:sz w:val="32"/>
          <w:szCs w:val="32"/>
          <w:lang w:val="en-US" w:eastAsia="zh-CN"/>
        </w:rPr>
        <w:t>116.41</w:t>
      </w:r>
      <w:r>
        <w:rPr>
          <w:rFonts w:hint="eastAsia" w:ascii="Times New Roman" w:hAnsi="Times New Roman" w:eastAsia="仿宋_GB2312"/>
          <w:color w:val="222222"/>
          <w:kern w:val="0"/>
          <w:sz w:val="32"/>
          <w:szCs w:val="32"/>
        </w:rPr>
        <w:t>万元，占</w:t>
      </w:r>
      <w:r>
        <w:rPr>
          <w:rFonts w:hint="eastAsia" w:ascii="Times New Roman" w:hAnsi="Times New Roman" w:eastAsia="仿宋_GB2312"/>
          <w:color w:val="222222"/>
          <w:kern w:val="0"/>
          <w:sz w:val="32"/>
          <w:szCs w:val="32"/>
          <w:lang w:val="en-US" w:eastAsia="zh-CN"/>
        </w:rPr>
        <w:t>77.31</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住房保障</w:t>
      </w:r>
      <w:r>
        <w:rPr>
          <w:rFonts w:hint="eastAsia" w:ascii="Times New Roman" w:hAnsi="Times New Roman" w:eastAsia="仿宋_GB2312"/>
          <w:color w:val="222222"/>
          <w:kern w:val="0"/>
          <w:sz w:val="32"/>
          <w:szCs w:val="32"/>
        </w:rPr>
        <w:t>（类）支出</w:t>
      </w:r>
      <w:r>
        <w:rPr>
          <w:rFonts w:hint="eastAsia" w:ascii="Times New Roman" w:hAnsi="Times New Roman" w:eastAsia="仿宋_GB2312"/>
          <w:color w:val="222222"/>
          <w:kern w:val="0"/>
          <w:sz w:val="32"/>
          <w:szCs w:val="32"/>
          <w:lang w:val="en-US" w:eastAsia="zh-CN"/>
        </w:rPr>
        <w:t>10.68</w:t>
      </w:r>
      <w:r>
        <w:rPr>
          <w:rFonts w:hint="eastAsia" w:ascii="Times New Roman" w:hAnsi="Times New Roman" w:eastAsia="仿宋_GB2312"/>
          <w:color w:val="222222"/>
          <w:kern w:val="0"/>
          <w:sz w:val="32"/>
          <w:szCs w:val="32"/>
        </w:rPr>
        <w:t>万元，占</w:t>
      </w:r>
      <w:r>
        <w:rPr>
          <w:rFonts w:hint="eastAsia" w:ascii="Times New Roman" w:hAnsi="Times New Roman" w:eastAsia="仿宋_GB2312"/>
          <w:color w:val="222222"/>
          <w:kern w:val="0"/>
          <w:sz w:val="32"/>
          <w:szCs w:val="32"/>
          <w:lang w:val="en-US" w:eastAsia="zh-CN"/>
        </w:rPr>
        <w:t>7.1</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其他</w:t>
      </w:r>
      <w:r>
        <w:rPr>
          <w:rFonts w:hint="eastAsia" w:ascii="Times New Roman" w:hAnsi="Times New Roman" w:eastAsia="仿宋_GB2312"/>
          <w:color w:val="222222"/>
          <w:kern w:val="0"/>
          <w:sz w:val="32"/>
          <w:szCs w:val="32"/>
        </w:rPr>
        <w:t>（类）支出</w:t>
      </w:r>
      <w:r>
        <w:rPr>
          <w:rFonts w:hint="eastAsia" w:ascii="Times New Roman" w:hAnsi="Times New Roman" w:eastAsia="仿宋_GB2312"/>
          <w:color w:val="222222"/>
          <w:kern w:val="0"/>
          <w:sz w:val="32"/>
          <w:szCs w:val="32"/>
          <w:lang w:val="en-US" w:eastAsia="zh-CN"/>
        </w:rPr>
        <w:t>3.34</w:t>
      </w:r>
      <w:r>
        <w:rPr>
          <w:rFonts w:hint="eastAsia" w:ascii="Times New Roman" w:hAnsi="Times New Roman" w:eastAsia="仿宋_GB2312"/>
          <w:color w:val="222222"/>
          <w:kern w:val="0"/>
          <w:sz w:val="32"/>
          <w:szCs w:val="32"/>
        </w:rPr>
        <w:t>万元，占</w:t>
      </w:r>
      <w:r>
        <w:rPr>
          <w:rFonts w:hint="eastAsia" w:ascii="Times New Roman" w:hAnsi="Times New Roman" w:eastAsia="仿宋_GB2312"/>
          <w:color w:val="222222"/>
          <w:kern w:val="0"/>
          <w:sz w:val="32"/>
          <w:szCs w:val="32"/>
          <w:lang w:val="en-US" w:eastAsia="zh-CN"/>
        </w:rPr>
        <w:t>2.22</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（二）部门预算收支决算情况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本单位20</w:t>
      </w:r>
      <w:r>
        <w:rPr>
          <w:rFonts w:hint="eastAsia" w:ascii="Times New Roman" w:hAnsi="Times New Roman" w:eastAsia="仿宋_GB2312"/>
          <w:color w:val="222222"/>
          <w:kern w:val="0"/>
          <w:sz w:val="32"/>
          <w:szCs w:val="32"/>
          <w:lang w:val="en-US" w:eastAsia="zh-CN"/>
        </w:rPr>
        <w:t>20</w:t>
      </w:r>
      <w:r>
        <w:rPr>
          <w:rFonts w:hint="eastAsia" w:ascii="Times New Roman" w:hAnsi="Times New Roman" w:eastAsia="仿宋_GB2312"/>
          <w:color w:val="222222"/>
          <w:kern w:val="0"/>
          <w:sz w:val="32"/>
          <w:szCs w:val="32"/>
        </w:rPr>
        <w:t>年</w:t>
      </w:r>
      <w:r>
        <w:rPr>
          <w:rFonts w:hint="eastAsia" w:ascii="仿宋_GB2312" w:eastAsia="仿宋_GB2312" w:cs="宋体"/>
          <w:color w:val="000000"/>
          <w:kern w:val="0"/>
          <w:sz w:val="28"/>
          <w:szCs w:val="28"/>
        </w:rPr>
        <w:t>预算收入</w:t>
      </w:r>
      <w:r>
        <w:rPr>
          <w:rFonts w:hint="eastAsia" w:ascii="仿宋_GB2312" w:eastAsia="仿宋_GB2312" w:cs="宋体"/>
          <w:color w:val="000000"/>
          <w:kern w:val="0"/>
          <w:sz w:val="28"/>
          <w:szCs w:val="28"/>
          <w:lang w:val="en-US" w:eastAsia="zh-CN"/>
        </w:rPr>
        <w:t>176.81</w:t>
      </w:r>
      <w:r>
        <w:rPr>
          <w:rFonts w:hint="eastAsia" w:ascii="仿宋_GB2312" w:eastAsia="仿宋_GB2312" w:cs="宋体"/>
          <w:color w:val="000000"/>
          <w:kern w:val="0"/>
          <w:sz w:val="28"/>
          <w:szCs w:val="28"/>
        </w:rPr>
        <w:t>万元，实现收入</w:t>
      </w:r>
      <w:r>
        <w:rPr>
          <w:rFonts w:hint="eastAsia" w:ascii="仿宋_GB2312" w:eastAsia="仿宋_GB2312" w:cs="宋体"/>
          <w:color w:val="000000"/>
          <w:kern w:val="0"/>
          <w:sz w:val="28"/>
          <w:szCs w:val="28"/>
          <w:lang w:val="en-US" w:eastAsia="zh-CN"/>
        </w:rPr>
        <w:t>150.57</w:t>
      </w:r>
      <w:r>
        <w:rPr>
          <w:rFonts w:hint="eastAsia" w:ascii="仿宋_GB2312" w:eastAsia="仿宋_GB2312" w:cs="宋体"/>
          <w:color w:val="000000"/>
          <w:kern w:val="0"/>
          <w:sz w:val="28"/>
          <w:szCs w:val="28"/>
        </w:rPr>
        <w:t>万元，</w:t>
      </w:r>
      <w:r>
        <w:rPr>
          <w:rFonts w:hint="eastAsia" w:ascii="仿宋_GB2312" w:eastAsia="仿宋_GB2312" w:cs="宋体"/>
          <w:color w:val="000000"/>
          <w:kern w:val="0"/>
          <w:sz w:val="28"/>
          <w:szCs w:val="28"/>
          <w:lang w:eastAsia="zh-CN"/>
        </w:rPr>
        <w:t>减少</w:t>
      </w:r>
      <w:r>
        <w:rPr>
          <w:rFonts w:hint="eastAsia" w:ascii="仿宋_GB2312" w:eastAsia="仿宋_GB2312" w:cs="宋体"/>
          <w:color w:val="000000"/>
          <w:kern w:val="0"/>
          <w:sz w:val="28"/>
          <w:szCs w:val="28"/>
          <w:lang w:val="en-US" w:eastAsia="zh-CN"/>
        </w:rPr>
        <w:t>26.24</w:t>
      </w:r>
      <w:r>
        <w:rPr>
          <w:rFonts w:hint="eastAsia" w:ascii="仿宋_GB2312" w:eastAsia="仿宋_GB2312" w:cs="宋体"/>
          <w:color w:val="000000"/>
          <w:kern w:val="0"/>
          <w:sz w:val="28"/>
          <w:szCs w:val="28"/>
        </w:rPr>
        <w:t>万元，</w:t>
      </w:r>
      <w:r>
        <w:rPr>
          <w:rFonts w:hint="eastAsia" w:ascii="仿宋_GB2312" w:eastAsia="仿宋_GB2312" w:cs="宋体"/>
          <w:color w:val="000000"/>
          <w:kern w:val="0"/>
          <w:sz w:val="28"/>
          <w:szCs w:val="28"/>
          <w:lang w:eastAsia="zh-CN"/>
        </w:rPr>
        <w:t>减少</w:t>
      </w:r>
      <w:r>
        <w:rPr>
          <w:rFonts w:hint="eastAsia" w:ascii="仿宋_GB2312" w:eastAsia="仿宋_GB2312" w:cs="宋体"/>
          <w:color w:val="000000"/>
          <w:kern w:val="0"/>
          <w:sz w:val="28"/>
          <w:szCs w:val="28"/>
          <w:lang w:val="en-US" w:eastAsia="zh-CN"/>
        </w:rPr>
        <w:t>85</w:t>
      </w:r>
      <w:r>
        <w:rPr>
          <w:rFonts w:hint="eastAsia" w:ascii="仿宋_GB2312" w:eastAsia="仿宋_GB2312" w:cs="宋体"/>
          <w:color w:val="000000"/>
          <w:kern w:val="0"/>
          <w:sz w:val="28"/>
          <w:szCs w:val="28"/>
        </w:rPr>
        <w:t>.</w:t>
      </w:r>
      <w:r>
        <w:rPr>
          <w:rFonts w:hint="eastAsia" w:ascii="仿宋_GB2312" w:eastAsia="仿宋_GB2312" w:cs="宋体"/>
          <w:color w:val="000000"/>
          <w:kern w:val="0"/>
          <w:sz w:val="28"/>
          <w:szCs w:val="28"/>
          <w:lang w:val="en-US" w:eastAsia="zh-CN"/>
        </w:rPr>
        <w:t>15%</w:t>
      </w:r>
      <w:r>
        <w:rPr>
          <w:rFonts w:hint="eastAsia" w:ascii="仿宋_GB2312" w:eastAsia="仿宋_GB2312" w:cs="宋体"/>
          <w:color w:val="000000"/>
          <w:kern w:val="0"/>
          <w:sz w:val="28"/>
          <w:szCs w:val="28"/>
        </w:rPr>
        <w:t>，预算支出</w:t>
      </w:r>
      <w:r>
        <w:rPr>
          <w:rFonts w:hint="eastAsia" w:ascii="仿宋_GB2312" w:eastAsia="仿宋_GB2312" w:cs="宋体"/>
          <w:color w:val="000000"/>
          <w:kern w:val="0"/>
          <w:sz w:val="28"/>
          <w:szCs w:val="28"/>
          <w:lang w:val="en-US" w:eastAsia="zh-CN"/>
        </w:rPr>
        <w:t>176.81</w:t>
      </w:r>
      <w:r>
        <w:rPr>
          <w:rFonts w:hint="eastAsia" w:ascii="仿宋_GB2312" w:eastAsia="仿宋_GB2312" w:cs="宋体"/>
          <w:color w:val="000000"/>
          <w:kern w:val="0"/>
          <w:sz w:val="28"/>
          <w:szCs w:val="28"/>
        </w:rPr>
        <w:t>万元，实现支出</w:t>
      </w:r>
      <w:r>
        <w:rPr>
          <w:rFonts w:hint="eastAsia" w:ascii="仿宋_GB2312" w:eastAsia="仿宋_GB2312" w:cs="宋体"/>
          <w:color w:val="000000"/>
          <w:kern w:val="0"/>
          <w:sz w:val="28"/>
          <w:szCs w:val="28"/>
          <w:lang w:val="en-US" w:eastAsia="zh-CN"/>
        </w:rPr>
        <w:t>154.02</w:t>
      </w:r>
      <w:r>
        <w:rPr>
          <w:rFonts w:hint="eastAsia" w:ascii="仿宋_GB2312" w:eastAsia="仿宋_GB2312" w:cs="宋体"/>
          <w:color w:val="000000"/>
          <w:kern w:val="0"/>
          <w:sz w:val="28"/>
          <w:szCs w:val="28"/>
        </w:rPr>
        <w:t>万元，</w:t>
      </w:r>
      <w:r>
        <w:rPr>
          <w:rFonts w:hint="eastAsia" w:ascii="仿宋_GB2312" w:eastAsia="仿宋_GB2312" w:cs="宋体"/>
          <w:color w:val="000000"/>
          <w:kern w:val="0"/>
          <w:sz w:val="28"/>
          <w:szCs w:val="28"/>
          <w:lang w:eastAsia="zh-CN"/>
        </w:rPr>
        <w:t>减少</w:t>
      </w:r>
      <w:r>
        <w:rPr>
          <w:rFonts w:hint="eastAsia" w:ascii="仿宋_GB2312" w:eastAsia="仿宋_GB2312" w:cs="宋体"/>
          <w:color w:val="000000"/>
          <w:kern w:val="0"/>
          <w:sz w:val="28"/>
          <w:szCs w:val="28"/>
          <w:lang w:val="en-US" w:eastAsia="zh-CN"/>
        </w:rPr>
        <w:t>22.79</w:t>
      </w:r>
      <w:r>
        <w:rPr>
          <w:rFonts w:hint="eastAsia" w:ascii="仿宋_GB2312" w:eastAsia="仿宋_GB2312" w:cs="宋体"/>
          <w:color w:val="000000"/>
          <w:kern w:val="0"/>
          <w:sz w:val="28"/>
          <w:szCs w:val="28"/>
        </w:rPr>
        <w:t>万元，</w:t>
      </w:r>
      <w:r>
        <w:rPr>
          <w:rFonts w:hint="eastAsia" w:ascii="仿宋_GB2312" w:eastAsia="仿宋_GB2312" w:cs="宋体"/>
          <w:color w:val="000000"/>
          <w:kern w:val="0"/>
          <w:sz w:val="28"/>
          <w:szCs w:val="28"/>
          <w:lang w:eastAsia="zh-CN"/>
        </w:rPr>
        <w:t>减少</w:t>
      </w:r>
      <w:r>
        <w:rPr>
          <w:rFonts w:hint="eastAsia" w:ascii="仿宋_GB2312" w:eastAsia="仿宋_GB2312" w:cs="宋体"/>
          <w:color w:val="000000"/>
          <w:kern w:val="0"/>
          <w:sz w:val="28"/>
          <w:szCs w:val="28"/>
          <w:lang w:val="en-US" w:eastAsia="zh-CN"/>
        </w:rPr>
        <w:t>87.11</w:t>
      </w:r>
      <w:r>
        <w:rPr>
          <w:rFonts w:hint="eastAsia" w:ascii="仿宋_GB2312" w:eastAsia="仿宋_GB2312" w:cs="宋体"/>
          <w:color w:val="000000"/>
          <w:kern w:val="0"/>
          <w:sz w:val="28"/>
          <w:szCs w:val="28"/>
        </w:rPr>
        <w:t>%。</w:t>
      </w:r>
    </w:p>
    <w:p>
      <w:pPr>
        <w:widowControl/>
        <w:ind w:firstLine="640" w:firstLineChars="200"/>
        <w:rPr>
          <w:rFonts w:ascii="Times New Roman" w:hAnsi="Times New Roman" w:eastAsia="仿宋_GB2312"/>
          <w:color w:val="222222"/>
          <w:kern w:val="0"/>
          <w:sz w:val="32"/>
          <w:szCs w:val="32"/>
        </w:rPr>
      </w:pPr>
    </w:p>
    <w:p>
      <w:pPr>
        <w:widowControl/>
        <w:numPr>
          <w:ilvl w:val="0"/>
          <w:numId w:val="1"/>
        </w:numPr>
        <w:ind w:left="0" w:leftChars="0"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“三公经费”支出使用和管理情况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20</w:t>
      </w:r>
      <w:r>
        <w:rPr>
          <w:rFonts w:hint="eastAsia" w:ascii="Times New Roman" w:hAnsi="Times New Roman" w:eastAsia="仿宋_GB2312"/>
          <w:color w:val="222222"/>
          <w:kern w:val="0"/>
          <w:sz w:val="32"/>
          <w:szCs w:val="32"/>
          <w:lang w:val="en-US" w:eastAsia="zh-CN"/>
        </w:rPr>
        <w:t>20</w:t>
      </w:r>
      <w:r>
        <w:rPr>
          <w:rFonts w:hint="eastAsia" w:ascii="Times New Roman" w:hAnsi="Times New Roman" w:eastAsia="仿宋_GB2312"/>
          <w:color w:val="222222"/>
          <w:kern w:val="0"/>
          <w:sz w:val="32"/>
          <w:szCs w:val="32"/>
        </w:rPr>
        <w:t>年度，三公经费支出合计1.3万元，其中</w:t>
      </w:r>
      <w:r>
        <w:rPr>
          <w:rFonts w:hint="eastAsia" w:ascii="仿宋_GB2312" w:eastAsia="仿宋_GB2312" w:cs="宋体"/>
          <w:color w:val="000000"/>
          <w:kern w:val="0"/>
          <w:sz w:val="28"/>
          <w:szCs w:val="28"/>
        </w:rPr>
        <w:t>本单位均没有出国出境费用和公务用车运行维护费支出，20</w:t>
      </w:r>
      <w:r>
        <w:rPr>
          <w:rFonts w:hint="eastAsia" w:ascii="仿宋_GB2312" w:eastAsia="仿宋_GB2312" w:cs="宋体"/>
          <w:color w:val="000000"/>
          <w:kern w:val="0"/>
          <w:sz w:val="28"/>
          <w:szCs w:val="28"/>
          <w:lang w:val="en-US" w:eastAsia="zh-CN"/>
        </w:rPr>
        <w:t>20</w:t>
      </w:r>
      <w:r>
        <w:rPr>
          <w:rFonts w:hint="eastAsia" w:ascii="仿宋_GB2312" w:eastAsia="仿宋_GB2312" w:cs="宋体"/>
          <w:color w:val="000000"/>
          <w:kern w:val="0"/>
          <w:sz w:val="28"/>
          <w:szCs w:val="28"/>
        </w:rPr>
        <w:t>年公务接待费1.3万元。与上年相比</w:t>
      </w:r>
      <w:r>
        <w:rPr>
          <w:rFonts w:hint="eastAsia" w:ascii="仿宋_GB2312" w:eastAsia="仿宋_GB2312" w:cs="宋体"/>
          <w:color w:val="000000"/>
          <w:kern w:val="0"/>
          <w:sz w:val="28"/>
          <w:szCs w:val="28"/>
          <w:lang w:eastAsia="zh-CN"/>
        </w:rPr>
        <w:t>持平</w:t>
      </w:r>
      <w:r>
        <w:rPr>
          <w:rFonts w:hint="eastAsia" w:ascii="仿宋_GB2312" w:eastAsia="仿宋_GB2312" w:cs="宋体"/>
          <w:color w:val="000000"/>
          <w:kern w:val="0"/>
          <w:sz w:val="28"/>
          <w:szCs w:val="28"/>
        </w:rPr>
        <w:t>。主要原因是严控三公经费支出。</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widowControl/>
        <w:ind w:firstLine="640" w:firstLineChars="200"/>
        <w:rPr>
          <w:rFonts w:ascii="Times New Roman" w:hAnsi="Times New Roman" w:eastAsia="仿宋_GB2312"/>
          <w:color w:val="222222"/>
          <w:kern w:val="0"/>
          <w:sz w:val="32"/>
          <w:szCs w:val="32"/>
        </w:rPr>
      </w:pPr>
      <w:r>
        <w:rPr>
          <w:rFonts w:hint="eastAsia" w:ascii="仿宋_GB2312" w:hAnsi="仿宋" w:eastAsia="仿宋_GB2312"/>
          <w:sz w:val="32"/>
          <w:szCs w:val="32"/>
        </w:rPr>
        <w:t>本部门的总目标是推广和应用先进林业生产技术。</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rPr>
        <w:t>20</w:t>
      </w:r>
      <w:r>
        <w:rPr>
          <w:rFonts w:ascii="Times New Roman" w:hAnsi="Times New Roman" w:eastAsia="仿宋_GB2312"/>
          <w:color w:val="222222"/>
          <w:kern w:val="0"/>
          <w:sz w:val="32"/>
          <w:szCs w:val="32"/>
        </w:rPr>
        <w:t>年度部门绩效目标</w:t>
      </w:r>
    </w:p>
    <w:p>
      <w:pPr>
        <w:numPr>
          <w:ilvl w:val="0"/>
          <w:numId w:val="2"/>
        </w:numPr>
        <w:bidi w:val="0"/>
        <w:ind w:firstLine="640" w:firstLineChars="200"/>
        <w:rPr>
          <w:rFonts w:hint="default" w:ascii="Times New Roman" w:hAnsi="Times New Roman" w:eastAsia="仿宋_GB2312"/>
          <w:color w:val="222222"/>
          <w:kern w:val="0"/>
          <w:sz w:val="32"/>
          <w:szCs w:val="32"/>
          <w:lang w:val="en-US"/>
        </w:rPr>
      </w:pPr>
      <w:r>
        <w:rPr>
          <w:rFonts w:hint="eastAsia" w:ascii="仿宋_GB2312" w:hAnsi="宋体" w:eastAsia="仿宋_GB2312" w:cs="宋体"/>
          <w:color w:val="000000"/>
          <w:kern w:val="0"/>
          <w:sz w:val="32"/>
          <w:szCs w:val="32"/>
        </w:rPr>
        <w:t>1、搞好</w:t>
      </w:r>
      <w:r>
        <w:rPr>
          <w:rFonts w:hint="eastAsia" w:ascii="仿宋_GB2312" w:hAnsi="宋体" w:eastAsia="仿宋_GB2312" w:cs="宋体"/>
          <w:color w:val="000000"/>
          <w:kern w:val="0"/>
          <w:sz w:val="32"/>
          <w:szCs w:val="32"/>
          <w:lang w:val="en-US" w:eastAsia="zh-CN"/>
        </w:rPr>
        <w:t>王家厂镇长乐村110亩林业示范基地</w:t>
      </w:r>
      <w:r>
        <w:rPr>
          <w:rFonts w:hint="eastAsia" w:ascii="宋体" w:hAnsi="宋体"/>
          <w:sz w:val="30"/>
          <w:szCs w:val="30"/>
          <w:lang w:val="en-US" w:eastAsia="zh-CN"/>
        </w:rPr>
        <w:t>管护工作，</w:t>
      </w:r>
      <w:r>
        <w:rPr>
          <w:rFonts w:hint="eastAsia" w:ascii="仿宋_GB2312" w:hAnsi="宋体" w:eastAsia="仿宋_GB2312" w:cs="宋体"/>
          <w:color w:val="000000"/>
          <w:kern w:val="0"/>
          <w:sz w:val="32"/>
          <w:szCs w:val="32"/>
          <w:lang w:val="en-US" w:eastAsia="zh-CN"/>
        </w:rPr>
        <w:t>2、搞好院内圃地7个花卉大棚建设，3、搞好澧水河畔的压浸平台2公里的苗木示范区建设，4、落实科技进村项目一个，项目资金10万元。</w:t>
      </w:r>
    </w:p>
    <w:p>
      <w:pPr>
        <w:widowControl/>
        <w:numPr>
          <w:ilvl w:val="0"/>
          <w:numId w:val="3"/>
        </w:numPr>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绩效评价工作情况</w:t>
      </w:r>
    </w:p>
    <w:p>
      <w:pPr>
        <w:widowControl/>
        <w:shd w:val="clear" w:color="auto" w:fill="FFFFFF"/>
        <w:spacing w:line="375" w:lineRule="atLeast"/>
        <w:ind w:firstLine="640" w:firstLineChars="200"/>
        <w:jc w:val="left"/>
        <w:rPr>
          <w:rFonts w:hint="eastAsia" w:ascii="黑体" w:hAnsi="黑体" w:eastAsia="黑体" w:cs="黑体"/>
          <w:color w:val="222222"/>
          <w:kern w:val="0"/>
          <w:sz w:val="32"/>
          <w:szCs w:val="32"/>
        </w:rPr>
      </w:pPr>
      <w:r>
        <w:rPr>
          <w:rFonts w:hint="eastAsia" w:ascii="仿宋_GB2312" w:hAnsi="宋体" w:eastAsia="仿宋_GB2312" w:cs="宋体"/>
          <w:color w:val="000000"/>
          <w:kern w:val="0"/>
          <w:sz w:val="32"/>
          <w:szCs w:val="32"/>
        </w:rPr>
        <w:t>在此次绩效评价工作中，以一把手为组长，全体工作人员参与，积极进行评估。对有关绩效目标进行了现场的核实勘察。</w:t>
      </w:r>
    </w:p>
    <w:p>
      <w:pPr>
        <w:widowControl/>
        <w:numPr>
          <w:ilvl w:val="0"/>
          <w:numId w:val="3"/>
        </w:numPr>
        <w:ind w:left="0" w:leftChars="0"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综合评价结果</w:t>
      </w:r>
    </w:p>
    <w:p>
      <w:pPr>
        <w:widowControl/>
        <w:numPr>
          <w:ilvl w:val="0"/>
          <w:numId w:val="0"/>
        </w:numPr>
        <w:ind w:leftChars="200" w:firstLine="320" w:firstLineChars="100"/>
        <w:rPr>
          <w:rFonts w:hint="eastAsia" w:ascii="黑体" w:hAnsi="黑体" w:eastAsia="黑体" w:cs="黑体"/>
          <w:color w:val="000000"/>
          <w:sz w:val="32"/>
          <w:szCs w:val="32"/>
        </w:rPr>
      </w:pPr>
      <w:r>
        <w:rPr>
          <w:rFonts w:hint="eastAsia" w:ascii="仿宋_GB2312" w:hAnsi="宋体" w:eastAsia="仿宋_GB2312" w:cs="宋体"/>
          <w:color w:val="000000"/>
          <w:kern w:val="0"/>
          <w:sz w:val="32"/>
          <w:szCs w:val="32"/>
        </w:rPr>
        <w:t>单位在一把手的带领下，全体工作人员切实转变工作作风，较好的完成了年初制定的绩效目标任务，使广大群众和服务群体得到满意，满意率达百分之90%以上。</w:t>
      </w:r>
    </w:p>
    <w:p>
      <w:pPr>
        <w:widowControl/>
        <w:numPr>
          <w:ilvl w:val="0"/>
          <w:numId w:val="3"/>
        </w:numPr>
        <w:ind w:left="0" w:leftChars="0"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部门整体支出绩效情况</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年部门整体决算收入为</w:t>
      </w:r>
      <w:r>
        <w:rPr>
          <w:rFonts w:hint="eastAsia" w:ascii="仿宋_GB2312" w:hAnsi="宋体" w:eastAsia="仿宋_GB2312" w:cs="宋体"/>
          <w:color w:val="000000"/>
          <w:kern w:val="0"/>
          <w:sz w:val="32"/>
          <w:szCs w:val="32"/>
          <w:lang w:val="en-US" w:eastAsia="zh-CN"/>
        </w:rPr>
        <w:t>154.02</w:t>
      </w:r>
      <w:r>
        <w:rPr>
          <w:rFonts w:hint="eastAsia" w:ascii="仿宋_GB2312" w:hAnsi="宋体" w:eastAsia="仿宋_GB2312" w:cs="宋体"/>
          <w:color w:val="000000"/>
          <w:kern w:val="0"/>
          <w:sz w:val="32"/>
          <w:szCs w:val="32"/>
        </w:rPr>
        <w:t>万元，整体决算支出为</w:t>
      </w:r>
      <w:r>
        <w:rPr>
          <w:rFonts w:hint="eastAsia" w:ascii="仿宋_GB2312" w:hAnsi="宋体" w:eastAsia="仿宋_GB2312" w:cs="宋体"/>
          <w:color w:val="000000"/>
          <w:kern w:val="0"/>
          <w:sz w:val="32"/>
          <w:szCs w:val="32"/>
          <w:lang w:val="en-US" w:eastAsia="zh-CN"/>
        </w:rPr>
        <w:t>154.02</w:t>
      </w:r>
      <w:r>
        <w:rPr>
          <w:rFonts w:hint="eastAsia" w:ascii="仿宋_GB2312" w:hAnsi="宋体" w:eastAsia="仿宋_GB2312" w:cs="宋体"/>
          <w:color w:val="000000"/>
          <w:kern w:val="0"/>
          <w:sz w:val="32"/>
          <w:szCs w:val="32"/>
        </w:rPr>
        <w:t>万元。</w:t>
      </w:r>
    </w:p>
    <w:p>
      <w:pPr>
        <w:widowControl/>
        <w:numPr>
          <w:ilvl w:val="0"/>
          <w:numId w:val="0"/>
        </w:numPr>
        <w:ind w:leftChars="200"/>
        <w:rPr>
          <w:rFonts w:hint="eastAsia" w:ascii="黑体" w:hAnsi="黑体" w:eastAsia="黑体" w:cs="黑体"/>
          <w:color w:val="222222"/>
          <w:kern w:val="0"/>
          <w:sz w:val="32"/>
          <w:szCs w:val="32"/>
        </w:rPr>
      </w:pPr>
    </w:p>
    <w:p>
      <w:pPr>
        <w:widowControl/>
        <w:numPr>
          <w:ilvl w:val="0"/>
          <w:numId w:val="3"/>
        </w:numPr>
        <w:ind w:left="0" w:leftChars="0"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存在的主要问题</w:t>
      </w:r>
    </w:p>
    <w:p>
      <w:pPr>
        <w:widowControl/>
        <w:ind w:firstLine="640" w:firstLineChars="200"/>
        <w:rPr>
          <w:rFonts w:hint="eastAsia" w:ascii="黑体" w:hAnsi="黑体" w:eastAsia="黑体" w:cs="黑体"/>
          <w:color w:val="222222"/>
          <w:kern w:val="0"/>
          <w:sz w:val="32"/>
          <w:szCs w:val="32"/>
        </w:rPr>
      </w:pPr>
      <w:r>
        <w:rPr>
          <w:rFonts w:hint="eastAsia" w:ascii="仿宋_GB2312" w:hAnsi="宋体" w:eastAsia="仿宋_GB2312" w:cs="宋体"/>
          <w:color w:val="000000"/>
          <w:kern w:val="0"/>
          <w:sz w:val="32"/>
          <w:szCs w:val="32"/>
          <w:lang w:eastAsia="zh-CN"/>
        </w:rPr>
        <w:t>基地</w:t>
      </w:r>
      <w:r>
        <w:rPr>
          <w:rFonts w:hint="eastAsia" w:ascii="仿宋_GB2312" w:hAnsi="宋体" w:eastAsia="仿宋_GB2312" w:cs="宋体"/>
          <w:color w:val="000000"/>
          <w:kern w:val="0"/>
          <w:sz w:val="32"/>
          <w:szCs w:val="32"/>
        </w:rPr>
        <w:t>管理有时不及时，待改进。</w:t>
      </w:r>
    </w:p>
    <w:p>
      <w:pPr>
        <w:widowControl/>
        <w:numPr>
          <w:ilvl w:val="0"/>
          <w:numId w:val="3"/>
        </w:numPr>
        <w:ind w:left="0" w:leftChars="0"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有关建议</w:t>
      </w:r>
    </w:p>
    <w:p>
      <w:pPr>
        <w:widowControl/>
        <w:jc w:val="left"/>
        <w:rPr>
          <w:rFonts w:hint="eastAsia" w:ascii="Times New Roman" w:hAnsi="Times New Roman" w:eastAsia="仿宋_GB2312"/>
          <w:color w:val="000000"/>
          <w:sz w:val="32"/>
          <w:szCs w:val="32"/>
          <w:lang w:eastAsia="zh-CN"/>
        </w:rPr>
      </w:pPr>
      <w:r>
        <w:rPr>
          <w:rFonts w:hint="eastAsia" w:ascii="仿宋_GB2312" w:hAnsi="宋体" w:eastAsia="仿宋_GB2312" w:cs="宋体"/>
          <w:color w:val="000000"/>
          <w:kern w:val="0"/>
          <w:sz w:val="32"/>
          <w:szCs w:val="32"/>
        </w:rPr>
        <w:t>进一步完善、细化各项规章制度并严格执行</w:t>
      </w:r>
      <w:r>
        <w:rPr>
          <w:rFonts w:hint="eastAsia" w:ascii="仿宋_GB2312" w:hAnsi="宋体" w:eastAsia="仿宋_GB2312" w:cs="宋体"/>
          <w:color w:val="000000"/>
          <w:kern w:val="0"/>
          <w:sz w:val="32"/>
          <w:szCs w:val="32"/>
          <w:lang w:eastAsia="zh-CN"/>
        </w:rPr>
        <w:t>。</w:t>
      </w:r>
    </w:p>
    <w:p>
      <w:pPr>
        <w:widowControl/>
        <w:numPr>
          <w:ilvl w:val="0"/>
          <w:numId w:val="0"/>
        </w:numPr>
        <w:ind w:leftChars="200"/>
        <w:rPr>
          <w:rFonts w:hint="eastAsia" w:ascii="黑体" w:hAnsi="黑体" w:eastAsia="黑体" w:cs="黑体"/>
          <w:color w:val="000000"/>
          <w:sz w:val="32"/>
          <w:szCs w:val="32"/>
        </w:rPr>
      </w:pPr>
    </w:p>
    <w:p>
      <w:pPr>
        <w:widowControl/>
        <w:jc w:val="left"/>
        <w:rPr>
          <w:rFonts w:ascii="Times New Roman" w:hAnsi="Times New Roman" w:eastAsia="仿宋_GB2312"/>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Times New Roman" w:hAnsi="Times New Roman"/>
                <w:kern w:val="0"/>
                <w:sz w:val="24"/>
              </w:rPr>
            </w:pPr>
            <w:r>
              <w:rPr>
                <w:rFonts w:hint="eastAsia" w:ascii="Times New Roman" w:hAnsi="Times New Roman"/>
                <w:kern w:val="0"/>
                <w:sz w:val="24"/>
                <w:lang w:val="en-US" w:eastAsia="zh-CN"/>
              </w:rPr>
              <w:t>5</w:t>
            </w:r>
            <w:r>
              <w:rPr>
                <w:rFonts w:ascii="Times New Roman" w:hAnsi="Times New Roman"/>
                <w:kern w:val="0"/>
                <w:sz w:val="24"/>
              </w:rPr>
              <w:t>　</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7</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98</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15</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15</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100%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13000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20000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13000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 xml:space="preserve">  0</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13000</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20000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13000</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122314.47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278000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152057.02</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auto"/>
                <w:kern w:val="0"/>
                <w:sz w:val="24"/>
                <w:lang w:val="en-US" w:eastAsia="zh-CN"/>
              </w:rPr>
            </w:pPr>
            <w:r>
              <w:rPr>
                <w:rFonts w:hint="eastAsia" w:ascii="Times New Roman" w:hAnsi="Times New Roman" w:eastAsia="仿宋_GB2312"/>
                <w:color w:val="auto"/>
                <w:kern w:val="0"/>
                <w:sz w:val="24"/>
                <w:lang w:val="en-US" w:eastAsia="zh-CN"/>
              </w:rPr>
              <w:t>9000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12000</w:t>
            </w:r>
            <w:r>
              <w:rPr>
                <w:rFonts w:ascii="Times New Roman" w:hAnsi="Times New Roman" w:eastAsia="仿宋_GB2312"/>
                <w:color w:val="auto"/>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10000</w:t>
            </w:r>
            <w:r>
              <w:rPr>
                <w:rFonts w:ascii="Times New Roman" w:hAnsi="Times New Roman" w:eastAsia="仿宋_GB2312"/>
                <w:color w:val="auto"/>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10200</w:t>
            </w:r>
            <w:r>
              <w:rPr>
                <w:rFonts w:ascii="Times New Roman" w:hAnsi="Times New Roman" w:eastAsia="仿宋_GB2312"/>
                <w:color w:val="auto"/>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12000</w:t>
            </w:r>
            <w:r>
              <w:rPr>
                <w:rFonts w:ascii="Times New Roman" w:hAnsi="Times New Roman" w:eastAsia="仿宋_GB2312"/>
                <w:color w:val="auto"/>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11200</w:t>
            </w:r>
            <w:r>
              <w:rPr>
                <w:rFonts w:ascii="Times New Roman" w:hAnsi="Times New Roman" w:eastAsia="仿宋_GB2312"/>
                <w:color w:val="auto"/>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3900</w:t>
            </w:r>
            <w:r>
              <w:rPr>
                <w:rFonts w:ascii="Times New Roman" w:hAnsi="Times New Roman" w:eastAsia="仿宋_GB2312"/>
                <w:color w:val="auto"/>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5000</w:t>
            </w:r>
            <w:r>
              <w:rPr>
                <w:rFonts w:ascii="Times New Roman" w:hAnsi="Times New Roman" w:eastAsia="仿宋_GB2312"/>
                <w:color w:val="auto"/>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3900</w:t>
            </w:r>
            <w:r>
              <w:rPr>
                <w:rFonts w:ascii="Times New Roman" w:hAnsi="Times New Roman" w:eastAsia="仿宋_GB2312"/>
                <w:color w:val="auto"/>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 xml:space="preserve">  0</w:t>
            </w:r>
          </w:p>
        </w:tc>
        <w:tc>
          <w:tcPr>
            <w:tcW w:w="97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79EA2"/>
    <w:multiLevelType w:val="singleLevel"/>
    <w:tmpl w:val="88979EA2"/>
    <w:lvl w:ilvl="0" w:tentative="0">
      <w:start w:val="1"/>
      <w:numFmt w:val="decimal"/>
      <w:suff w:val="nothing"/>
      <w:lvlText w:val="%1、"/>
      <w:lvlJc w:val="left"/>
    </w:lvl>
  </w:abstractNum>
  <w:abstractNum w:abstractNumId="1">
    <w:nsid w:val="A0D8D822"/>
    <w:multiLevelType w:val="singleLevel"/>
    <w:tmpl w:val="A0D8D822"/>
    <w:lvl w:ilvl="0" w:tentative="0">
      <w:start w:val="4"/>
      <w:numFmt w:val="chineseCounting"/>
      <w:suff w:val="nothing"/>
      <w:lvlText w:val="%1、"/>
      <w:lvlJc w:val="left"/>
      <w:rPr>
        <w:rFonts w:hint="eastAsia"/>
      </w:rPr>
    </w:lvl>
  </w:abstractNum>
  <w:abstractNum w:abstractNumId="2">
    <w:nsid w:val="24335E1C"/>
    <w:multiLevelType w:val="singleLevel"/>
    <w:tmpl w:val="24335E1C"/>
    <w:lvl w:ilvl="0" w:tentative="0">
      <w:start w:val="2"/>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0C7D192E"/>
    <w:rsid w:val="14F87DA4"/>
    <w:rsid w:val="17203872"/>
    <w:rsid w:val="191F54D1"/>
    <w:rsid w:val="19461125"/>
    <w:rsid w:val="1F9A1229"/>
    <w:rsid w:val="20C51591"/>
    <w:rsid w:val="28CA6DA5"/>
    <w:rsid w:val="37BE40E9"/>
    <w:rsid w:val="48FA5FBC"/>
    <w:rsid w:val="57E714CD"/>
    <w:rsid w:val="6D1C6B12"/>
    <w:rsid w:val="75E06E9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394</Words>
  <Characters>2246</Characters>
  <Lines>18</Lines>
  <Paragraphs>5</Paragraphs>
  <TotalTime>20</TotalTime>
  <ScaleCrop>false</ScaleCrop>
  <LinksUpToDate>false</LinksUpToDate>
  <CharactersWithSpaces>2635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人生如游戏</cp:lastModifiedBy>
  <cp:lastPrinted>2018-04-16T00:45:00Z</cp:lastPrinted>
  <dcterms:modified xsi:type="dcterms:W3CDTF">2021-08-17T01:27:30Z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309361AF4E6E4CA98865F9A4C87B4D54</vt:lpwstr>
  </property>
</Properties>
</file>