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highlight w:val="none"/>
        </w:rPr>
      </w:pPr>
      <w:r>
        <w:rPr>
          <w:rFonts w:ascii="Times New Roman" w:hAnsi="Times New Roman" w:eastAsia="仿宋_GB2312"/>
          <w:b w:val="0"/>
          <w:bCs w:val="0"/>
          <w:highlight w:val="none"/>
        </w:rPr>
        <w:t>附件</w:t>
      </w:r>
      <w:r>
        <w:rPr>
          <w:rFonts w:hint="eastAsia" w:ascii="Times New Roman" w:hAnsi="Times New Roman" w:eastAsia="仿宋_GB2312"/>
          <w:b w:val="0"/>
          <w:bCs w:val="0"/>
          <w:highlight w:val="none"/>
        </w:rPr>
        <w:t>6</w:t>
      </w:r>
      <w:r>
        <w:rPr>
          <w:rFonts w:ascii="Times New Roman" w:hAnsi="Times New Roman" w:eastAsia="仿宋_GB2312"/>
          <w:b w:val="0"/>
          <w:bCs w:val="0"/>
          <w:highlight w:val="none"/>
        </w:rPr>
        <w:t>：</w:t>
      </w:r>
      <w:bookmarkStart w:id="0" w:name="_GoBack"/>
      <w:bookmarkEnd w:id="0"/>
    </w:p>
    <w:p>
      <w:pPr>
        <w:pStyle w:val="2"/>
        <w:adjustRightInd w:val="0"/>
        <w:snapToGrid w:val="0"/>
        <w:spacing w:before="0" w:after="0" w:line="600" w:lineRule="exact"/>
        <w:jc w:val="center"/>
        <w:rPr>
          <w:rFonts w:ascii="Times New Roman" w:hAnsi="Times New Roman" w:eastAsiaTheme="minorEastAsia"/>
          <w:sz w:val="44"/>
          <w:szCs w:val="44"/>
          <w:highlight w:val="none"/>
        </w:rPr>
      </w:pPr>
    </w:p>
    <w:p>
      <w:pPr>
        <w:pStyle w:val="2"/>
        <w:adjustRightInd w:val="0"/>
        <w:snapToGrid w:val="0"/>
        <w:spacing w:before="0" w:after="0" w:line="600" w:lineRule="exact"/>
        <w:jc w:val="center"/>
        <w:rPr>
          <w:rFonts w:ascii="Times New Roman" w:hAnsi="Times New Roman" w:eastAsiaTheme="minorEastAsia"/>
          <w:sz w:val="44"/>
          <w:szCs w:val="44"/>
          <w:highlight w:val="none"/>
        </w:rPr>
      </w:pPr>
      <w:r>
        <w:rPr>
          <w:rFonts w:ascii="Times New Roman" w:hAnsi="Times New Roman" w:eastAsiaTheme="minorEastAsia"/>
          <w:sz w:val="44"/>
          <w:szCs w:val="44"/>
          <w:highlight w:val="none"/>
        </w:rPr>
        <w:t>20</w:t>
      </w:r>
      <w:r>
        <w:rPr>
          <w:rFonts w:hint="eastAsia" w:ascii="Times New Roman" w:hAnsi="Times New Roman" w:eastAsiaTheme="minorEastAsia"/>
          <w:sz w:val="44"/>
          <w:szCs w:val="44"/>
          <w:highlight w:val="none"/>
        </w:rPr>
        <w:t>20</w:t>
      </w:r>
      <w:r>
        <w:rPr>
          <w:rFonts w:ascii="Times New Roman" w:hAnsi="Times New Roman" w:eastAsiaTheme="minorEastAsia"/>
          <w:sz w:val="44"/>
          <w:szCs w:val="44"/>
          <w:highlight w:val="none"/>
        </w:rPr>
        <w:t>年度</w:t>
      </w:r>
      <w:r>
        <w:rPr>
          <w:rFonts w:hint="eastAsia" w:ascii="Times New Roman" w:hAnsi="Times New Roman" w:eastAsiaTheme="minorEastAsia"/>
          <w:sz w:val="44"/>
          <w:szCs w:val="44"/>
          <w:highlight w:val="none"/>
        </w:rPr>
        <w:t>外出办案经费</w:t>
      </w:r>
      <w:r>
        <w:rPr>
          <w:rFonts w:ascii="Times New Roman" w:hAnsi="Times New Roman" w:eastAsiaTheme="minorEastAsia"/>
          <w:sz w:val="44"/>
          <w:szCs w:val="44"/>
          <w:highlight w:val="none"/>
        </w:rPr>
        <w:t>专项资金绩效报告</w:t>
      </w:r>
    </w:p>
    <w:p>
      <w:pPr>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一、项目概况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（一）项目单位基本情况。</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澧县审计局，正科级，为县人民政府工作部门，人员编制合计34个，其中行政编制16个，全额事业编制17个，工勤编1个，退休人员18人。内设办公室、法规审理股、行政事业审计股、财政金融审计股、经济责任审计股、社会保障审计股、农业农村审计股、固定资产投资审计股8个股室，下设股级事业单位澧县政府投资审计中心。20</w:t>
      </w:r>
      <w:r>
        <w:rPr>
          <w:rFonts w:hint="eastAsia" w:eastAsia="仿宋_GB2312"/>
          <w:sz w:val="32"/>
          <w:szCs w:val="32"/>
          <w:highlight w:val="none"/>
          <w:lang w:val="en-US" w:eastAsia="zh-CN"/>
        </w:rPr>
        <w:t>20</w:t>
      </w:r>
      <w:r>
        <w:rPr>
          <w:rFonts w:hint="eastAsia" w:eastAsia="仿宋_GB2312"/>
          <w:sz w:val="32"/>
          <w:szCs w:val="32"/>
          <w:highlight w:val="none"/>
        </w:rPr>
        <w:t>年部门预算收入416.66万元，外出办案经费专项资金</w:t>
      </w:r>
      <w:r>
        <w:rPr>
          <w:rFonts w:hint="eastAsia" w:eastAsia="仿宋_GB2312"/>
          <w:sz w:val="32"/>
          <w:szCs w:val="32"/>
          <w:highlight w:val="none"/>
        </w:rPr>
        <w:t>20</w:t>
      </w:r>
      <w:r>
        <w:rPr>
          <w:rFonts w:hint="eastAsia" w:eastAsia="仿宋_GB2312"/>
          <w:sz w:val="32"/>
          <w:szCs w:val="32"/>
          <w:highlight w:val="none"/>
        </w:rPr>
        <w:t>万元</w:t>
      </w:r>
      <w:r>
        <w:rPr>
          <w:rFonts w:hint="eastAsia" w:eastAsia="仿宋_GB2312"/>
          <w:sz w:val="32"/>
          <w:szCs w:val="32"/>
          <w:highlight w:val="none"/>
          <w:lang w:eastAsia="zh-CN"/>
        </w:rPr>
        <w:t>。</w:t>
      </w:r>
    </w:p>
    <w:p>
      <w:pPr>
        <w:numPr>
          <w:ilvl w:val="0"/>
          <w:numId w:val="1"/>
        </w:numPr>
        <w:spacing w:line="600" w:lineRule="exact"/>
        <w:ind w:firstLine="640" w:firstLineChars="200"/>
        <w:rPr>
          <w:rFonts w:eastAsia="仿宋_GB2312"/>
          <w:sz w:val="32"/>
          <w:szCs w:val="32"/>
          <w:highlight w:val="none"/>
        </w:rPr>
      </w:pPr>
      <w:r>
        <w:rPr>
          <w:rFonts w:eastAsia="仿宋_GB2312"/>
          <w:sz w:val="32"/>
          <w:szCs w:val="32"/>
          <w:highlight w:val="none"/>
        </w:rPr>
        <w:t>项目基本情况简介，包括项目基本性质、用途和主要内容、涉及范围等。</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根据年度审计计划安排，开展各类审计项目，外出办案经费专项资金用于列支审计人员外出办案过程中的费用</w:t>
      </w:r>
      <w:r>
        <w:rPr>
          <w:rFonts w:hint="eastAsia" w:eastAsia="仿宋_GB2312"/>
          <w:sz w:val="32"/>
          <w:szCs w:val="32"/>
          <w:highlight w:val="none"/>
        </w:rPr>
        <w:t>。</w:t>
      </w:r>
    </w:p>
    <w:p>
      <w:pPr>
        <w:spacing w:line="600" w:lineRule="exact"/>
        <w:ind w:firstLine="640" w:firstLineChars="200"/>
        <w:rPr>
          <w:rFonts w:eastAsia="黑体"/>
          <w:sz w:val="32"/>
          <w:szCs w:val="32"/>
          <w:highlight w:val="none"/>
        </w:rPr>
      </w:pPr>
      <w:r>
        <w:rPr>
          <w:rFonts w:eastAsia="黑体"/>
          <w:sz w:val="32"/>
          <w:szCs w:val="32"/>
          <w:highlight w:val="none"/>
        </w:rPr>
        <w:t>二、项目绩效目标</w:t>
      </w:r>
    </w:p>
    <w:p>
      <w:pPr>
        <w:spacing w:line="600" w:lineRule="exact"/>
        <w:ind w:firstLine="640" w:firstLineChars="200"/>
        <w:rPr>
          <w:rFonts w:eastAsia="仿宋_GB2312"/>
          <w:sz w:val="32"/>
          <w:szCs w:val="32"/>
          <w:highlight w:val="none"/>
        </w:rPr>
      </w:pPr>
      <w:r>
        <w:rPr>
          <w:rFonts w:eastAsia="仿宋_GB2312"/>
          <w:sz w:val="32"/>
          <w:szCs w:val="32"/>
          <w:highlight w:val="none"/>
        </w:rPr>
        <w:t>（一）项目绩效总目标。</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规范审计外出办案管理，控制审计风险，促进依法行政。</w:t>
      </w:r>
    </w:p>
    <w:p>
      <w:pPr>
        <w:spacing w:line="600" w:lineRule="exact"/>
        <w:ind w:firstLine="640" w:firstLineChars="200"/>
        <w:rPr>
          <w:rFonts w:eastAsia="仿宋_GB2312"/>
          <w:sz w:val="32"/>
          <w:szCs w:val="32"/>
          <w:highlight w:val="none"/>
        </w:rPr>
      </w:pPr>
      <w:r>
        <w:rPr>
          <w:rFonts w:eastAsia="仿宋_GB2312"/>
          <w:sz w:val="32"/>
          <w:szCs w:val="32"/>
          <w:highlight w:val="none"/>
        </w:rPr>
        <w:t>（二）20</w:t>
      </w:r>
      <w:r>
        <w:rPr>
          <w:rFonts w:hint="eastAsia" w:eastAsia="仿宋_GB2312"/>
          <w:sz w:val="32"/>
          <w:szCs w:val="32"/>
          <w:highlight w:val="none"/>
        </w:rPr>
        <w:t>20</w:t>
      </w:r>
      <w:r>
        <w:rPr>
          <w:rFonts w:eastAsia="仿宋_GB2312"/>
          <w:sz w:val="32"/>
          <w:szCs w:val="32"/>
          <w:highlight w:val="none"/>
        </w:rPr>
        <w:t>年绩效目标。</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加强审计人员外出审计期间的经费保障。</w:t>
      </w:r>
    </w:p>
    <w:p>
      <w:pPr>
        <w:spacing w:line="600" w:lineRule="exact"/>
        <w:ind w:firstLine="640" w:firstLineChars="200"/>
        <w:rPr>
          <w:rFonts w:eastAsia="黑体"/>
          <w:sz w:val="32"/>
          <w:szCs w:val="32"/>
          <w:highlight w:val="none"/>
        </w:rPr>
      </w:pPr>
      <w:r>
        <w:rPr>
          <w:rFonts w:eastAsia="黑体"/>
          <w:sz w:val="32"/>
          <w:szCs w:val="32"/>
          <w:highlight w:val="none"/>
        </w:rPr>
        <w:t>三、项目资金使用及管理情况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（一）项目资金（包括财政资金、自筹资金）安排落实、总投入等情况。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年初安排财政资金</w:t>
      </w:r>
      <w:r>
        <w:rPr>
          <w:rFonts w:hint="eastAsia" w:eastAsia="仿宋_GB2312"/>
          <w:sz w:val="32"/>
          <w:szCs w:val="32"/>
          <w:highlight w:val="none"/>
          <w:lang w:val="en-US" w:eastAsia="zh-CN"/>
        </w:rPr>
        <w:t>20万元</w:t>
      </w:r>
      <w:r>
        <w:rPr>
          <w:rFonts w:hint="eastAsia" w:eastAsia="仿宋_GB2312"/>
          <w:sz w:val="32"/>
          <w:szCs w:val="32"/>
          <w:highlight w:val="none"/>
        </w:rPr>
        <w:t>。</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（二）</w:t>
      </w:r>
      <w:r>
        <w:rPr>
          <w:rFonts w:eastAsia="仿宋_GB2312"/>
          <w:sz w:val="32"/>
          <w:szCs w:val="32"/>
          <w:highlight w:val="none"/>
        </w:rPr>
        <w:t>项目资金（主要指财政资金）实际使用情况。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外出办案经费专项资金用于列支审计人员外出办案过程中的费用。</w:t>
      </w:r>
    </w:p>
    <w:p>
      <w:pPr>
        <w:numPr>
          <w:ilvl w:val="0"/>
          <w:numId w:val="1"/>
        </w:numPr>
        <w:spacing w:line="600" w:lineRule="exact"/>
        <w:ind w:left="0" w:leftChars="0" w:firstLine="640" w:firstLineChars="200"/>
        <w:rPr>
          <w:rFonts w:eastAsia="仿宋_GB2312"/>
          <w:sz w:val="32"/>
          <w:szCs w:val="32"/>
          <w:highlight w:val="none"/>
        </w:rPr>
      </w:pPr>
      <w:r>
        <w:rPr>
          <w:rFonts w:eastAsia="仿宋_GB2312"/>
          <w:sz w:val="32"/>
          <w:szCs w:val="32"/>
          <w:highlight w:val="none"/>
        </w:rPr>
        <w:t>项目资金管理情况，主要包括管理制度、办法的制定及执行情况。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我局经局党组研究，制定了《专项资金支出审批程序》。并严格按照此制度，根据项目实施进度支付费用。</w:t>
      </w:r>
    </w:p>
    <w:p>
      <w:pPr>
        <w:spacing w:line="600" w:lineRule="exact"/>
        <w:ind w:firstLine="640" w:firstLineChars="200"/>
        <w:rPr>
          <w:rFonts w:eastAsia="黑体"/>
          <w:sz w:val="32"/>
          <w:szCs w:val="32"/>
          <w:highlight w:val="none"/>
        </w:rPr>
      </w:pPr>
      <w:r>
        <w:rPr>
          <w:rFonts w:eastAsia="黑体"/>
          <w:sz w:val="32"/>
          <w:szCs w:val="32"/>
          <w:highlight w:val="none"/>
        </w:rPr>
        <w:t>四、项目组织实施情况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（一）项目组织情况，主要包括项目招投标、调整、竣工验收等情况。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外出办案经费专项资金用于</w:t>
      </w:r>
      <w:r>
        <w:rPr>
          <w:rFonts w:hint="eastAsia" w:eastAsia="仿宋_GB2312"/>
          <w:sz w:val="32"/>
          <w:szCs w:val="32"/>
          <w:highlight w:val="none"/>
          <w:lang w:eastAsia="zh-CN"/>
        </w:rPr>
        <w:t>审计人员外出办案过程中</w:t>
      </w:r>
      <w:r>
        <w:rPr>
          <w:rFonts w:hint="eastAsia" w:eastAsia="仿宋_GB2312"/>
          <w:sz w:val="32"/>
          <w:szCs w:val="32"/>
          <w:highlight w:val="none"/>
        </w:rPr>
        <w:t>的支出，不涉及项目招投标、调整、竣工验收等程序。。</w:t>
      </w:r>
    </w:p>
    <w:p>
      <w:pPr>
        <w:numPr>
          <w:ilvl w:val="0"/>
          <w:numId w:val="2"/>
        </w:numPr>
        <w:spacing w:line="600" w:lineRule="exact"/>
        <w:ind w:firstLine="640" w:firstLineChars="200"/>
        <w:rPr>
          <w:rFonts w:eastAsia="仿宋_GB2312"/>
          <w:sz w:val="32"/>
          <w:szCs w:val="32"/>
          <w:highlight w:val="none"/>
        </w:rPr>
      </w:pPr>
      <w:r>
        <w:rPr>
          <w:rFonts w:eastAsia="仿宋_GB2312"/>
          <w:sz w:val="32"/>
          <w:szCs w:val="32"/>
          <w:highlight w:val="none"/>
        </w:rPr>
        <w:t>项目管理情况，主要包括项目管理制度建设、日常检查监督管理等情况。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我局经局党组研究，制定了《专项资金支出审批程序》。并严格按照此制度，根据项目实施进度支付费用。</w:t>
      </w:r>
    </w:p>
    <w:p>
      <w:pPr>
        <w:spacing w:line="600" w:lineRule="exact"/>
        <w:ind w:firstLine="640" w:firstLineChars="200"/>
        <w:rPr>
          <w:rFonts w:eastAsia="黑体"/>
          <w:sz w:val="32"/>
          <w:szCs w:val="32"/>
          <w:highlight w:val="none"/>
        </w:rPr>
      </w:pPr>
      <w:r>
        <w:rPr>
          <w:rFonts w:eastAsia="黑体"/>
          <w:sz w:val="32"/>
          <w:szCs w:val="32"/>
          <w:highlight w:val="none"/>
        </w:rPr>
        <w:t>五、项目绩效情况</w:t>
      </w:r>
    </w:p>
    <w:p>
      <w:pPr>
        <w:spacing w:line="600" w:lineRule="exact"/>
        <w:ind w:firstLine="640" w:firstLineChars="200"/>
        <w:rPr>
          <w:rFonts w:eastAsia="仿宋_GB2312"/>
          <w:sz w:val="32"/>
          <w:szCs w:val="32"/>
          <w:highlight w:val="none"/>
        </w:rPr>
      </w:pPr>
      <w:r>
        <w:rPr>
          <w:rFonts w:eastAsia="仿宋_GB2312"/>
          <w:sz w:val="32"/>
          <w:szCs w:val="32"/>
          <w:highlight w:val="none"/>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w:t>
      </w:r>
      <w:r>
        <w:rPr>
          <w:rFonts w:eastAsia="仿宋_GB2312"/>
          <w:sz w:val="32"/>
          <w:szCs w:val="32"/>
          <w:highlight w:val="none"/>
        </w:rPr>
        <w:t>项目的经济性分析</w:t>
      </w:r>
      <w:r>
        <w:rPr>
          <w:rFonts w:hint="eastAsia" w:eastAsia="仿宋_GB2312"/>
          <w:sz w:val="32"/>
          <w:szCs w:val="32"/>
          <w:highlight w:val="none"/>
          <w:lang w:eastAsia="zh-CN"/>
        </w:rPr>
        <w:t>：查出违规金额3810万元，移送案件线索13起。</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项目的效率性分析：截止20</w:t>
      </w:r>
      <w:r>
        <w:rPr>
          <w:rFonts w:hint="eastAsia" w:eastAsia="仿宋_GB2312"/>
          <w:sz w:val="32"/>
          <w:szCs w:val="32"/>
          <w:highlight w:val="none"/>
          <w:lang w:val="en-US" w:eastAsia="zh-CN"/>
        </w:rPr>
        <w:t>20</w:t>
      </w:r>
      <w:r>
        <w:rPr>
          <w:rFonts w:hint="eastAsia" w:eastAsia="仿宋_GB2312"/>
          <w:sz w:val="32"/>
          <w:szCs w:val="32"/>
          <w:highlight w:val="none"/>
          <w:lang w:eastAsia="zh-CN"/>
        </w:rPr>
        <w:t>年1</w:t>
      </w:r>
      <w:r>
        <w:rPr>
          <w:rFonts w:hint="eastAsia" w:eastAsia="仿宋_GB2312"/>
          <w:sz w:val="32"/>
          <w:szCs w:val="32"/>
          <w:highlight w:val="none"/>
          <w:lang w:val="en-US" w:eastAsia="zh-CN"/>
        </w:rPr>
        <w:t>2</w:t>
      </w:r>
      <w:r>
        <w:rPr>
          <w:rFonts w:hint="eastAsia" w:eastAsia="仿宋_GB2312"/>
          <w:sz w:val="32"/>
          <w:szCs w:val="32"/>
          <w:highlight w:val="none"/>
          <w:lang w:eastAsia="zh-CN"/>
        </w:rPr>
        <w:t>月</w:t>
      </w:r>
      <w:r>
        <w:rPr>
          <w:rFonts w:hint="eastAsia" w:eastAsia="仿宋_GB2312"/>
          <w:sz w:val="32"/>
          <w:szCs w:val="32"/>
          <w:highlight w:val="none"/>
          <w:lang w:val="en-US" w:eastAsia="zh-CN"/>
        </w:rPr>
        <w:t>31</w:t>
      </w:r>
      <w:r>
        <w:rPr>
          <w:rFonts w:hint="eastAsia" w:eastAsia="仿宋_GB2312"/>
          <w:sz w:val="32"/>
          <w:szCs w:val="32"/>
          <w:highlight w:val="none"/>
          <w:lang w:eastAsia="zh-CN"/>
        </w:rPr>
        <w:t>日，完成审计项目</w:t>
      </w:r>
      <w:r>
        <w:rPr>
          <w:rFonts w:hint="eastAsia" w:eastAsia="仿宋_GB2312"/>
          <w:sz w:val="32"/>
          <w:szCs w:val="32"/>
          <w:highlight w:val="none"/>
          <w:lang w:val="en-US" w:eastAsia="zh-CN"/>
        </w:rPr>
        <w:t>24</w:t>
      </w:r>
      <w:r>
        <w:rPr>
          <w:rFonts w:hint="eastAsia" w:eastAsia="仿宋_GB2312"/>
          <w:sz w:val="32"/>
          <w:szCs w:val="32"/>
          <w:highlight w:val="none"/>
          <w:lang w:eastAsia="zh-CN"/>
        </w:rPr>
        <w:t>个，下达审计决定书21份，提交审计要情6篇、审计专报1篇。</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3.</w:t>
      </w:r>
      <w:r>
        <w:rPr>
          <w:rFonts w:hint="eastAsia" w:eastAsia="仿宋_GB2312"/>
          <w:sz w:val="32"/>
          <w:szCs w:val="32"/>
          <w:highlight w:val="none"/>
          <w:lang w:eastAsia="zh-CN"/>
        </w:rPr>
        <w:t>项目的有效性分析：督促被审计单位切实落实问题整改，已采纳审计建议85条，督促整改问题152个。</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4.</w:t>
      </w:r>
      <w:r>
        <w:rPr>
          <w:rFonts w:eastAsia="仿宋_GB2312"/>
          <w:sz w:val="32"/>
          <w:szCs w:val="32"/>
          <w:highlight w:val="none"/>
        </w:rPr>
        <w:t>项目的可持续性分析</w:t>
      </w:r>
      <w:r>
        <w:rPr>
          <w:rFonts w:hint="eastAsia" w:eastAsia="仿宋_GB2312"/>
          <w:sz w:val="32"/>
          <w:szCs w:val="32"/>
          <w:highlight w:val="none"/>
          <w:lang w:eastAsia="zh-CN"/>
        </w:rPr>
        <w:t>：规范审计外出办案管理，控制审计风险，促进依法行政。</w:t>
      </w:r>
    </w:p>
    <w:p>
      <w:pPr>
        <w:spacing w:line="600" w:lineRule="exact"/>
        <w:ind w:firstLine="640" w:firstLineChars="200"/>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六、项目自评结果</w:t>
      </w:r>
    </w:p>
    <w:p>
      <w:pPr>
        <w:spacing w:line="600" w:lineRule="exact"/>
        <w:ind w:firstLine="640" w:firstLineChars="200"/>
        <w:rPr>
          <w:rFonts w:eastAsia="仿宋_GB2312"/>
          <w:sz w:val="32"/>
          <w:szCs w:val="32"/>
          <w:highlight w:val="none"/>
        </w:rPr>
      </w:pPr>
      <w:r>
        <w:rPr>
          <w:rFonts w:eastAsia="仿宋_GB2312"/>
          <w:sz w:val="32"/>
          <w:szCs w:val="32"/>
          <w:highlight w:val="none"/>
        </w:rPr>
        <w:t>根据项目特点设定项目的个性指标，在共性指标体系框架的基础上设立项目的绩效评价指标表。</w:t>
      </w:r>
    </w:p>
    <w:p>
      <w:pPr>
        <w:spacing w:line="600" w:lineRule="exact"/>
        <w:jc w:val="center"/>
        <w:rPr>
          <w:rFonts w:hint="eastAsia" w:eastAsia="仿宋_GB2312"/>
          <w:sz w:val="32"/>
          <w:szCs w:val="32"/>
          <w:highlight w:val="none"/>
          <w:lang w:val="en-US" w:eastAsia="zh-CN"/>
        </w:rPr>
      </w:pPr>
    </w:p>
    <w:p>
      <w:pPr>
        <w:spacing w:line="600" w:lineRule="exact"/>
        <w:jc w:val="center"/>
        <w:rPr>
          <w:rFonts w:hint="eastAsia" w:eastAsia="仿宋_GB2312"/>
          <w:sz w:val="32"/>
          <w:szCs w:val="32"/>
          <w:highlight w:val="none"/>
          <w:lang w:eastAsia="zh-CN"/>
        </w:rPr>
      </w:pPr>
      <w:r>
        <w:rPr>
          <w:rFonts w:hint="eastAsia" w:eastAsia="仿宋_GB2312"/>
          <w:sz w:val="32"/>
          <w:szCs w:val="32"/>
          <w:highlight w:val="none"/>
          <w:lang w:val="en-US" w:eastAsia="zh-CN"/>
        </w:rPr>
        <w:t>2020</w:t>
      </w:r>
      <w:r>
        <w:rPr>
          <w:rFonts w:hint="eastAsia" w:eastAsia="仿宋_GB2312"/>
          <w:sz w:val="32"/>
          <w:szCs w:val="32"/>
          <w:highlight w:val="none"/>
          <w:lang w:eastAsia="zh-CN"/>
        </w:rPr>
        <w:t>年度</w:t>
      </w:r>
      <w:r>
        <w:rPr>
          <w:rFonts w:hint="eastAsia" w:eastAsia="仿宋_GB2312"/>
          <w:sz w:val="32"/>
          <w:szCs w:val="32"/>
          <w:highlight w:val="none"/>
          <w:lang w:eastAsia="zh-CN"/>
        </w:rPr>
        <w:t>外出办案经费</w:t>
      </w:r>
      <w:r>
        <w:rPr>
          <w:rFonts w:hint="eastAsia" w:eastAsia="仿宋_GB2312"/>
          <w:sz w:val="32"/>
          <w:szCs w:val="32"/>
          <w:highlight w:val="none"/>
          <w:lang w:eastAsia="zh-CN"/>
        </w:rPr>
        <w:t>专项资金绩效评分表</w:t>
      </w:r>
    </w:p>
    <w:tbl>
      <w:tblPr>
        <w:tblStyle w:val="4"/>
        <w:tblW w:w="7813" w:type="dxa"/>
        <w:jc w:val="center"/>
        <w:shd w:val="clear" w:color="auto" w:fill="auto"/>
        <w:tblLayout w:type="fixed"/>
        <w:tblCellMar>
          <w:top w:w="0" w:type="dxa"/>
          <w:left w:w="0" w:type="dxa"/>
          <w:bottom w:w="0" w:type="dxa"/>
          <w:right w:w="0" w:type="dxa"/>
        </w:tblCellMar>
      </w:tblPr>
      <w:tblGrid>
        <w:gridCol w:w="809"/>
        <w:gridCol w:w="494"/>
        <w:gridCol w:w="704"/>
        <w:gridCol w:w="1155"/>
        <w:gridCol w:w="517"/>
        <w:gridCol w:w="3517"/>
        <w:gridCol w:w="617"/>
      </w:tblGrid>
      <w:tr>
        <w:tblPrEx>
          <w:shd w:val="clear" w:color="auto" w:fill="auto"/>
          <w:tblCellMar>
            <w:top w:w="0" w:type="dxa"/>
            <w:left w:w="0" w:type="dxa"/>
            <w:bottom w:w="0" w:type="dxa"/>
            <w:right w:w="0" w:type="dxa"/>
          </w:tblCellMar>
        </w:tblPrEx>
        <w:trPr>
          <w:trHeight w:val="7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一级</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分值</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二级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分值</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指标解释</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bCs/>
                <w:i w:val="0"/>
                <w:color w:val="000000"/>
                <w:kern w:val="0"/>
                <w:sz w:val="20"/>
                <w:szCs w:val="20"/>
                <w:highlight w:val="none"/>
                <w:u w:val="none"/>
                <w:lang w:val="en-US" w:eastAsia="zh-CN" w:bidi="ar"/>
              </w:rPr>
              <w:t>得分</w:t>
            </w:r>
          </w:p>
        </w:tc>
      </w:tr>
      <w:tr>
        <w:tblPrEx>
          <w:tblCellMar>
            <w:top w:w="0" w:type="dxa"/>
            <w:left w:w="0" w:type="dxa"/>
            <w:bottom w:w="0" w:type="dxa"/>
            <w:right w:w="0" w:type="dxa"/>
          </w:tblCellMar>
        </w:tblPrEx>
        <w:trPr>
          <w:trHeight w:val="435"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投入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项目立项（12分）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项目立项规范性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项目的申请、设立过程是否符合相关要求，用以反映和考核项目立项的規范情况。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9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绩效目标合理性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项目所设定的绩效目标是否依椐充分，是否符合客观实际，用以反映和考核项目绩效目标与项目实施的相符情况。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2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绩效指标明确性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依椐绩效目标设定的绩效指标是否清晰、细化、可衡量等，用以反映和考核项目绩效目标的明细化情况。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6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117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资金落实（8分）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资金到位率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实际到位资金与计划投入资金的比率，用以反映和考核资金落实情况对项目实施的总体保障程度。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109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到位及时率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及时到位资金与应到位资金的比率，用以反映和考核项目资金落实的及时性程度。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520" w:hRule="atLeast"/>
          <w:jc w:val="center"/>
        </w:trPr>
        <w:tc>
          <w:tcPr>
            <w:tcW w:w="80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过程</w:t>
            </w:r>
          </w:p>
        </w:tc>
        <w:tc>
          <w:tcPr>
            <w:tcW w:w="49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业务管理（</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0分）</w:t>
            </w:r>
          </w:p>
        </w:tc>
        <w:tc>
          <w:tcPr>
            <w:tcW w:w="11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w:t>
            </w:r>
          </w:p>
        </w:tc>
        <w:tc>
          <w:tcPr>
            <w:tcW w:w="3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项目实施单位的业务管理制度是否健全，用以反映和考核业务管理制度对项目顺利实施的保障情况。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1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3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制度执行有效性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项目实施是否符合相关业务管理规定，用以反映和考核业务管理制度的有效执行情况。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7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项目质量可控性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项目实施单位是否为达到项目质量要求而采取了必需的措施，用以反映和考核项目实施单位对项目质量的控制情况。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财务管理（</w:t>
            </w:r>
            <w:r>
              <w:rPr>
                <w:rFonts w:hint="eastAsia" w:ascii="宋体" w:hAnsi="宋体" w:cs="宋体"/>
                <w:i w:val="0"/>
                <w:color w:val="000000"/>
                <w:kern w:val="0"/>
                <w:sz w:val="20"/>
                <w:szCs w:val="20"/>
                <w:highlight w:val="none"/>
                <w:u w:val="none"/>
                <w:lang w:val="en-US" w:eastAsia="zh-CN" w:bidi="ar"/>
              </w:rPr>
              <w:t>1</w:t>
            </w:r>
            <w:r>
              <w:rPr>
                <w:rFonts w:hint="eastAsia" w:ascii="宋体" w:hAnsi="宋体" w:eastAsia="宋体" w:cs="宋体"/>
                <w:i w:val="0"/>
                <w:color w:val="000000"/>
                <w:kern w:val="0"/>
                <w:sz w:val="20"/>
                <w:szCs w:val="20"/>
                <w:highlight w:val="none"/>
                <w:u w:val="none"/>
                <w:lang w:val="en-US" w:eastAsia="zh-CN" w:bidi="ar"/>
              </w:rPr>
              <w:t>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项目实施单位的财务制度是否健全，用以反映和考核财务管理制度对资金规范安全运行的保障情况。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资金使用合规性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项目资金使用是否符合相关的财务管理制度规定，用以反映和考核项目资金的规范运行情况。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0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财务监控有效性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项目实施单位是否为保障资金的安全、规范运行而采取了必要的监控措施，用以反映和考核项目实施单位对资金运行的控制情况。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42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产出</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项目产出（30分）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项目完成率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lang w:eastAsia="zh-CN"/>
              </w:rPr>
              <w:t>完成</w:t>
            </w:r>
            <w:r>
              <w:rPr>
                <w:rFonts w:hint="eastAsia" w:ascii="仿宋_GB2312" w:hAnsi="宋体" w:eastAsia="仿宋_GB2312" w:cs="仿宋_GB2312"/>
                <w:i w:val="0"/>
                <w:color w:val="000000"/>
                <w:sz w:val="20"/>
                <w:szCs w:val="20"/>
                <w:highlight w:val="none"/>
                <w:u w:val="none"/>
              </w:rPr>
              <w:t>审计项目24个</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9</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及时率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项目实际提前完成时间与计划完成时间的比率，用以反映和考核项目产出时效目标的实现程度。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质量达标率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项目完成的质量达标产出数与实际产出数的比率，用以反映和考核项目产出质量目标的实现程度。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成本控制率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审计费用控制在年初预算20万元以内</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78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效果</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项目效益（20分）</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查出违规金额3810万元</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8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提升政府形象</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7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可持续影响</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sz w:val="20"/>
                <w:szCs w:val="20"/>
                <w:highlight w:val="none"/>
                <w:u w:val="none"/>
              </w:rPr>
              <w:t>规范审计外出办案管理，控制审计风险，促进依法行政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9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社会公众或服务对象满意度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服务对象对项目实施和服务的满意程度。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9</w:t>
            </w:r>
            <w:r>
              <w:rPr>
                <w:rFonts w:hint="eastAsia" w:ascii="宋体" w:hAnsi="宋体" w:cs="宋体"/>
                <w:i w:val="0"/>
                <w:color w:val="000000"/>
                <w:kern w:val="0"/>
                <w:sz w:val="20"/>
                <w:szCs w:val="20"/>
                <w:highlight w:val="none"/>
                <w:u w:val="none"/>
                <w:lang w:val="en-US" w:eastAsia="zh-CN" w:bidi="ar"/>
              </w:rPr>
              <w:t>8</w:t>
            </w:r>
          </w:p>
        </w:tc>
      </w:tr>
    </w:tbl>
    <w:p>
      <w:pPr>
        <w:spacing w:line="600" w:lineRule="exact"/>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七、其他需要说明的问题</w:t>
      </w:r>
    </w:p>
    <w:p>
      <w:pPr>
        <w:spacing w:line="600" w:lineRule="exact"/>
        <w:ind w:firstLine="630"/>
        <w:rPr>
          <w:rFonts w:eastAsia="仿宋_GB2312"/>
          <w:sz w:val="32"/>
          <w:szCs w:val="32"/>
          <w:highlight w:val="none"/>
        </w:rPr>
      </w:pPr>
      <w:r>
        <w:rPr>
          <w:rFonts w:eastAsia="仿宋_GB2312"/>
          <w:sz w:val="32"/>
          <w:szCs w:val="32"/>
          <w:highlight w:val="none"/>
        </w:rPr>
        <w:t>（一）后续工作计划。</w:t>
      </w:r>
    </w:p>
    <w:p>
      <w:pPr>
        <w:spacing w:line="600" w:lineRule="exact"/>
        <w:ind w:firstLine="630"/>
        <w:rPr>
          <w:rFonts w:eastAsia="仿宋_GB2312"/>
          <w:sz w:val="32"/>
          <w:szCs w:val="32"/>
          <w:highlight w:val="none"/>
        </w:rPr>
      </w:pPr>
      <w:r>
        <w:rPr>
          <w:rFonts w:eastAsia="仿宋_GB2312"/>
          <w:sz w:val="32"/>
          <w:szCs w:val="32"/>
          <w:highlight w:val="none"/>
        </w:rPr>
        <w:t>（二）主要经验做法、存在的问题和建议。主要包括资金安排、使用过程中的经验、做法、存在的问题、改进措施和有关建议等。</w:t>
      </w:r>
    </w:p>
    <w:p>
      <w:pPr>
        <w:spacing w:line="600" w:lineRule="exact"/>
        <w:ind w:firstLine="630"/>
        <w:rPr>
          <w:rFonts w:eastAsia="仿宋_GB2312"/>
          <w:sz w:val="32"/>
          <w:szCs w:val="32"/>
          <w:highlight w:val="none"/>
        </w:rPr>
      </w:pPr>
      <w:r>
        <w:rPr>
          <w:rFonts w:hint="eastAsia" w:eastAsia="仿宋_GB2312"/>
          <w:sz w:val="32"/>
          <w:szCs w:val="32"/>
          <w:highlight w:val="none"/>
        </w:rPr>
        <w:t>围绕中心工作，全面提升审计监督效能。推进审计全覆盖，坚持巡审结合，做好重大政策跟踪、预算执行、财政财务收支、经济责任和自然资源资产审计等不同类型审计项目的统筹融合，实现“一个审计组，一次进点，一审多项，一果多用”。</w:t>
      </w:r>
    </w:p>
    <w:p>
      <w:pPr>
        <w:rPr>
          <w:highlight w:val="none"/>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FA384"/>
    <w:multiLevelType w:val="singleLevel"/>
    <w:tmpl w:val="F4BFA384"/>
    <w:lvl w:ilvl="0" w:tentative="0">
      <w:start w:val="2"/>
      <w:numFmt w:val="chineseCounting"/>
      <w:suff w:val="nothing"/>
      <w:lvlText w:val="（%1）"/>
      <w:lvlJc w:val="left"/>
      <w:rPr>
        <w:rFonts w:hint="eastAsia"/>
      </w:rPr>
    </w:lvl>
  </w:abstractNum>
  <w:abstractNum w:abstractNumId="1">
    <w:nsid w:val="305A26EB"/>
    <w:multiLevelType w:val="singleLevel"/>
    <w:tmpl w:val="305A26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23674"/>
    <w:rsid w:val="22C51103"/>
    <w:rsid w:val="2C826A6E"/>
    <w:rsid w:val="2EA23674"/>
    <w:rsid w:val="32406465"/>
    <w:rsid w:val="34D027E8"/>
    <w:rsid w:val="5A436EBA"/>
    <w:rsid w:val="72D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2021-08-16T08:20:00Z</dcterms:created>
  <dc:creator>LX</dc:creator>
  <cp:lastModifiedBy>LX</cp:lastModifiedBy>
  <dcterms:modified xsi:type="dcterms:W3CDTF">2021-08-26T08:38:39Z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A1F4D8C138954747A52F4E08FE35859A</vt:lpwstr>
  </property>
</Properties>
</file>