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D5" w:rsidRDefault="008A75D1">
      <w:pPr>
        <w:pStyle w:val="2"/>
        <w:adjustRightInd w:val="0"/>
        <w:snapToGrid w:val="0"/>
        <w:spacing w:before="0" w:after="0" w:line="600" w:lineRule="exact"/>
        <w:rPr>
          <w:rFonts w:ascii="Times New Roman" w:eastAsia="仿宋_GB2312" w:hAnsi="Times New Roman"/>
        </w:rPr>
      </w:pPr>
      <w:r>
        <w:rPr>
          <w:rFonts w:ascii="Times New Roman" w:eastAsia="仿宋_GB2312" w:hAnsi="Times New Roman"/>
          <w:b w:val="0"/>
          <w:bCs w:val="0"/>
        </w:rPr>
        <w:t>附件</w:t>
      </w:r>
      <w:r w:rsidR="005B6CE2">
        <w:rPr>
          <w:rFonts w:ascii="Times New Roman" w:eastAsia="仿宋_GB2312" w:hAnsi="Times New Roman" w:hint="eastAsia"/>
          <w:b w:val="0"/>
          <w:bCs w:val="0"/>
        </w:rPr>
        <w:t>8</w:t>
      </w:r>
      <w:r>
        <w:rPr>
          <w:rFonts w:ascii="Times New Roman" w:eastAsia="仿宋_GB2312" w:hAnsi="Times New Roman"/>
          <w:b w:val="0"/>
          <w:bCs w:val="0"/>
        </w:rPr>
        <w:t>：</w:t>
      </w:r>
    </w:p>
    <w:p w:rsidR="00E850D5" w:rsidRDefault="00E850D5">
      <w:pPr>
        <w:pStyle w:val="2"/>
        <w:adjustRightInd w:val="0"/>
        <w:snapToGrid w:val="0"/>
        <w:spacing w:before="0" w:after="0" w:line="600" w:lineRule="exact"/>
        <w:jc w:val="center"/>
        <w:rPr>
          <w:rFonts w:ascii="Times New Roman" w:hAnsi="Times New Roman"/>
          <w:sz w:val="44"/>
          <w:szCs w:val="44"/>
        </w:rPr>
      </w:pPr>
    </w:p>
    <w:p w:rsidR="00E850D5" w:rsidRDefault="008A75D1">
      <w:pPr>
        <w:pStyle w:val="2"/>
        <w:adjustRightInd w:val="0"/>
        <w:snapToGrid w:val="0"/>
        <w:spacing w:before="0" w:after="0" w:line="600" w:lineRule="exact"/>
        <w:jc w:val="center"/>
        <w:rPr>
          <w:rFonts w:ascii="Times New Roman" w:hAnsi="Times New Roman"/>
          <w:sz w:val="44"/>
          <w:szCs w:val="44"/>
        </w:rPr>
      </w:pPr>
      <w:r>
        <w:rPr>
          <w:rFonts w:ascii="Times New Roman" w:hAnsi="Times New Roman"/>
          <w:sz w:val="44"/>
          <w:szCs w:val="44"/>
        </w:rPr>
        <w:t>20</w:t>
      </w:r>
      <w:r>
        <w:rPr>
          <w:rFonts w:ascii="Times New Roman" w:hAnsi="Times New Roman" w:hint="eastAsia"/>
          <w:sz w:val="44"/>
          <w:szCs w:val="44"/>
        </w:rPr>
        <w:t>20</w:t>
      </w:r>
      <w:r>
        <w:rPr>
          <w:rFonts w:ascii="Times New Roman" w:hAnsi="Times New Roman"/>
          <w:sz w:val="44"/>
          <w:szCs w:val="44"/>
        </w:rPr>
        <w:t>年度</w:t>
      </w:r>
      <w:r>
        <w:rPr>
          <w:rFonts w:ascii="Times New Roman" w:hAnsi="Times New Roman" w:hint="eastAsia"/>
          <w:sz w:val="44"/>
          <w:szCs w:val="44"/>
        </w:rPr>
        <w:t>法制培训和执法证考试</w:t>
      </w:r>
      <w:r w:rsidR="00D63AF5">
        <w:rPr>
          <w:rFonts w:ascii="Times New Roman" w:hAnsi="Times New Roman"/>
          <w:sz w:val="44"/>
          <w:szCs w:val="44"/>
        </w:rPr>
        <w:t>专项</w:t>
      </w:r>
      <w:r w:rsidR="00DA1533">
        <w:rPr>
          <w:rFonts w:ascii="Times New Roman" w:hAnsi="Times New Roman" w:hint="eastAsia"/>
          <w:sz w:val="44"/>
          <w:szCs w:val="44"/>
        </w:rPr>
        <w:t>经费</w:t>
      </w:r>
      <w:r w:rsidR="00D63AF5">
        <w:rPr>
          <w:rFonts w:ascii="Times New Roman" w:hAnsi="Times New Roman"/>
          <w:sz w:val="44"/>
          <w:szCs w:val="44"/>
        </w:rPr>
        <w:t>支出</w:t>
      </w:r>
      <w:r>
        <w:rPr>
          <w:rFonts w:ascii="Times New Roman" w:hAnsi="Times New Roman"/>
          <w:sz w:val="44"/>
          <w:szCs w:val="44"/>
        </w:rPr>
        <w:t>绩效</w:t>
      </w:r>
      <w:r w:rsidR="00D63AF5">
        <w:rPr>
          <w:rFonts w:ascii="Times New Roman" w:hAnsi="Times New Roman"/>
          <w:sz w:val="44"/>
          <w:szCs w:val="44"/>
        </w:rPr>
        <w:t>评价</w:t>
      </w:r>
      <w:r>
        <w:rPr>
          <w:rFonts w:ascii="Times New Roman" w:hAnsi="Times New Roman"/>
          <w:sz w:val="44"/>
          <w:szCs w:val="44"/>
        </w:rPr>
        <w:t>报告</w:t>
      </w:r>
    </w:p>
    <w:p w:rsidR="00E850D5" w:rsidRPr="00D63AF5" w:rsidRDefault="00E850D5">
      <w:pPr>
        <w:rPr>
          <w:rFonts w:eastAsia="仿宋_GB2312"/>
          <w:sz w:val="32"/>
          <w:szCs w:val="32"/>
        </w:rPr>
      </w:pPr>
    </w:p>
    <w:p w:rsidR="00E850D5" w:rsidRDefault="008A75D1">
      <w:pPr>
        <w:spacing w:line="600" w:lineRule="exact"/>
        <w:ind w:firstLineChars="200" w:firstLine="640"/>
        <w:rPr>
          <w:rFonts w:eastAsia="黑体"/>
          <w:sz w:val="32"/>
          <w:szCs w:val="32"/>
        </w:rPr>
      </w:pPr>
      <w:r>
        <w:rPr>
          <w:rFonts w:eastAsia="黑体"/>
          <w:sz w:val="32"/>
          <w:szCs w:val="32"/>
        </w:rPr>
        <w:t>一、项目概况</w:t>
      </w:r>
    </w:p>
    <w:p w:rsidR="00E850D5" w:rsidRDefault="008A75D1">
      <w:pPr>
        <w:spacing w:line="600" w:lineRule="exact"/>
        <w:ind w:firstLineChars="200" w:firstLine="640"/>
        <w:rPr>
          <w:rFonts w:eastAsia="仿宋_GB2312"/>
          <w:sz w:val="32"/>
          <w:szCs w:val="32"/>
        </w:rPr>
      </w:pPr>
      <w:r>
        <w:rPr>
          <w:rFonts w:eastAsia="仿宋_GB2312"/>
          <w:sz w:val="32"/>
          <w:szCs w:val="32"/>
        </w:rPr>
        <w:t>（一）项目单位基本情况。</w:t>
      </w:r>
    </w:p>
    <w:p w:rsidR="00E850D5" w:rsidRDefault="008A75D1">
      <w:pPr>
        <w:pStyle w:val="a6"/>
        <w:spacing w:before="0" w:beforeAutospacing="0" w:after="0" w:afterAutospacing="0" w:line="360" w:lineRule="auto"/>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根据《湖南省行政执法人员和行政执法辅助人员管理办法》文件精神，加强对行政执法人员和行政执法辅助人员的管理，规范执法行为，促进依法行政。</w:t>
      </w:r>
    </w:p>
    <w:p w:rsidR="00E850D5" w:rsidRDefault="008A75D1">
      <w:pPr>
        <w:spacing w:line="60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项目基本情况简介</w:t>
      </w:r>
      <w:r>
        <w:rPr>
          <w:rFonts w:eastAsia="仿宋_GB2312" w:hint="eastAsia"/>
          <w:sz w:val="32"/>
          <w:szCs w:val="32"/>
        </w:rPr>
        <w:t>。</w:t>
      </w:r>
    </w:p>
    <w:p w:rsidR="00E850D5" w:rsidRDefault="008A75D1">
      <w:pPr>
        <w:spacing w:line="600" w:lineRule="exact"/>
        <w:ind w:firstLineChars="200" w:firstLine="640"/>
        <w:rPr>
          <w:rFonts w:eastAsia="仿宋"/>
          <w:sz w:val="32"/>
          <w:szCs w:val="32"/>
        </w:rPr>
      </w:pPr>
      <w:r>
        <w:rPr>
          <w:rFonts w:eastAsia="仿宋_GB2312" w:hint="eastAsia"/>
          <w:sz w:val="32"/>
          <w:szCs w:val="32"/>
        </w:rPr>
        <w:t xml:space="preserve"> </w:t>
      </w:r>
      <w:r>
        <w:rPr>
          <w:rFonts w:eastAsia="仿宋_GB2312" w:hint="eastAsia"/>
          <w:sz w:val="32"/>
          <w:szCs w:val="32"/>
        </w:rPr>
        <w:t>组织全县行政执法证考试组考工作，开展行政执法四项制度培训工作。对执法证和监督证进行信息录入及维护。</w:t>
      </w:r>
    </w:p>
    <w:p w:rsidR="00E850D5" w:rsidRDefault="008A75D1">
      <w:pPr>
        <w:spacing w:line="600" w:lineRule="exact"/>
        <w:ind w:firstLineChars="200" w:firstLine="640"/>
        <w:rPr>
          <w:rFonts w:eastAsia="黑体"/>
          <w:sz w:val="32"/>
          <w:szCs w:val="32"/>
        </w:rPr>
      </w:pPr>
      <w:r>
        <w:rPr>
          <w:rFonts w:eastAsia="黑体"/>
          <w:sz w:val="32"/>
          <w:szCs w:val="32"/>
        </w:rPr>
        <w:t>二、项目绩效目标</w:t>
      </w:r>
    </w:p>
    <w:p w:rsidR="00E850D5" w:rsidRDefault="008A75D1">
      <w:pPr>
        <w:spacing w:line="600" w:lineRule="exact"/>
        <w:ind w:firstLineChars="200" w:firstLine="640"/>
        <w:rPr>
          <w:rFonts w:eastAsia="仿宋_GB2312"/>
          <w:sz w:val="32"/>
          <w:szCs w:val="32"/>
        </w:rPr>
      </w:pPr>
      <w:r>
        <w:rPr>
          <w:rFonts w:eastAsia="仿宋_GB2312"/>
          <w:sz w:val="32"/>
          <w:szCs w:val="32"/>
        </w:rPr>
        <w:t>（一）项目绩效总目标。</w:t>
      </w:r>
    </w:p>
    <w:p w:rsidR="00E850D5" w:rsidRDefault="008A75D1">
      <w:pPr>
        <w:spacing w:line="600" w:lineRule="exact"/>
        <w:ind w:firstLineChars="200" w:firstLine="640"/>
        <w:rPr>
          <w:rFonts w:eastAsia="仿宋_GB2312"/>
          <w:sz w:val="32"/>
          <w:szCs w:val="32"/>
        </w:rPr>
      </w:pPr>
      <w:r>
        <w:rPr>
          <w:rFonts w:eastAsia="仿宋_GB2312" w:hint="eastAsia"/>
          <w:sz w:val="32"/>
          <w:szCs w:val="32"/>
        </w:rPr>
        <w:t>规范执法行为，维护和保障公民、法人和其他组织的正当权利和合法权益。</w:t>
      </w:r>
    </w:p>
    <w:p w:rsidR="00E850D5" w:rsidRDefault="008A75D1">
      <w:pPr>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Pr>
          <w:rFonts w:eastAsia="仿宋_GB2312" w:hint="eastAsia"/>
          <w:sz w:val="32"/>
          <w:szCs w:val="32"/>
        </w:rPr>
        <w:t>20</w:t>
      </w:r>
      <w:r>
        <w:rPr>
          <w:rFonts w:eastAsia="仿宋_GB2312"/>
          <w:sz w:val="32"/>
          <w:szCs w:val="32"/>
        </w:rPr>
        <w:t>年绩效目标。</w:t>
      </w:r>
    </w:p>
    <w:p w:rsidR="00E850D5" w:rsidRDefault="008A75D1">
      <w:pPr>
        <w:spacing w:line="600" w:lineRule="exact"/>
        <w:ind w:firstLineChars="200" w:firstLine="640"/>
        <w:rPr>
          <w:rFonts w:eastAsia="仿宋_GB2312"/>
          <w:sz w:val="32"/>
          <w:szCs w:val="32"/>
        </w:rPr>
      </w:pPr>
      <w:r>
        <w:rPr>
          <w:rFonts w:eastAsia="仿宋_GB2312" w:hint="eastAsia"/>
          <w:sz w:val="32"/>
          <w:szCs w:val="32"/>
        </w:rPr>
        <w:t>加强对行政执法人员和行政执法辅助人员的管理，规范执法行为，促进依法行政。</w:t>
      </w:r>
    </w:p>
    <w:p w:rsidR="00E850D5" w:rsidRDefault="008A75D1">
      <w:pPr>
        <w:spacing w:line="600" w:lineRule="exact"/>
        <w:ind w:firstLineChars="200" w:firstLine="640"/>
        <w:rPr>
          <w:rFonts w:eastAsia="黑体"/>
          <w:sz w:val="32"/>
          <w:szCs w:val="32"/>
        </w:rPr>
      </w:pPr>
      <w:r>
        <w:rPr>
          <w:rFonts w:eastAsia="黑体"/>
          <w:sz w:val="32"/>
          <w:szCs w:val="32"/>
        </w:rPr>
        <w:t>三、项目资金使用及管理情况</w:t>
      </w:r>
    </w:p>
    <w:p w:rsidR="00E850D5" w:rsidRDefault="008A75D1">
      <w:pPr>
        <w:spacing w:line="60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法制培训和执法证考试工作经费为</w:t>
      </w:r>
      <w:r>
        <w:rPr>
          <w:rFonts w:eastAsia="仿宋_GB2312" w:hint="eastAsia"/>
          <w:sz w:val="32"/>
          <w:szCs w:val="32"/>
        </w:rPr>
        <w:t>30</w:t>
      </w:r>
      <w:r>
        <w:rPr>
          <w:rFonts w:eastAsia="仿宋_GB2312" w:hint="eastAsia"/>
          <w:sz w:val="32"/>
          <w:szCs w:val="32"/>
        </w:rPr>
        <w:t>万元，全部为财政安排资金。</w:t>
      </w:r>
    </w:p>
    <w:p w:rsidR="00E850D5" w:rsidRDefault="008A75D1">
      <w:pPr>
        <w:spacing w:line="600" w:lineRule="exact"/>
        <w:ind w:firstLineChars="200" w:firstLine="640"/>
        <w:rPr>
          <w:rFonts w:eastAsia="仿宋_GB2312"/>
          <w:sz w:val="32"/>
          <w:szCs w:val="32"/>
        </w:rPr>
      </w:pPr>
      <w:r>
        <w:rPr>
          <w:rFonts w:eastAsia="仿宋_GB2312"/>
          <w:sz w:val="32"/>
          <w:szCs w:val="32"/>
        </w:rPr>
        <w:lastRenderedPageBreak/>
        <w:t>（二）</w:t>
      </w:r>
      <w:r>
        <w:rPr>
          <w:rFonts w:eastAsia="仿宋_GB2312" w:hint="eastAsia"/>
          <w:sz w:val="32"/>
          <w:szCs w:val="32"/>
        </w:rPr>
        <w:t>法制培训和执法证考试工作经费主要用于执法证考试、行政执法四项制度培训、两证录入及维护等支出。</w:t>
      </w:r>
    </w:p>
    <w:p w:rsidR="00E850D5" w:rsidRDefault="008A75D1">
      <w:pPr>
        <w:spacing w:line="60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项目资金支出严格按《澧县司法局财政专项资金管理办法》要求列支，确保专款专用。</w:t>
      </w:r>
    </w:p>
    <w:p w:rsidR="00E850D5" w:rsidRDefault="008A75D1">
      <w:pPr>
        <w:spacing w:line="600" w:lineRule="exact"/>
        <w:ind w:firstLineChars="200" w:firstLine="640"/>
        <w:rPr>
          <w:rFonts w:eastAsia="黑体"/>
          <w:sz w:val="32"/>
          <w:szCs w:val="32"/>
        </w:rPr>
      </w:pPr>
      <w:r>
        <w:rPr>
          <w:rFonts w:eastAsia="黑体"/>
          <w:sz w:val="32"/>
          <w:szCs w:val="32"/>
        </w:rPr>
        <w:t>四、项目组织实施情况</w:t>
      </w:r>
    </w:p>
    <w:p w:rsidR="00E850D5" w:rsidRDefault="008A75D1">
      <w:pPr>
        <w:spacing w:line="600" w:lineRule="exact"/>
        <w:ind w:firstLineChars="200" w:firstLine="640"/>
        <w:rPr>
          <w:rFonts w:eastAsia="仿宋_GB2312"/>
          <w:sz w:val="32"/>
          <w:szCs w:val="32"/>
        </w:rPr>
      </w:pPr>
      <w:r>
        <w:rPr>
          <w:rFonts w:eastAsia="仿宋_GB2312" w:hint="eastAsia"/>
          <w:sz w:val="32"/>
          <w:szCs w:val="32"/>
        </w:rPr>
        <w:t>无</w:t>
      </w:r>
    </w:p>
    <w:p w:rsidR="00E850D5" w:rsidRDefault="008A75D1">
      <w:pPr>
        <w:spacing w:line="600" w:lineRule="exact"/>
        <w:ind w:firstLineChars="200" w:firstLine="640"/>
        <w:rPr>
          <w:rFonts w:eastAsia="黑体"/>
          <w:sz w:val="32"/>
          <w:szCs w:val="32"/>
        </w:rPr>
      </w:pPr>
      <w:r>
        <w:rPr>
          <w:rFonts w:eastAsia="黑体"/>
          <w:sz w:val="32"/>
          <w:szCs w:val="32"/>
        </w:rPr>
        <w:t>五、项目绩效情况</w:t>
      </w:r>
    </w:p>
    <w:p w:rsidR="00E850D5" w:rsidRPr="005B6CE2" w:rsidRDefault="008A75D1" w:rsidP="005B6CE2">
      <w:pPr>
        <w:ind w:firstLineChars="200" w:firstLine="640"/>
        <w:rPr>
          <w:rFonts w:eastAsia="仿宋_GB2312"/>
          <w:sz w:val="32"/>
          <w:szCs w:val="32"/>
        </w:rPr>
      </w:pPr>
      <w:r w:rsidRPr="005B6CE2">
        <w:rPr>
          <w:rFonts w:eastAsia="仿宋_GB2312" w:hint="eastAsia"/>
          <w:sz w:val="32"/>
          <w:szCs w:val="32"/>
        </w:rPr>
        <w:t>完成本年度行政执法证考试组考工作，共组织</w:t>
      </w:r>
      <w:r w:rsidRPr="005B6CE2">
        <w:rPr>
          <w:rFonts w:eastAsia="仿宋_GB2312" w:hint="eastAsia"/>
          <w:sz w:val="32"/>
          <w:szCs w:val="32"/>
        </w:rPr>
        <w:t>391</w:t>
      </w:r>
      <w:r w:rsidRPr="005B6CE2">
        <w:rPr>
          <w:rFonts w:eastAsia="仿宋_GB2312" w:hint="eastAsia"/>
          <w:sz w:val="32"/>
          <w:szCs w:val="32"/>
        </w:rPr>
        <w:t>人参加考试。狠抓行政执法“四项制度”落实，组织全县</w:t>
      </w:r>
      <w:r w:rsidRPr="005B6CE2">
        <w:rPr>
          <w:rFonts w:eastAsia="仿宋_GB2312" w:hint="eastAsia"/>
          <w:sz w:val="32"/>
          <w:szCs w:val="32"/>
        </w:rPr>
        <w:t>120</w:t>
      </w:r>
      <w:r w:rsidRPr="005B6CE2">
        <w:rPr>
          <w:rFonts w:eastAsia="仿宋_GB2312" w:hint="eastAsia"/>
          <w:sz w:val="32"/>
          <w:szCs w:val="32"/>
        </w:rPr>
        <w:t>名行政执法骨干集中培训，邀请省、市两级专家领导现场授课。联合县政府督查室开展了对全县行政执法单位和镇街的法治政府督查工作。</w:t>
      </w:r>
    </w:p>
    <w:p w:rsidR="00E850D5" w:rsidRDefault="008A75D1">
      <w:pPr>
        <w:spacing w:line="600" w:lineRule="exact"/>
        <w:ind w:firstLineChars="200" w:firstLine="640"/>
        <w:rPr>
          <w:rFonts w:eastAsia="黑体"/>
          <w:sz w:val="32"/>
          <w:szCs w:val="32"/>
        </w:rPr>
      </w:pPr>
      <w:r>
        <w:rPr>
          <w:rFonts w:eastAsia="黑体"/>
          <w:sz w:val="32"/>
          <w:szCs w:val="32"/>
        </w:rPr>
        <w:t>六、项目自评结果</w:t>
      </w:r>
    </w:p>
    <w:p w:rsidR="00E850D5" w:rsidRDefault="008A75D1">
      <w:pPr>
        <w:spacing w:line="600" w:lineRule="exact"/>
        <w:ind w:firstLineChars="200" w:firstLine="640"/>
        <w:rPr>
          <w:rFonts w:eastAsia="仿宋_GB2312"/>
          <w:sz w:val="32"/>
          <w:szCs w:val="32"/>
        </w:rPr>
      </w:pPr>
      <w:r>
        <w:rPr>
          <w:rFonts w:eastAsia="仿宋_GB2312" w:hint="eastAsia"/>
          <w:sz w:val="32"/>
          <w:szCs w:val="32"/>
        </w:rPr>
        <w:t>优</w:t>
      </w:r>
    </w:p>
    <w:p w:rsidR="00E850D5" w:rsidRDefault="008A75D1">
      <w:pPr>
        <w:spacing w:line="600" w:lineRule="exact"/>
        <w:ind w:firstLineChars="200" w:firstLine="640"/>
        <w:rPr>
          <w:rFonts w:eastAsia="黑体"/>
          <w:sz w:val="32"/>
          <w:szCs w:val="32"/>
        </w:rPr>
      </w:pPr>
      <w:r>
        <w:rPr>
          <w:rFonts w:eastAsia="黑体"/>
          <w:sz w:val="32"/>
          <w:szCs w:val="32"/>
        </w:rPr>
        <w:t>七、其他需要说明的问题</w:t>
      </w:r>
    </w:p>
    <w:p w:rsidR="00E850D5" w:rsidRDefault="008A75D1">
      <w:pPr>
        <w:spacing w:line="600" w:lineRule="exact"/>
        <w:ind w:firstLine="630"/>
        <w:rPr>
          <w:rFonts w:eastAsia="仿宋_GB2312"/>
          <w:sz w:val="32"/>
          <w:szCs w:val="32"/>
        </w:rPr>
      </w:pPr>
      <w:r>
        <w:rPr>
          <w:rFonts w:eastAsia="仿宋_GB2312"/>
          <w:sz w:val="32"/>
          <w:szCs w:val="32"/>
        </w:rPr>
        <w:t>后续工作计划。</w:t>
      </w:r>
    </w:p>
    <w:p w:rsidR="008A75D1" w:rsidRDefault="008A75D1">
      <w:pPr>
        <w:spacing w:line="600" w:lineRule="exact"/>
        <w:ind w:firstLine="630"/>
        <w:rPr>
          <w:rFonts w:eastAsia="仿宋_GB2312"/>
          <w:sz w:val="32"/>
          <w:szCs w:val="32"/>
        </w:rPr>
      </w:pPr>
      <w:r>
        <w:rPr>
          <w:rFonts w:ascii="仿宋_GB2312" w:eastAsia="仿宋_GB2312" w:hAnsi="仿宋" w:hint="eastAsia"/>
          <w:sz w:val="32"/>
          <w:szCs w:val="32"/>
        </w:rPr>
        <w:t>进一步推动落实行政执法“四项制度”，严格规范公正文明执法，联合人大等相关职能部门形成合力</w:t>
      </w:r>
      <w:r>
        <w:rPr>
          <w:rFonts w:eastAsia="仿宋_GB2312" w:hint="eastAsia"/>
          <w:sz w:val="32"/>
          <w:szCs w:val="32"/>
        </w:rPr>
        <w:t>，</w:t>
      </w:r>
      <w:r>
        <w:rPr>
          <w:rFonts w:ascii="仿宋_GB2312" w:eastAsia="仿宋_GB2312" w:hAnsi="仿宋" w:hint="eastAsia"/>
          <w:sz w:val="32"/>
          <w:szCs w:val="32"/>
        </w:rPr>
        <w:t>组织开展行政执法质量案件评查活动和现场督察，重点对各行政执法部门的执法案卷及执法记录仪购置使用情况进行全面清理整顿，</w:t>
      </w:r>
      <w:r>
        <w:rPr>
          <w:rFonts w:eastAsia="仿宋_GB2312" w:hint="eastAsia"/>
          <w:sz w:val="32"/>
          <w:szCs w:val="32"/>
        </w:rPr>
        <w:t>因时因地培育法治实践典型。</w:t>
      </w:r>
      <w:r>
        <w:rPr>
          <w:rFonts w:ascii="仿宋_GB2312" w:eastAsia="仿宋_GB2312" w:hAnsi="仿宋" w:hint="eastAsia"/>
          <w:sz w:val="32"/>
          <w:szCs w:val="32"/>
        </w:rPr>
        <w:t>加大培训力度，全面提升执法人员的业务水平</w:t>
      </w:r>
      <w:r>
        <w:rPr>
          <w:rFonts w:ascii="仿宋_GB2312" w:eastAsia="仿宋_GB2312" w:hint="eastAsia"/>
          <w:sz w:val="32"/>
          <w:szCs w:val="32"/>
        </w:rPr>
        <w:t>。</w:t>
      </w:r>
    </w:p>
    <w:sectPr w:rsidR="008A75D1" w:rsidSect="00E850D5">
      <w:head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18" w:rsidRDefault="00EA1018">
      <w:r>
        <w:separator/>
      </w:r>
    </w:p>
  </w:endnote>
  <w:endnote w:type="continuationSeparator" w:id="1">
    <w:p w:rsidR="00EA1018" w:rsidRDefault="00EA10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18" w:rsidRDefault="00EA1018">
      <w:r>
        <w:separator/>
      </w:r>
    </w:p>
  </w:footnote>
  <w:footnote w:type="continuationSeparator" w:id="1">
    <w:p w:rsidR="00EA1018" w:rsidRDefault="00EA1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0D5" w:rsidRDefault="00E850D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DE2"/>
    <w:rsid w:val="00061D78"/>
    <w:rsid w:val="001073B3"/>
    <w:rsid w:val="00164A35"/>
    <w:rsid w:val="001D5F82"/>
    <w:rsid w:val="001E725D"/>
    <w:rsid w:val="00213936"/>
    <w:rsid w:val="00240C57"/>
    <w:rsid w:val="00242F11"/>
    <w:rsid w:val="0026042E"/>
    <w:rsid w:val="002A4890"/>
    <w:rsid w:val="002D25E0"/>
    <w:rsid w:val="00375DC5"/>
    <w:rsid w:val="00385044"/>
    <w:rsid w:val="003F3FCC"/>
    <w:rsid w:val="004348F1"/>
    <w:rsid w:val="00517D78"/>
    <w:rsid w:val="00541B5C"/>
    <w:rsid w:val="00561701"/>
    <w:rsid w:val="00562F75"/>
    <w:rsid w:val="00570A97"/>
    <w:rsid w:val="005931A7"/>
    <w:rsid w:val="005A085E"/>
    <w:rsid w:val="005A1105"/>
    <w:rsid w:val="005A42DD"/>
    <w:rsid w:val="005B6CE2"/>
    <w:rsid w:val="0065442E"/>
    <w:rsid w:val="006F293C"/>
    <w:rsid w:val="00727977"/>
    <w:rsid w:val="00746AE9"/>
    <w:rsid w:val="00806D75"/>
    <w:rsid w:val="00814AFE"/>
    <w:rsid w:val="008367F5"/>
    <w:rsid w:val="008A75D1"/>
    <w:rsid w:val="0094322D"/>
    <w:rsid w:val="00953094"/>
    <w:rsid w:val="009C2DBB"/>
    <w:rsid w:val="00A300D1"/>
    <w:rsid w:val="00A32113"/>
    <w:rsid w:val="00A50D4E"/>
    <w:rsid w:val="00A62B79"/>
    <w:rsid w:val="00B66D8E"/>
    <w:rsid w:val="00B741B6"/>
    <w:rsid w:val="00B8007C"/>
    <w:rsid w:val="00C60501"/>
    <w:rsid w:val="00C913B0"/>
    <w:rsid w:val="00CF24E0"/>
    <w:rsid w:val="00D36058"/>
    <w:rsid w:val="00D63AF5"/>
    <w:rsid w:val="00D82DA2"/>
    <w:rsid w:val="00DA1533"/>
    <w:rsid w:val="00E40501"/>
    <w:rsid w:val="00E64DE2"/>
    <w:rsid w:val="00E850D5"/>
    <w:rsid w:val="00EA1018"/>
    <w:rsid w:val="00EC53F0"/>
    <w:rsid w:val="00F728A2"/>
    <w:rsid w:val="00FC32B9"/>
    <w:rsid w:val="00FF5750"/>
    <w:rsid w:val="24A81216"/>
    <w:rsid w:val="363707DD"/>
    <w:rsid w:val="4F1E51B7"/>
    <w:rsid w:val="5B605EB8"/>
    <w:rsid w:val="7F6D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semiHidden="0" w:uiPriority="0" w:unhideWhenUsed="0"/>
    <w:lsdException w:name="Normal Table" w:semiHidden="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D5"/>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E850D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qFormat/>
    <w:locked/>
    <w:rsid w:val="00E850D5"/>
    <w:rPr>
      <w:rFonts w:eastAsia="宋体" w:cs="Times New Roman"/>
      <w:sz w:val="18"/>
      <w:szCs w:val="18"/>
    </w:rPr>
  </w:style>
  <w:style w:type="character" w:customStyle="1" w:styleId="2Char">
    <w:name w:val="标题 2 Char"/>
    <w:basedOn w:val="a0"/>
    <w:link w:val="2"/>
    <w:uiPriority w:val="99"/>
    <w:locked/>
    <w:rsid w:val="00E850D5"/>
    <w:rPr>
      <w:rFonts w:ascii="Cambria" w:eastAsia="宋体" w:hAnsi="Cambria" w:cs="Times New Roman"/>
      <w:b/>
      <w:bCs/>
    </w:rPr>
  </w:style>
  <w:style w:type="character" w:customStyle="1" w:styleId="Char0">
    <w:name w:val="页脚 Char"/>
    <w:basedOn w:val="a0"/>
    <w:link w:val="a4"/>
    <w:uiPriority w:val="99"/>
    <w:semiHidden/>
    <w:qFormat/>
    <w:locked/>
    <w:rsid w:val="00E850D5"/>
    <w:rPr>
      <w:rFonts w:eastAsia="宋体" w:cs="Times New Roman"/>
      <w:sz w:val="18"/>
      <w:szCs w:val="18"/>
    </w:rPr>
  </w:style>
  <w:style w:type="character" w:customStyle="1" w:styleId="Char1">
    <w:name w:val="文档结构图 Char"/>
    <w:basedOn w:val="a0"/>
    <w:link w:val="a5"/>
    <w:uiPriority w:val="99"/>
    <w:semiHidden/>
    <w:qFormat/>
    <w:locked/>
    <w:rsid w:val="00E850D5"/>
    <w:rPr>
      <w:rFonts w:eastAsia="宋体" w:cs="Times New Roman"/>
      <w:sz w:val="2"/>
    </w:rPr>
  </w:style>
  <w:style w:type="paragraph" w:styleId="a6">
    <w:name w:val="Normal (Web)"/>
    <w:basedOn w:val="a"/>
    <w:rsid w:val="00E850D5"/>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rsid w:val="00E850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qFormat/>
    <w:rsid w:val="00E850D5"/>
    <w:pPr>
      <w:tabs>
        <w:tab w:val="center" w:pos="4153"/>
        <w:tab w:val="right" w:pos="8306"/>
      </w:tabs>
      <w:snapToGrid w:val="0"/>
      <w:jc w:val="left"/>
    </w:pPr>
    <w:rPr>
      <w:sz w:val="18"/>
      <w:szCs w:val="18"/>
    </w:rPr>
  </w:style>
  <w:style w:type="paragraph" w:styleId="a5">
    <w:name w:val="Document Map"/>
    <w:basedOn w:val="a"/>
    <w:link w:val="Char1"/>
    <w:uiPriority w:val="99"/>
    <w:semiHidden/>
    <w:qFormat/>
    <w:rsid w:val="00E850D5"/>
    <w:pPr>
      <w:shd w:val="clear" w:color="auto" w:fill="00008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628</Characters>
  <Application>Microsoft Office Word</Application>
  <DocSecurity>0</DocSecurity>
  <Lines>5</Lines>
  <Paragraphs>1</Paragraphs>
  <ScaleCrop>false</ScaleCrop>
  <Company>Micorosoft</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cp:lastPrinted>2021-07-16T01:27:00Z</cp:lastPrinted>
  <dcterms:created xsi:type="dcterms:W3CDTF">2021-09-07T00:53:00Z</dcterms:created>
  <dcterms:modified xsi:type="dcterms:W3CDTF">2021-09-07T00:54:00Z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