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
          <w:bCs/>
          <w:color w:val="000000"/>
          <w:sz w:val="44"/>
          <w:szCs w:val="44"/>
          <w:shd w:val="clear" w:color="auto" w:fill="FFFFFF"/>
        </w:rPr>
      </w:pPr>
      <w:r>
        <w:rPr>
          <w:rFonts w:hint="eastAsia" w:ascii="方正小标宋简体" w:eastAsia="方正小标宋简体"/>
          <w:b/>
          <w:bCs/>
          <w:color w:val="000000"/>
          <w:sz w:val="44"/>
          <w:szCs w:val="44"/>
          <w:shd w:val="clear" w:color="auto" w:fill="FFFFFF"/>
          <w:lang w:eastAsia="zh-CN"/>
        </w:rPr>
        <w:t>农机事务中心系统2020</w:t>
      </w:r>
      <w:r>
        <w:rPr>
          <w:rFonts w:hint="eastAsia" w:ascii="方正小标宋简体" w:eastAsia="方正小标宋简体"/>
          <w:b/>
          <w:bCs/>
          <w:color w:val="000000"/>
          <w:sz w:val="44"/>
          <w:szCs w:val="44"/>
          <w:shd w:val="clear" w:color="auto" w:fill="FFFFFF"/>
        </w:rPr>
        <w:t>年部门整体支出绩效报告</w:t>
      </w:r>
    </w:p>
    <w:p>
      <w:pPr>
        <w:jc w:val="center"/>
        <w:rPr>
          <w:rFonts w:hint="eastAsia" w:ascii="方正小标宋简体" w:eastAsia="方正小标宋简体"/>
          <w:b/>
          <w:bCs/>
          <w:color w:val="000000"/>
          <w:sz w:val="44"/>
          <w:szCs w:val="44"/>
          <w:shd w:val="clear" w:color="auto" w:fill="FFFFFF"/>
        </w:rPr>
      </w:pPr>
      <w:r>
        <w:rPr>
          <w:rFonts w:hint="eastAsia" w:ascii="方正小标宋简体" w:eastAsia="方正小标宋简体"/>
          <w:b/>
          <w:bCs/>
          <w:color w:val="000000"/>
          <w:sz w:val="44"/>
          <w:szCs w:val="44"/>
          <w:shd w:val="clear" w:color="auto" w:fill="FFFFFF"/>
        </w:rPr>
        <w:t xml:space="preserve"> </w:t>
      </w:r>
    </w:p>
    <w:p>
      <w:pPr>
        <w:pStyle w:val="2"/>
        <w:numPr>
          <w:ilvl w:val="0"/>
          <w:numId w:val="1"/>
        </w:numPr>
        <w:shd w:val="clear" w:color="auto" w:fill="FFFFFF"/>
        <w:spacing w:before="0" w:beforeAutospacing="0" w:after="0" w:afterAutospacing="0" w:line="375" w:lineRule="atLeast"/>
        <w:ind w:firstLine="640" w:firstLineChars="200"/>
        <w:rPr>
          <w:rFonts w:hint="eastAsia" w:ascii="黑体" w:eastAsia="黑体"/>
          <w:color w:val="000000"/>
          <w:sz w:val="32"/>
          <w:szCs w:val="32"/>
          <w:lang w:eastAsia="zh-CN"/>
        </w:rPr>
      </w:pPr>
      <w:r>
        <w:rPr>
          <w:rFonts w:hint="eastAsia" w:ascii="黑体" w:eastAsia="黑体"/>
          <w:color w:val="000000"/>
          <w:sz w:val="32"/>
          <w:szCs w:val="32"/>
        </w:rPr>
        <w:t>部门</w:t>
      </w:r>
      <w:r>
        <w:rPr>
          <w:rFonts w:hint="eastAsia" w:ascii="黑体" w:eastAsia="黑体"/>
          <w:color w:val="000000"/>
          <w:sz w:val="32"/>
          <w:szCs w:val="32"/>
          <w:lang w:eastAsia="zh-CN"/>
        </w:rPr>
        <w:t>概况</w:t>
      </w:r>
    </w:p>
    <w:p>
      <w:pPr>
        <w:pStyle w:val="2"/>
        <w:numPr>
          <w:ilvl w:val="0"/>
          <w:numId w:val="0"/>
        </w:numPr>
        <w:shd w:val="clear" w:color="auto" w:fill="FFFFFF"/>
        <w:spacing w:before="0" w:beforeAutospacing="0" w:after="0" w:afterAutospacing="0" w:line="375" w:lineRule="atLeas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(一)机构、人员构成</w:t>
      </w:r>
    </w:p>
    <w:p>
      <w:pPr>
        <w:ind w:firstLine="643"/>
        <w:rPr>
          <w:rFonts w:hint="eastAsia" w:ascii="仿宋_GB2312" w:eastAsia="仿宋_GB2312"/>
          <w:color w:val="000000"/>
          <w:sz w:val="32"/>
          <w:szCs w:val="32"/>
          <w:lang w:val="en-US" w:eastAsia="zh-CN"/>
        </w:rPr>
      </w:pPr>
      <w:r>
        <w:rPr>
          <w:rFonts w:hint="eastAsia" w:ascii="仿宋_GB2312" w:eastAsia="仿宋_GB2312"/>
          <w:color w:val="000000"/>
          <w:sz w:val="32"/>
          <w:szCs w:val="32"/>
        </w:rPr>
        <w:t>澧县</w:t>
      </w:r>
      <w:r>
        <w:rPr>
          <w:rFonts w:hint="eastAsia" w:ascii="仿宋_GB2312" w:eastAsia="仿宋_GB2312"/>
          <w:color w:val="000000"/>
          <w:sz w:val="32"/>
          <w:szCs w:val="32"/>
          <w:lang w:eastAsia="zh-CN"/>
        </w:rPr>
        <w:t>农机事务中心</w:t>
      </w:r>
      <w:r>
        <w:rPr>
          <w:rFonts w:hint="eastAsia" w:ascii="仿宋_GB2312" w:eastAsia="仿宋_GB2312"/>
          <w:color w:val="000000"/>
          <w:sz w:val="32"/>
          <w:szCs w:val="32"/>
        </w:rPr>
        <w:t>作为一级部门预算单位，下属4个二级部门预算单位，分别为农机监理大队、农机校、农机技术推广服务站、农机检测中心。</w:t>
      </w:r>
      <w:r>
        <w:rPr>
          <w:rFonts w:hint="eastAsia" w:ascii="仿宋_GB2312" w:eastAsia="仿宋_GB2312"/>
          <w:color w:val="000000"/>
          <w:sz w:val="32"/>
          <w:szCs w:val="32"/>
          <w:lang w:val="en-US" w:eastAsia="zh-CN"/>
        </w:rPr>
        <w:t>农机事务中心属于参照公务员管理的事业单位，执行事业单位会计制度。2020年单位财政供养人员为92人，其中在职49人，退休42人，其他人员1人。</w:t>
      </w:r>
    </w:p>
    <w:p>
      <w:pPr>
        <w:pStyle w:val="2"/>
        <w:numPr>
          <w:ilvl w:val="0"/>
          <w:numId w:val="0"/>
        </w:numPr>
        <w:shd w:val="clear" w:color="auto" w:fill="FFFFFF"/>
        <w:spacing w:before="0" w:beforeAutospacing="0" w:after="0" w:afterAutospacing="0" w:line="375" w:lineRule="atLeas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（二）单位主要职责</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县农机</w:t>
      </w:r>
      <w:r>
        <w:rPr>
          <w:rFonts w:hint="eastAsia" w:ascii="仿宋_GB2312" w:eastAsia="仿宋_GB2312"/>
          <w:sz w:val="32"/>
          <w:szCs w:val="32"/>
          <w:lang w:eastAsia="zh-CN"/>
        </w:rPr>
        <w:t>事务中心</w:t>
      </w:r>
      <w:r>
        <w:rPr>
          <w:rFonts w:hint="eastAsia" w:ascii="仿宋_GB2312" w:eastAsia="仿宋_GB2312"/>
          <w:sz w:val="32"/>
          <w:szCs w:val="32"/>
        </w:rPr>
        <w:t>受县农业</w:t>
      </w:r>
      <w:r>
        <w:rPr>
          <w:rFonts w:hint="eastAsia" w:ascii="仿宋_GB2312" w:eastAsia="仿宋_GB2312"/>
          <w:sz w:val="32"/>
          <w:szCs w:val="32"/>
          <w:lang w:eastAsia="zh-CN"/>
        </w:rPr>
        <w:t>农村</w:t>
      </w:r>
      <w:r>
        <w:rPr>
          <w:rFonts w:hint="eastAsia" w:ascii="仿宋_GB2312" w:eastAsia="仿宋_GB2312"/>
          <w:sz w:val="32"/>
          <w:szCs w:val="32"/>
        </w:rPr>
        <w:t>局委托，承担农业机械化管理相关行政职能。其主要职责是：</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1.</w:t>
      </w:r>
      <w:r>
        <w:rPr>
          <w:rFonts w:hint="eastAsia" w:ascii="仿宋_GB2312" w:eastAsia="仿宋_GB2312"/>
          <w:sz w:val="32"/>
          <w:szCs w:val="32"/>
        </w:rPr>
        <w:t>贯彻执行中央、省、市关于农业机械化的方针政策和法律法规，参与拟订我县农业机械化发展战略、中长期发展规划和规范性文件，经批准后组织实施。</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2.</w:t>
      </w:r>
      <w:r>
        <w:rPr>
          <w:rFonts w:hint="eastAsia" w:ascii="仿宋_GB2312" w:eastAsia="仿宋_GB2312"/>
          <w:sz w:val="32"/>
          <w:szCs w:val="32"/>
        </w:rPr>
        <w:t>研究提出农业机械安全生产、作业规范和技术标准等方面的意见和建议，按批准后的意见组织实施。</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3.</w:t>
      </w:r>
      <w:r>
        <w:rPr>
          <w:rFonts w:hint="eastAsia" w:ascii="仿宋_GB2312" w:eastAsia="仿宋_GB2312"/>
          <w:sz w:val="32"/>
          <w:szCs w:val="32"/>
        </w:rPr>
        <w:t>引导农业机械产品结构调整，提高农业机械化普及和应用水平；会同有关部门组织实施农业机械购置补贴、生产补贴政策。</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4.</w:t>
      </w:r>
      <w:r>
        <w:rPr>
          <w:rFonts w:hint="eastAsia" w:ascii="仿宋_GB2312" w:eastAsia="仿宋_GB2312"/>
          <w:sz w:val="32"/>
          <w:szCs w:val="32"/>
        </w:rPr>
        <w:t>指导农业机械新技术、新机具的引进、开发、推广；组织农业机械化的试点、试验、示范，培育发展农业机械示范基地；承担农业机械化重大项目论证、立项、申报和实施；指导农业机械化推广体系改革与建设。</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5.</w:t>
      </w:r>
      <w:r>
        <w:rPr>
          <w:rFonts w:hint="eastAsia" w:ascii="仿宋_GB2312" w:eastAsia="仿宋_GB2312"/>
          <w:sz w:val="32"/>
          <w:szCs w:val="32"/>
        </w:rPr>
        <w:t>负责农业机械作业质量、维修质量的监督管理，参与农业机械产品（商品）质量的监督检查。</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6.</w:t>
      </w:r>
      <w:r>
        <w:rPr>
          <w:rFonts w:hint="eastAsia" w:ascii="仿宋_GB2312" w:eastAsia="仿宋_GB2312"/>
          <w:sz w:val="32"/>
          <w:szCs w:val="32"/>
        </w:rPr>
        <w:t>依法组织实施农业机械安全监理，指导农业机械安全生产；负责农业机械安全技术检验、登记备案和农业机械驾驶（操作）人员相关管理工作；承担农业机械化方面行政许可事项的现场勘验、论证、鉴定、试验、审核等技术性工作；承担权限内农业机械违章行为和安全事故调查处理的具体工作。</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7.</w:t>
      </w:r>
      <w:r>
        <w:rPr>
          <w:rFonts w:hint="eastAsia" w:ascii="仿宋_GB2312" w:eastAsia="仿宋_GB2312"/>
          <w:sz w:val="32"/>
          <w:szCs w:val="32"/>
        </w:rPr>
        <w:t>指导农业机械社会化服务体系建设和农业机械化信息网络建设；拟订农业机械基层服务组织服务规范。</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8.</w:t>
      </w:r>
      <w:r>
        <w:rPr>
          <w:rFonts w:hint="eastAsia" w:ascii="仿宋_GB2312" w:eastAsia="仿宋_GB2312"/>
          <w:sz w:val="32"/>
          <w:szCs w:val="32"/>
        </w:rPr>
        <w:t>组织协调重大农业机械化生产活动；组织农业机械抗灾救灾工作。</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9.</w:t>
      </w:r>
      <w:r>
        <w:rPr>
          <w:rFonts w:hint="eastAsia" w:ascii="仿宋_GB2312" w:eastAsia="仿宋_GB2312"/>
          <w:sz w:val="32"/>
          <w:szCs w:val="32"/>
        </w:rPr>
        <w:t>组织、指导相关培训和职业技能开发工作；负责农业机械驾驶（操作）人员培训机构监督管理工作。</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10.</w:t>
      </w:r>
      <w:r>
        <w:rPr>
          <w:rFonts w:hint="eastAsia" w:ascii="仿宋_GB2312" w:eastAsia="仿宋_GB2312"/>
          <w:sz w:val="32"/>
          <w:szCs w:val="32"/>
        </w:rPr>
        <w:t>研究提出发展农业机械化事业的各项资金计划；承担农业机械化信息和统计相关工作。</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承办县委、县政府和县农业局交办的其他事项。</w:t>
      </w:r>
    </w:p>
    <w:p>
      <w:pPr>
        <w:pStyle w:val="2"/>
        <w:shd w:val="clear" w:color="auto" w:fill="FFFFFF"/>
        <w:spacing w:before="0" w:beforeAutospacing="0" w:after="0" w:afterAutospacing="0" w:line="375" w:lineRule="atLeast"/>
        <w:ind w:firstLine="640" w:firstLineChars="200"/>
        <w:rPr>
          <w:rFonts w:hint="eastAsia" w:ascii="黑体" w:eastAsia="黑体"/>
          <w:color w:val="000000"/>
          <w:sz w:val="32"/>
          <w:szCs w:val="32"/>
          <w:lang w:eastAsia="zh-CN"/>
        </w:rPr>
      </w:pPr>
      <w:r>
        <w:rPr>
          <w:rFonts w:hint="eastAsia" w:ascii="黑体" w:eastAsia="黑体"/>
          <w:color w:val="000000"/>
          <w:sz w:val="32"/>
          <w:szCs w:val="32"/>
        </w:rPr>
        <w:t>二、部门</w:t>
      </w:r>
      <w:r>
        <w:rPr>
          <w:rFonts w:hint="eastAsia" w:ascii="黑体" w:eastAsia="黑体"/>
          <w:color w:val="000000"/>
          <w:sz w:val="32"/>
          <w:szCs w:val="32"/>
          <w:lang w:eastAsia="zh-CN"/>
        </w:rPr>
        <w:t>财务情况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（一）部门整体支出情况</w:t>
      </w:r>
    </w:p>
    <w:p>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2020</w:t>
      </w:r>
      <w:r>
        <w:rPr>
          <w:rFonts w:hint="eastAsia" w:ascii="仿宋_GB2312" w:eastAsia="仿宋_GB2312"/>
          <w:sz w:val="32"/>
          <w:szCs w:val="32"/>
        </w:rPr>
        <w:t>年部门整体收入</w:t>
      </w:r>
      <w:r>
        <w:rPr>
          <w:rFonts w:hint="eastAsia" w:ascii="仿宋_GB2312" w:eastAsia="仿宋_GB2312"/>
          <w:sz w:val="32"/>
          <w:szCs w:val="32"/>
          <w:lang w:val="en-US" w:eastAsia="zh-CN"/>
        </w:rPr>
        <w:t>1454.93</w:t>
      </w:r>
      <w:r>
        <w:rPr>
          <w:rFonts w:hint="eastAsia" w:ascii="仿宋_GB2312" w:eastAsia="仿宋_GB2312"/>
          <w:sz w:val="32"/>
          <w:szCs w:val="32"/>
        </w:rPr>
        <w:t>万元，其中：一般公共预算拨款</w:t>
      </w:r>
      <w:r>
        <w:rPr>
          <w:rFonts w:hint="eastAsia" w:ascii="仿宋_GB2312" w:eastAsia="仿宋_GB2312"/>
          <w:sz w:val="32"/>
          <w:szCs w:val="32"/>
          <w:lang w:val="en-US" w:eastAsia="zh-CN"/>
        </w:rPr>
        <w:t>1367.8</w:t>
      </w:r>
      <w:r>
        <w:rPr>
          <w:rFonts w:hint="eastAsia" w:ascii="仿宋_GB2312" w:eastAsia="仿宋_GB2312"/>
          <w:sz w:val="32"/>
          <w:szCs w:val="32"/>
        </w:rPr>
        <w:t>万元</w:t>
      </w:r>
      <w:r>
        <w:rPr>
          <w:rFonts w:hint="eastAsia" w:ascii="仿宋_GB2312" w:eastAsia="仿宋_GB2312"/>
          <w:sz w:val="32"/>
          <w:szCs w:val="32"/>
          <w:lang w:eastAsia="zh-CN"/>
        </w:rPr>
        <w:t>，使用非财政拨款结余</w:t>
      </w:r>
      <w:r>
        <w:rPr>
          <w:rFonts w:hint="eastAsia" w:ascii="仿宋_GB2312" w:eastAsia="仿宋_GB2312"/>
          <w:sz w:val="32"/>
          <w:szCs w:val="32"/>
          <w:lang w:val="en-US" w:eastAsia="zh-CN"/>
        </w:rPr>
        <w:t>8.15万元，</w:t>
      </w:r>
      <w:r>
        <w:rPr>
          <w:rFonts w:hint="eastAsia" w:ascii="仿宋_GB2312" w:eastAsia="仿宋_GB2312"/>
          <w:sz w:val="32"/>
          <w:szCs w:val="32"/>
          <w:lang w:eastAsia="zh-CN"/>
        </w:rPr>
        <w:t>上年结转</w:t>
      </w:r>
      <w:r>
        <w:rPr>
          <w:rFonts w:hint="eastAsia" w:ascii="仿宋_GB2312" w:eastAsia="仿宋_GB2312"/>
          <w:sz w:val="32"/>
          <w:szCs w:val="32"/>
          <w:lang w:val="en-US" w:eastAsia="zh-CN"/>
        </w:rPr>
        <w:t>78.98万元</w:t>
      </w:r>
      <w:r>
        <w:rPr>
          <w:rFonts w:hint="eastAsia" w:ascii="仿宋_GB2312" w:eastAsia="仿宋_GB2312"/>
          <w:sz w:val="32"/>
          <w:szCs w:val="32"/>
        </w:rPr>
        <w:t>。</w:t>
      </w:r>
      <w:r>
        <w:rPr>
          <w:rFonts w:hint="eastAsia" w:ascii="仿宋_GB2312" w:eastAsia="仿宋_GB2312"/>
          <w:sz w:val="32"/>
          <w:szCs w:val="32"/>
          <w:lang w:val="en-US" w:eastAsia="zh-CN"/>
        </w:rPr>
        <w:t>2020年</w:t>
      </w:r>
      <w:r>
        <w:rPr>
          <w:rFonts w:hint="eastAsia" w:ascii="仿宋_GB2312" w:eastAsia="仿宋_GB2312"/>
          <w:sz w:val="32"/>
          <w:szCs w:val="32"/>
        </w:rPr>
        <w:t>部门整体支出</w:t>
      </w:r>
      <w:r>
        <w:rPr>
          <w:rFonts w:hint="eastAsia" w:ascii="仿宋_GB2312" w:eastAsia="仿宋_GB2312"/>
          <w:sz w:val="32"/>
          <w:szCs w:val="32"/>
          <w:lang w:val="en-US" w:eastAsia="zh-CN"/>
        </w:rPr>
        <w:t>1454.93万元</w:t>
      </w:r>
      <w:r>
        <w:rPr>
          <w:rFonts w:hint="eastAsia" w:ascii="仿宋_GB2312" w:eastAsia="仿宋_GB2312"/>
          <w:sz w:val="32"/>
          <w:szCs w:val="32"/>
        </w:rPr>
        <w:t>，年末结转和结余</w:t>
      </w:r>
      <w:r>
        <w:rPr>
          <w:rFonts w:hint="eastAsia" w:ascii="仿宋_GB2312" w:eastAsia="仿宋_GB2312"/>
          <w:sz w:val="32"/>
          <w:szCs w:val="32"/>
          <w:lang w:val="en-US" w:eastAsia="zh-CN"/>
        </w:rPr>
        <w:t>320.47万元。</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（二）部门预算收支决算情况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2020</w:t>
      </w:r>
      <w:r>
        <w:rPr>
          <w:rFonts w:hint="eastAsia" w:ascii="仿宋_GB2312" w:eastAsia="仿宋_GB2312"/>
          <w:sz w:val="32"/>
          <w:szCs w:val="32"/>
        </w:rPr>
        <w:t>年年初部门预算收入</w:t>
      </w:r>
      <w:r>
        <w:rPr>
          <w:rFonts w:hint="eastAsia" w:ascii="仿宋_GB2312" w:eastAsia="仿宋_GB2312"/>
          <w:sz w:val="32"/>
          <w:szCs w:val="32"/>
          <w:lang w:val="en-US" w:eastAsia="zh-CN"/>
        </w:rPr>
        <w:t>1080.71</w:t>
      </w:r>
      <w:r>
        <w:rPr>
          <w:rFonts w:hint="eastAsia" w:ascii="仿宋_GB2312" w:eastAsia="仿宋_GB2312"/>
          <w:sz w:val="32"/>
          <w:szCs w:val="32"/>
        </w:rPr>
        <w:t>万元，其中一般公共预算内拨款</w:t>
      </w:r>
      <w:r>
        <w:rPr>
          <w:rFonts w:hint="eastAsia" w:ascii="仿宋_GB2312" w:eastAsia="仿宋_GB2312"/>
          <w:sz w:val="32"/>
          <w:szCs w:val="32"/>
          <w:lang w:val="en-US" w:eastAsia="zh-CN"/>
        </w:rPr>
        <w:t>1080.71</w:t>
      </w:r>
      <w:r>
        <w:rPr>
          <w:rFonts w:hint="eastAsia" w:ascii="仿宋_GB2312" w:eastAsia="仿宋_GB2312"/>
          <w:sz w:val="32"/>
          <w:szCs w:val="32"/>
        </w:rPr>
        <w:t>万元</w:t>
      </w:r>
      <w:r>
        <w:rPr>
          <w:rFonts w:hint="eastAsia" w:ascii="仿宋_GB2312" w:eastAsia="仿宋_GB2312"/>
          <w:sz w:val="32"/>
          <w:szCs w:val="32"/>
          <w:lang w:eastAsia="zh-CN"/>
        </w:rPr>
        <w:t>。2020</w:t>
      </w:r>
      <w:r>
        <w:rPr>
          <w:rFonts w:hint="eastAsia" w:ascii="仿宋_GB2312" w:eastAsia="仿宋_GB2312"/>
          <w:sz w:val="32"/>
          <w:szCs w:val="32"/>
        </w:rPr>
        <w:t>年财政决算收入</w:t>
      </w:r>
      <w:r>
        <w:rPr>
          <w:rFonts w:hint="eastAsia" w:ascii="仿宋_GB2312" w:eastAsia="仿宋_GB2312"/>
          <w:sz w:val="32"/>
          <w:szCs w:val="32"/>
          <w:lang w:val="en-US" w:eastAsia="zh-CN"/>
        </w:rPr>
        <w:t>1454.93</w:t>
      </w:r>
      <w:r>
        <w:rPr>
          <w:rFonts w:hint="eastAsia" w:ascii="仿宋_GB2312" w:eastAsia="仿宋_GB2312"/>
          <w:sz w:val="32"/>
          <w:szCs w:val="32"/>
        </w:rPr>
        <w:t>万元，其中：一般公共预算拨款</w:t>
      </w:r>
      <w:r>
        <w:rPr>
          <w:rFonts w:hint="eastAsia" w:ascii="仿宋_GB2312" w:eastAsia="仿宋_GB2312"/>
          <w:sz w:val="32"/>
          <w:szCs w:val="32"/>
          <w:lang w:val="en-US" w:eastAsia="zh-CN"/>
        </w:rPr>
        <w:t>1367.8</w:t>
      </w:r>
      <w:r>
        <w:rPr>
          <w:rFonts w:hint="eastAsia" w:ascii="仿宋_GB2312" w:eastAsia="仿宋_GB2312"/>
          <w:sz w:val="32"/>
          <w:szCs w:val="32"/>
        </w:rPr>
        <w:t>万元</w:t>
      </w:r>
      <w:r>
        <w:rPr>
          <w:rFonts w:hint="eastAsia" w:ascii="仿宋_GB2312" w:eastAsia="仿宋_GB2312"/>
          <w:sz w:val="32"/>
          <w:szCs w:val="32"/>
          <w:lang w:eastAsia="zh-CN"/>
        </w:rPr>
        <w:t>，使用非财政拨款结余</w:t>
      </w:r>
      <w:r>
        <w:rPr>
          <w:rFonts w:hint="eastAsia" w:ascii="仿宋_GB2312" w:eastAsia="仿宋_GB2312"/>
          <w:sz w:val="32"/>
          <w:szCs w:val="32"/>
          <w:lang w:val="en-US" w:eastAsia="zh-CN"/>
        </w:rPr>
        <w:t>8.15万元，</w:t>
      </w:r>
      <w:r>
        <w:rPr>
          <w:rFonts w:hint="eastAsia" w:ascii="仿宋_GB2312" w:eastAsia="仿宋_GB2312"/>
          <w:sz w:val="32"/>
          <w:szCs w:val="32"/>
          <w:lang w:eastAsia="zh-CN"/>
        </w:rPr>
        <w:t>上年结转</w:t>
      </w:r>
      <w:r>
        <w:rPr>
          <w:rFonts w:hint="eastAsia" w:ascii="仿宋_GB2312" w:eastAsia="仿宋_GB2312"/>
          <w:sz w:val="32"/>
          <w:szCs w:val="32"/>
          <w:lang w:val="en-US" w:eastAsia="zh-CN"/>
        </w:rPr>
        <w:t>78.98万元</w:t>
      </w:r>
      <w:r>
        <w:rPr>
          <w:rFonts w:hint="eastAsia" w:ascii="仿宋_GB2312" w:eastAsia="仿宋_GB2312"/>
          <w:sz w:val="32"/>
          <w:szCs w:val="32"/>
        </w:rPr>
        <w:t>。部门整体支出</w:t>
      </w:r>
      <w:r>
        <w:rPr>
          <w:rFonts w:hint="eastAsia" w:ascii="仿宋_GB2312" w:eastAsia="仿宋_GB2312"/>
          <w:sz w:val="32"/>
          <w:szCs w:val="32"/>
          <w:lang w:val="en-US" w:eastAsia="zh-CN"/>
        </w:rPr>
        <w:t>1454.93万元</w:t>
      </w:r>
      <w:r>
        <w:rPr>
          <w:rFonts w:hint="eastAsia" w:ascii="仿宋_GB2312" w:eastAsia="仿宋_GB2312"/>
          <w:sz w:val="32"/>
          <w:szCs w:val="32"/>
        </w:rPr>
        <w:t>，年末结转和结余</w:t>
      </w:r>
      <w:r>
        <w:rPr>
          <w:rFonts w:hint="eastAsia" w:ascii="仿宋_GB2312" w:eastAsia="仿宋_GB2312"/>
          <w:sz w:val="32"/>
          <w:szCs w:val="32"/>
          <w:lang w:val="en-US" w:eastAsia="zh-CN"/>
        </w:rPr>
        <w:t>320.47万元。</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“三公经费”支出使用和管理情况</w:t>
      </w:r>
    </w:p>
    <w:p>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2020</w:t>
      </w:r>
      <w:r>
        <w:rPr>
          <w:rFonts w:hint="eastAsia" w:ascii="仿宋_GB2312" w:eastAsia="仿宋_GB2312"/>
          <w:sz w:val="32"/>
          <w:szCs w:val="32"/>
        </w:rPr>
        <w:t>年“三公”经费支出</w:t>
      </w:r>
      <w:r>
        <w:rPr>
          <w:rFonts w:hint="eastAsia" w:ascii="仿宋_GB2312" w:eastAsia="仿宋_GB2312"/>
          <w:sz w:val="32"/>
          <w:szCs w:val="32"/>
          <w:lang w:val="en-US" w:eastAsia="zh-CN"/>
        </w:rPr>
        <w:t>13.84</w:t>
      </w:r>
      <w:r>
        <w:rPr>
          <w:rFonts w:hint="eastAsia" w:ascii="仿宋_GB2312" w:eastAsia="仿宋_GB2312"/>
          <w:sz w:val="32"/>
          <w:szCs w:val="32"/>
        </w:rPr>
        <w:t>万元，年初预算</w:t>
      </w:r>
      <w:r>
        <w:rPr>
          <w:rFonts w:hint="eastAsia" w:ascii="仿宋_GB2312" w:eastAsia="仿宋_GB2312"/>
          <w:sz w:val="32"/>
          <w:szCs w:val="32"/>
          <w:lang w:val="en-US" w:eastAsia="zh-CN"/>
        </w:rPr>
        <w:t>14</w:t>
      </w:r>
      <w:r>
        <w:rPr>
          <w:rFonts w:hint="eastAsia" w:ascii="仿宋_GB2312" w:eastAsia="仿宋_GB2312"/>
          <w:sz w:val="32"/>
          <w:szCs w:val="32"/>
        </w:rPr>
        <w:t>万元，</w:t>
      </w:r>
      <w:r>
        <w:rPr>
          <w:rFonts w:hint="eastAsia" w:ascii="仿宋_GB2312" w:eastAsia="仿宋_GB2312"/>
          <w:sz w:val="32"/>
          <w:szCs w:val="32"/>
          <w:lang w:eastAsia="zh-CN"/>
        </w:rPr>
        <w:t>比</w:t>
      </w:r>
      <w:r>
        <w:rPr>
          <w:rFonts w:hint="eastAsia" w:ascii="仿宋_GB2312" w:eastAsia="仿宋_GB2312"/>
          <w:sz w:val="32"/>
          <w:szCs w:val="32"/>
          <w:lang w:val="en-US" w:eastAsia="zh-CN"/>
        </w:rPr>
        <w:t>19年</w:t>
      </w:r>
      <w:r>
        <w:rPr>
          <w:rFonts w:hint="eastAsia" w:ascii="仿宋_GB2312" w:eastAsia="仿宋_GB2312"/>
          <w:sz w:val="32"/>
          <w:szCs w:val="32"/>
        </w:rPr>
        <w:t>减少</w:t>
      </w:r>
      <w:r>
        <w:rPr>
          <w:rFonts w:hint="eastAsia" w:ascii="仿宋_GB2312" w:eastAsia="仿宋_GB2312"/>
          <w:sz w:val="32"/>
          <w:szCs w:val="32"/>
          <w:lang w:val="en-US" w:eastAsia="zh-CN"/>
        </w:rPr>
        <w:t>4.6</w:t>
      </w:r>
      <w:r>
        <w:rPr>
          <w:rFonts w:hint="eastAsia" w:ascii="仿宋_GB2312" w:eastAsia="仿宋_GB2312"/>
          <w:sz w:val="32"/>
          <w:szCs w:val="32"/>
        </w:rPr>
        <w:t>%。其中：因公出国（境）费0万元。公务用车购置及运行维护费（公务用车运行维护费）</w:t>
      </w:r>
      <w:r>
        <w:rPr>
          <w:rFonts w:hint="eastAsia" w:ascii="仿宋_GB2312" w:eastAsia="仿宋_GB2312"/>
          <w:sz w:val="32"/>
          <w:szCs w:val="32"/>
          <w:lang w:val="en-US" w:eastAsia="zh-CN"/>
        </w:rPr>
        <w:t>8.43</w:t>
      </w:r>
      <w:r>
        <w:rPr>
          <w:rFonts w:hint="eastAsia" w:ascii="仿宋_GB2312" w:eastAsia="仿宋_GB2312"/>
          <w:sz w:val="32"/>
          <w:szCs w:val="32"/>
        </w:rPr>
        <w:t>万元，公务接待费</w:t>
      </w:r>
      <w:r>
        <w:rPr>
          <w:rFonts w:hint="eastAsia" w:ascii="仿宋_GB2312" w:eastAsia="仿宋_GB2312"/>
          <w:sz w:val="32"/>
          <w:szCs w:val="32"/>
          <w:lang w:val="en-US" w:eastAsia="zh-CN"/>
        </w:rPr>
        <w:t>5.41</w:t>
      </w:r>
      <w:r>
        <w:rPr>
          <w:rFonts w:hint="eastAsia" w:ascii="仿宋_GB2312" w:eastAsia="仿宋_GB2312"/>
          <w:sz w:val="32"/>
          <w:szCs w:val="32"/>
        </w:rPr>
        <w:t>万元。</w:t>
      </w:r>
    </w:p>
    <w:p>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三、部门绩效目标</w:t>
      </w:r>
    </w:p>
    <w:p>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（一）部门绩效总目标</w:t>
      </w:r>
    </w:p>
    <w:p>
      <w:pPr>
        <w:ind w:firstLine="640" w:firstLineChars="0"/>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1、推广粮油生产新机具新技术。全年共推广各类先进适用农机具2200多台套，其中收割机220台、旋耕机110台、烘干机18台、植保飞机2台、高速插秧机29台；举办了6场粮油生产全程机械化现场示范会；智慧农机县级平台基本建成，350台联合收割机、高速插秧机、抛秧机等机具安装了可实时监控北斗监测装置；完成水稻机插（机抛）7万亩、机播油菜8万亩，水稻油菜秸秆机械粉碎还田率达60%；开展了争创全国粮油生产全程机械化示范县的创建工作。</w:t>
      </w:r>
    </w:p>
    <w:p>
      <w:pPr>
        <w:ind w:firstLine="640" w:firstLineChars="0"/>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2、积极争资争项。今年挤进全省20个省水稻机抛秧试点县笼子，争取省财政200万元的项目资金，推广抛秧机18台，完成机抛秧2万亩。在全省25个名额中争取省财政在澧县投资100万元，建设1家省级全程机械化综合农事服务中心。积极申报并成功入围全国主要农作物全程机械化示范县，为争资争项搭建平台。</w:t>
      </w:r>
    </w:p>
    <w:p>
      <w:pPr>
        <w:adjustRightInd w:val="0"/>
        <w:ind w:firstLine="643"/>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保证农机安全生产持续稳定。开展了拖拉机顽瘴固疾整治，对照系统对1602台拖拉机进行摸排清理，报废并注销变型拖拉机1171台，牌证核减比例达73%；超过了省农业农村厅要求达25%的任务。对815台运输型拖拉机进行了技术检测，办理农机驾驶（期满换证业务）471人次。开展了“安全生产月”、“平安农机”创建、农用车辆超限超载整治等相关工作，共出动执法人700多人次，开展路检路查150次，检查农机车辆1200多台次，纠正违章车辆170多台次，纠正田间作业机械违规作业60余台次，签订安全生产责任状1200余份。</w:t>
      </w:r>
    </w:p>
    <w:p>
      <w:pPr>
        <w:adjustRightInd w:val="0"/>
        <w:ind w:firstLine="627" w:firstLineChars="196"/>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4、规范实施农机购置补贴政策。对各镇街农机购置补贴办理窗口进行了指导，对各镇街办理补贴的工作人员集中开展了业务培训；组织13家农机经销商集中学习相关政策，强化廉政风险教育。落实农机购置补贴资金2280万元，带动全县农机装备投资7000万元，购机补贴资金额度位居全省第七。</w:t>
      </w:r>
    </w:p>
    <w:p>
      <w:pPr>
        <w:adjustRightInd w:val="0"/>
        <w:ind w:firstLine="627" w:firstLineChars="196"/>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5、发展壮大农机合作组织。新注册农机合作社3家，全县农机合社达74家；新创省级现代农机合作社示范社1家，目前，全县有34家省现代农机合作社，10家省现代农机合作社示范社。以1家农机合作社为阵地建成1家省级全程机械化农事综合服务中心。</w:t>
      </w:r>
    </w:p>
    <w:p>
      <w:pPr>
        <w:adjustRightInd w:val="0"/>
        <w:ind w:firstLine="627" w:firstLineChars="196"/>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6、大力开展农机技术培训。今年共培训各类人员500人次，其中拖拉机、联合收割机驾驶员 92人，水稻机械化集中育插秧和抛秧技术人员240人次，高素质农民60人，其他人员100人。</w:t>
      </w:r>
    </w:p>
    <w:p>
      <w:pPr>
        <w:pStyle w:val="2"/>
        <w:shd w:val="clear" w:color="auto" w:fill="FFFFFF"/>
        <w:spacing w:before="0" w:beforeAutospacing="0" w:after="0" w:afterAutospacing="0" w:line="375" w:lineRule="atLeas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（二）</w:t>
      </w:r>
      <w:r>
        <w:rPr>
          <w:rFonts w:hint="eastAsia" w:ascii="仿宋_GB2312" w:eastAsia="仿宋_GB2312"/>
          <w:color w:val="000000"/>
          <w:sz w:val="32"/>
          <w:szCs w:val="32"/>
          <w:lang w:val="en-US" w:eastAsia="zh-CN"/>
        </w:rPr>
        <w:t>2020年度部门绩效目标</w:t>
      </w:r>
    </w:p>
    <w:p>
      <w:pPr>
        <w:ind w:firstLine="643"/>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1、加强农机农艺融合。将农机推广融入农业产业项目，确保粮油生产全程机械化水平每年提高1%以上，注重在林果业、养殖业开展机械化示范推广应用。</w:t>
      </w:r>
    </w:p>
    <w:p>
      <w:pPr>
        <w:ind w:firstLine="643"/>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 xml:space="preserve">2、巩固推进秸秆粉碎还田成果。一是推动建立健全秸秆粉碎还田作业奖补贴机制；二是探索新购置及部分还未装配北斗监测装置的收割机的监测终端安装方案。                              </w:t>
      </w:r>
    </w:p>
    <w:p>
      <w:pPr>
        <w:ind w:firstLine="643"/>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3、落实好农机购置补贴政策。通过宣传推广，争取2021年落实购机补贴资金2500万元，推广先进机具2000台套，同时做好废旧农机具回收补贴工作。</w:t>
      </w:r>
    </w:p>
    <w:p>
      <w:pPr>
        <w:ind w:firstLine="643"/>
        <w:jc w:val="left"/>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4、继续推进平安农机示范镇街建设。进一步完善农机安全生产目标管理责任制，落实好农业机械安全责任保险制度，新创建1个省级“平安农机”示范乡镇。</w:t>
      </w:r>
    </w:p>
    <w:p>
      <w:pPr>
        <w:ind w:firstLine="643"/>
        <w:jc w:val="left"/>
        <w:rPr>
          <w:rFonts w:hint="eastAsia" w:ascii="黑体" w:eastAsia="黑体"/>
          <w:color w:val="000000"/>
          <w:sz w:val="32"/>
          <w:szCs w:val="32"/>
          <w:lang w:eastAsia="zh-CN"/>
        </w:rPr>
      </w:pPr>
      <w:r>
        <w:rPr>
          <w:rFonts w:hint="eastAsia" w:ascii="仿宋_GB2312" w:hAnsi="宋体" w:eastAsia="仿宋_GB2312" w:cs="宋体"/>
          <w:color w:val="000000"/>
          <w:kern w:val="0"/>
          <w:sz w:val="32"/>
          <w:szCs w:val="32"/>
          <w:lang w:val="en-US" w:eastAsia="zh-CN" w:bidi="ar-SA"/>
        </w:rPr>
        <w:t>5、争资争项，支持农机合作社建设。一是加强联系，争取国家、省级农机推广示范项目。二是以农机合作社为主要平台，通过项目实施带动全县农机化水平全面提升。三是通过创建省级现代农机合作社、县级以上示范合作社等项目建设，为农机合作社争取财政补贴资金，争取农机合作社获得200万元财政扶持资金。</w:t>
      </w:r>
    </w:p>
    <w:p>
      <w:pPr>
        <w:pStyle w:val="2"/>
        <w:shd w:val="clear" w:color="auto" w:fill="FFFFFF"/>
        <w:spacing w:before="0" w:beforeAutospacing="0" w:after="0" w:afterAutospacing="0" w:line="375" w:lineRule="atLeast"/>
        <w:ind w:firstLine="640" w:firstLineChars="200"/>
        <w:rPr>
          <w:rFonts w:hint="eastAsia" w:ascii="黑体" w:eastAsia="黑体"/>
          <w:color w:val="000000"/>
          <w:sz w:val="32"/>
          <w:szCs w:val="32"/>
          <w:lang w:eastAsia="zh-CN"/>
        </w:rPr>
      </w:pPr>
      <w:r>
        <w:rPr>
          <w:rFonts w:hint="eastAsia" w:ascii="黑体" w:eastAsia="黑体"/>
          <w:color w:val="000000"/>
          <w:sz w:val="32"/>
          <w:szCs w:val="32"/>
        </w:rPr>
        <w:t>四、</w:t>
      </w:r>
      <w:r>
        <w:rPr>
          <w:rFonts w:hint="eastAsia" w:ascii="黑体" w:eastAsia="黑体"/>
          <w:color w:val="000000"/>
          <w:sz w:val="32"/>
          <w:szCs w:val="32"/>
          <w:lang w:eastAsia="zh-CN"/>
        </w:rPr>
        <w:t>绩效评价工作情况</w:t>
      </w:r>
    </w:p>
    <w:p>
      <w:pPr>
        <w:pStyle w:val="2"/>
        <w:shd w:val="clear" w:color="auto" w:fill="FFFFFF"/>
        <w:spacing w:before="0" w:beforeAutospacing="0" w:after="0" w:afterAutospacing="0" w:line="375" w:lineRule="atLeas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在此次绩效评价工作中，以一把手为组长，各股室为组成员，积极进行评估。评估数据主要来源于各二级单位组织培训和检查具体数目，以及事务中心进行下乡和购机补贴所统计的数据，也进行了现场的核实勘察。</w:t>
      </w:r>
    </w:p>
    <w:p>
      <w:pPr>
        <w:numPr>
          <w:ilvl w:val="0"/>
          <w:numId w:val="0"/>
        </w:numPr>
        <w:ind w:firstLine="640" w:firstLineChars="200"/>
        <w:rPr>
          <w:rFonts w:hint="eastAsia" w:ascii="仿宋_GB2312" w:hAnsi="宋体" w:eastAsia="仿宋_GB2312" w:cs="宋体"/>
          <w:color w:val="000000"/>
          <w:kern w:val="0"/>
          <w:sz w:val="32"/>
          <w:szCs w:val="32"/>
          <w:lang w:val="en-US" w:eastAsia="zh-CN" w:bidi="ar-SA"/>
        </w:rPr>
      </w:pPr>
      <w:r>
        <w:rPr>
          <w:rFonts w:hint="eastAsia" w:ascii="黑体" w:eastAsia="黑体"/>
          <w:sz w:val="32"/>
          <w:szCs w:val="32"/>
          <w:lang w:eastAsia="zh-CN"/>
        </w:rPr>
        <w:t>五、综合评价结果</w:t>
      </w:r>
    </w:p>
    <w:p>
      <w:pPr>
        <w:numPr>
          <w:ilvl w:val="0"/>
          <w:numId w:val="0"/>
        </w:numPr>
        <w:ind w:firstLine="640" w:firstLineChars="200"/>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单位在一把手的带领下，全体职工切实转变工作作风，版式更加积极，态度更加热情，使广大群众和服务群体得到满意，满意率达百分之90以上。2020年压缩开支，进一步进行会计核算，厉行节约，减少经费支出。</w:t>
      </w:r>
    </w:p>
    <w:p>
      <w:pPr>
        <w:numPr>
          <w:ilvl w:val="0"/>
          <w:numId w:val="2"/>
        </w:numPr>
        <w:ind w:left="800" w:leftChars="0" w:firstLine="0" w:firstLineChars="0"/>
        <w:rPr>
          <w:rFonts w:hint="eastAsia" w:ascii="黑体" w:eastAsia="黑体"/>
          <w:sz w:val="32"/>
          <w:szCs w:val="32"/>
          <w:lang w:eastAsia="zh-CN"/>
        </w:rPr>
      </w:pPr>
      <w:r>
        <w:rPr>
          <w:rFonts w:hint="eastAsia" w:ascii="黑体" w:eastAsia="黑体"/>
          <w:sz w:val="32"/>
          <w:szCs w:val="32"/>
          <w:lang w:eastAsia="zh-CN"/>
        </w:rPr>
        <w:t>部门整体支出绩效情况</w:t>
      </w:r>
    </w:p>
    <w:p>
      <w:pPr>
        <w:numPr>
          <w:ilvl w:val="0"/>
          <w:numId w:val="0"/>
        </w:numPr>
        <w:ind w:firstLine="640" w:firstLineChars="200"/>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2020年部门整体决算收入为1454.93万元，整体决算支出为1454.93万元，比上年有所增加，是因为购机补贴项目和机抛秧作业补贴项目的增加。</w:t>
      </w:r>
    </w:p>
    <w:p>
      <w:pPr>
        <w:numPr>
          <w:ilvl w:val="0"/>
          <w:numId w:val="2"/>
        </w:numPr>
        <w:ind w:left="800" w:leftChars="0" w:firstLine="0" w:firstLineChars="0"/>
        <w:rPr>
          <w:rFonts w:hint="eastAsia" w:ascii="黑体" w:eastAsia="黑体"/>
          <w:sz w:val="32"/>
          <w:szCs w:val="32"/>
          <w:lang w:eastAsia="zh-CN"/>
        </w:rPr>
      </w:pPr>
      <w:r>
        <w:rPr>
          <w:rFonts w:hint="eastAsia" w:ascii="黑体" w:eastAsia="黑体"/>
          <w:sz w:val="32"/>
          <w:szCs w:val="32"/>
          <w:lang w:eastAsia="zh-CN"/>
        </w:rPr>
        <w:t>存在的主要问题</w:t>
      </w:r>
    </w:p>
    <w:p>
      <w:pPr>
        <w:numPr>
          <w:ilvl w:val="0"/>
          <w:numId w:val="0"/>
        </w:numPr>
        <w:ind w:firstLine="640" w:firstLineChars="200"/>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有时绩效管理还不够完善，有突发任务，预决算上报有延时，存在时间误差。</w:t>
      </w:r>
    </w:p>
    <w:p>
      <w:pPr>
        <w:numPr>
          <w:ilvl w:val="0"/>
          <w:numId w:val="2"/>
        </w:numPr>
        <w:ind w:left="800" w:leftChars="0" w:firstLine="0" w:firstLineChars="0"/>
        <w:rPr>
          <w:rFonts w:hint="eastAsia" w:ascii="黑体" w:eastAsia="黑体"/>
          <w:sz w:val="32"/>
          <w:szCs w:val="32"/>
          <w:lang w:eastAsia="zh-CN"/>
        </w:rPr>
      </w:pPr>
      <w:r>
        <w:rPr>
          <w:rFonts w:hint="eastAsia" w:ascii="黑体" w:eastAsia="黑体"/>
          <w:sz w:val="32"/>
          <w:szCs w:val="32"/>
          <w:lang w:eastAsia="zh-CN"/>
        </w:rPr>
        <w:t>有关建议</w:t>
      </w:r>
    </w:p>
    <w:p>
      <w:pPr>
        <w:numPr>
          <w:ilvl w:val="0"/>
          <w:numId w:val="0"/>
        </w:numPr>
        <w:ind w:firstLine="640" w:firstLineChars="200"/>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1.进一步完善、细化各项财务制度，并严格执行。</w:t>
      </w:r>
    </w:p>
    <w:p>
      <w:pPr>
        <w:numPr>
          <w:ilvl w:val="0"/>
          <w:numId w:val="0"/>
        </w:numPr>
        <w:ind w:firstLine="640" w:firstLineChars="200"/>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2.及时填报好预决算公开资料，及时进行账务调整。</w:t>
      </w:r>
    </w:p>
    <w:p/>
    <w:p/>
    <w:p/>
    <w:p/>
    <w:p/>
    <w:p/>
    <w:p/>
    <w:p/>
    <w:p/>
    <w:p/>
    <w:p/>
    <w:p/>
    <w:p/>
    <w:p/>
    <w:p/>
    <w:p/>
    <w:p/>
    <w:p/>
    <w:p/>
    <w:p/>
    <w:p/>
    <w:p/>
    <w:p/>
    <w:p/>
    <w:p/>
    <w:p/>
    <w:p/>
    <w:p/>
    <w:p/>
    <w:p/>
    <w:p/>
    <w:p/>
    <w:p/>
    <w:p/>
    <w:p>
      <w:pPr>
        <w:spacing w:line="560" w:lineRule="exact"/>
        <w:ind w:firstLine="2125" w:firstLineChars="882"/>
        <w:rPr>
          <w:rFonts w:ascii="宋体" w:cs="Times New Roman"/>
          <w:b/>
          <w:bCs/>
          <w:kern w:val="0"/>
          <w:sz w:val="24"/>
          <w:szCs w:val="24"/>
        </w:rPr>
      </w:pPr>
      <w:r>
        <w:rPr>
          <w:rFonts w:hint="eastAsia" w:ascii="宋体" w:hAnsi="宋体" w:cs="宋体"/>
          <w:b/>
          <w:bCs/>
          <w:kern w:val="0"/>
          <w:sz w:val="24"/>
          <w:szCs w:val="24"/>
        </w:rPr>
        <w:t>部门整体支出绩效评价指标表</w:t>
      </w:r>
    </w:p>
    <w:p>
      <w:pPr>
        <w:spacing w:line="560" w:lineRule="exact"/>
        <w:jc w:val="center"/>
        <w:rPr>
          <w:rFonts w:ascii="宋体" w:cs="Times New Roman"/>
          <w:kern w:val="0"/>
          <w:sz w:val="24"/>
          <w:szCs w:val="24"/>
        </w:rPr>
      </w:pPr>
    </w:p>
    <w:tbl>
      <w:tblPr>
        <w:tblStyle w:val="3"/>
        <w:tblW w:w="10771" w:type="dxa"/>
        <w:jc w:val="center"/>
        <w:tblLayout w:type="fixed"/>
        <w:tblCellMar>
          <w:top w:w="0" w:type="dxa"/>
          <w:left w:w="108" w:type="dxa"/>
          <w:bottom w:w="0" w:type="dxa"/>
          <w:right w:w="108" w:type="dxa"/>
        </w:tblCellMar>
      </w:tblPr>
      <w:tblGrid>
        <w:gridCol w:w="678"/>
        <w:gridCol w:w="516"/>
        <w:gridCol w:w="659"/>
        <w:gridCol w:w="516"/>
        <w:gridCol w:w="1074"/>
        <w:gridCol w:w="516"/>
        <w:gridCol w:w="2878"/>
        <w:gridCol w:w="3239"/>
        <w:gridCol w:w="695"/>
      </w:tblGrid>
      <w:tr>
        <w:tblPrEx>
          <w:tblCellMar>
            <w:top w:w="0" w:type="dxa"/>
            <w:left w:w="108" w:type="dxa"/>
            <w:bottom w:w="0" w:type="dxa"/>
            <w:right w:w="108" w:type="dxa"/>
          </w:tblCellMar>
        </w:tblPrEx>
        <w:trPr>
          <w:tblHeader/>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一级指标</w:t>
            </w:r>
          </w:p>
        </w:tc>
        <w:tc>
          <w:tcPr>
            <w:tcW w:w="51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Times New Roman"/>
                <w:kern w:val="0"/>
                <w:sz w:val="24"/>
                <w:szCs w:val="24"/>
              </w:rPr>
            </w:pPr>
            <w:r>
              <w:rPr>
                <w:rFonts w:hint="eastAsia" w:ascii="宋体" w:hAnsi="宋体" w:cs="宋体"/>
                <w:kern w:val="0"/>
                <w:sz w:val="24"/>
                <w:szCs w:val="24"/>
              </w:rPr>
              <w:t>分值</w:t>
            </w:r>
          </w:p>
        </w:tc>
        <w:tc>
          <w:tcPr>
            <w:tcW w:w="65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Times New Roman"/>
                <w:kern w:val="0"/>
                <w:sz w:val="24"/>
                <w:szCs w:val="24"/>
              </w:rPr>
            </w:pPr>
            <w:r>
              <w:rPr>
                <w:rFonts w:hint="eastAsia" w:ascii="宋体" w:hAnsi="宋体" w:cs="宋体"/>
                <w:kern w:val="0"/>
                <w:sz w:val="24"/>
                <w:szCs w:val="24"/>
              </w:rPr>
              <w:t>二级指标</w:t>
            </w:r>
          </w:p>
        </w:tc>
        <w:tc>
          <w:tcPr>
            <w:tcW w:w="51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Times New Roman"/>
                <w:kern w:val="0"/>
                <w:sz w:val="24"/>
                <w:szCs w:val="24"/>
              </w:rPr>
            </w:pPr>
            <w:r>
              <w:rPr>
                <w:rFonts w:hint="eastAsia" w:ascii="宋体" w:hAnsi="宋体" w:cs="宋体"/>
                <w:kern w:val="0"/>
                <w:sz w:val="24"/>
                <w:szCs w:val="24"/>
              </w:rPr>
              <w:t>分值</w:t>
            </w:r>
          </w:p>
        </w:tc>
        <w:tc>
          <w:tcPr>
            <w:tcW w:w="107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Times New Roman"/>
                <w:kern w:val="0"/>
                <w:sz w:val="24"/>
                <w:szCs w:val="24"/>
              </w:rPr>
            </w:pPr>
            <w:r>
              <w:rPr>
                <w:rFonts w:hint="eastAsia" w:ascii="宋体" w:hAnsi="宋体" w:cs="宋体"/>
                <w:kern w:val="0"/>
                <w:sz w:val="24"/>
                <w:szCs w:val="24"/>
              </w:rPr>
              <w:t>三级</w:t>
            </w:r>
          </w:p>
          <w:p>
            <w:pPr>
              <w:widowControl/>
              <w:spacing w:line="300" w:lineRule="exact"/>
              <w:jc w:val="center"/>
              <w:rPr>
                <w:rFonts w:ascii="宋体" w:cs="Times New Roman"/>
                <w:kern w:val="0"/>
                <w:sz w:val="24"/>
                <w:szCs w:val="24"/>
              </w:rPr>
            </w:pPr>
            <w:r>
              <w:rPr>
                <w:rFonts w:hint="eastAsia" w:ascii="宋体" w:hAnsi="宋体" w:cs="宋体"/>
                <w:kern w:val="0"/>
                <w:sz w:val="24"/>
                <w:szCs w:val="24"/>
              </w:rPr>
              <w:t>指标</w:t>
            </w:r>
          </w:p>
        </w:tc>
        <w:tc>
          <w:tcPr>
            <w:tcW w:w="51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Times New Roman"/>
                <w:kern w:val="0"/>
                <w:sz w:val="24"/>
                <w:szCs w:val="24"/>
              </w:rPr>
            </w:pPr>
            <w:r>
              <w:rPr>
                <w:rFonts w:hint="eastAsia" w:ascii="宋体" w:hAnsi="宋体" w:cs="宋体"/>
                <w:kern w:val="0"/>
                <w:sz w:val="24"/>
                <w:szCs w:val="24"/>
              </w:rPr>
              <w:t>分值</w:t>
            </w:r>
          </w:p>
        </w:tc>
        <w:tc>
          <w:tcPr>
            <w:tcW w:w="287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Times New Roman"/>
                <w:kern w:val="0"/>
                <w:sz w:val="24"/>
                <w:szCs w:val="24"/>
              </w:rPr>
            </w:pPr>
            <w:r>
              <w:rPr>
                <w:rFonts w:hint="eastAsia" w:ascii="宋体" w:hAnsi="宋体" w:cs="宋体"/>
                <w:kern w:val="0"/>
                <w:sz w:val="24"/>
                <w:szCs w:val="24"/>
              </w:rPr>
              <w:t>评价标准</w:t>
            </w:r>
          </w:p>
        </w:tc>
        <w:tc>
          <w:tcPr>
            <w:tcW w:w="323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Times New Roman"/>
                <w:kern w:val="0"/>
                <w:sz w:val="24"/>
                <w:szCs w:val="24"/>
              </w:rPr>
            </w:pPr>
            <w:r>
              <w:rPr>
                <w:rFonts w:hint="eastAsia" w:ascii="宋体" w:hAnsi="宋体" w:cs="宋体"/>
                <w:kern w:val="0"/>
                <w:sz w:val="24"/>
                <w:szCs w:val="24"/>
              </w:rPr>
              <w:t>指标说明</w:t>
            </w:r>
          </w:p>
        </w:tc>
        <w:tc>
          <w:tcPr>
            <w:tcW w:w="69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Times New Roman"/>
                <w:kern w:val="0"/>
                <w:sz w:val="24"/>
                <w:szCs w:val="24"/>
              </w:rPr>
            </w:pPr>
            <w:r>
              <w:rPr>
                <w:rFonts w:hint="eastAsia" w:ascii="宋体" w:hAnsi="宋体" w:cs="宋体"/>
                <w:kern w:val="0"/>
                <w:sz w:val="24"/>
                <w:szCs w:val="24"/>
              </w:rPr>
              <w:t>得分</w:t>
            </w:r>
          </w:p>
        </w:tc>
      </w:tr>
      <w:tr>
        <w:tblPrEx>
          <w:tblCellMar>
            <w:top w:w="0" w:type="dxa"/>
            <w:left w:w="108" w:type="dxa"/>
            <w:bottom w:w="0" w:type="dxa"/>
            <w:right w:w="108" w:type="dxa"/>
          </w:tblCellMar>
        </w:tblPrEx>
        <w:trPr>
          <w:trHeight w:val="1814" w:hRule="atLeast"/>
          <w:jc w:val="center"/>
        </w:trPr>
        <w:tc>
          <w:tcPr>
            <w:tcW w:w="678"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cs="Times New Roman"/>
                <w:kern w:val="0"/>
                <w:sz w:val="24"/>
                <w:szCs w:val="24"/>
              </w:rPr>
            </w:pPr>
            <w:r>
              <w:rPr>
                <w:rFonts w:hint="eastAsia" w:ascii="宋体" w:hAnsi="宋体" w:cs="宋体"/>
                <w:kern w:val="0"/>
                <w:sz w:val="24"/>
                <w:szCs w:val="24"/>
              </w:rPr>
              <w:t>投入</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cs="Times New Roman"/>
                <w:kern w:val="0"/>
                <w:sz w:val="24"/>
                <w:szCs w:val="24"/>
              </w:rPr>
            </w:pPr>
            <w:r>
              <w:rPr>
                <w:rFonts w:ascii="宋体" w:hAnsi="宋体" w:cs="宋体"/>
                <w:kern w:val="0"/>
                <w:sz w:val="24"/>
                <w:szCs w:val="24"/>
              </w:rPr>
              <w:t>13</w:t>
            </w:r>
          </w:p>
        </w:tc>
        <w:tc>
          <w:tcPr>
            <w:tcW w:w="659" w:type="dxa"/>
            <w:vMerge w:val="restart"/>
            <w:tcBorders>
              <w:top w:val="nil"/>
              <w:left w:val="nil"/>
              <w:bottom w:val="single" w:color="auto" w:sz="4" w:space="0"/>
              <w:right w:val="single" w:color="auto" w:sz="4" w:space="0"/>
            </w:tcBorders>
            <w:vAlign w:val="center"/>
          </w:tcPr>
          <w:p>
            <w:pPr>
              <w:widowControl/>
              <w:spacing w:line="300" w:lineRule="exact"/>
              <w:jc w:val="center"/>
              <w:rPr>
                <w:rFonts w:ascii="宋体" w:cs="Times New Roman"/>
                <w:kern w:val="0"/>
                <w:sz w:val="24"/>
                <w:szCs w:val="24"/>
              </w:rPr>
            </w:pPr>
            <w:r>
              <w:rPr>
                <w:rFonts w:hint="eastAsia" w:ascii="宋体" w:hAnsi="宋体" w:cs="宋体"/>
                <w:kern w:val="0"/>
                <w:sz w:val="24"/>
                <w:szCs w:val="24"/>
              </w:rPr>
              <w:t>预算配置</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cs="Times New Roman"/>
                <w:kern w:val="0"/>
                <w:sz w:val="24"/>
                <w:szCs w:val="24"/>
              </w:rPr>
            </w:pPr>
            <w:r>
              <w:rPr>
                <w:rFonts w:ascii="宋体" w:hAnsi="宋体" w:cs="宋体"/>
                <w:kern w:val="0"/>
                <w:sz w:val="24"/>
                <w:szCs w:val="24"/>
              </w:rPr>
              <w:t>13</w:t>
            </w: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在职人员控制率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宋体" w:cs="Times New Roman"/>
                <w:kern w:val="0"/>
                <w:sz w:val="24"/>
                <w:szCs w:val="24"/>
              </w:rPr>
            </w:pPr>
            <w:r>
              <w:rPr>
                <w:rFonts w:ascii="宋体" w:hAnsi="宋体" w:cs="宋体"/>
                <w:kern w:val="0"/>
                <w:sz w:val="24"/>
                <w:szCs w:val="24"/>
              </w:rPr>
              <w:t>5</w:t>
            </w:r>
          </w:p>
        </w:tc>
        <w:tc>
          <w:tcPr>
            <w:tcW w:w="2878" w:type="dxa"/>
            <w:tcBorders>
              <w:top w:val="nil"/>
              <w:left w:val="nil"/>
              <w:bottom w:val="nil"/>
              <w:right w:val="nil"/>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以</w:t>
            </w:r>
            <w:r>
              <w:rPr>
                <w:rFonts w:ascii="宋体" w:hAnsi="宋体" w:cs="宋体"/>
                <w:kern w:val="0"/>
                <w:sz w:val="24"/>
                <w:szCs w:val="24"/>
              </w:rPr>
              <w:t>100%</w:t>
            </w:r>
            <w:r>
              <w:rPr>
                <w:rFonts w:hint="eastAsia" w:ascii="宋体" w:hAnsi="宋体" w:cs="宋体"/>
                <w:kern w:val="0"/>
                <w:sz w:val="24"/>
                <w:szCs w:val="24"/>
              </w:rPr>
              <w:t>为标准。在职人员控制率≦</w:t>
            </w:r>
            <w:r>
              <w:rPr>
                <w:rFonts w:ascii="宋体" w:hAnsi="宋体" w:cs="宋体"/>
                <w:kern w:val="0"/>
                <w:sz w:val="24"/>
                <w:szCs w:val="24"/>
              </w:rPr>
              <w:t>100%</w:t>
            </w:r>
            <w:r>
              <w:rPr>
                <w:rFonts w:hint="eastAsia" w:ascii="宋体" w:hAnsi="宋体" w:cs="宋体"/>
                <w:kern w:val="0"/>
                <w:sz w:val="24"/>
                <w:szCs w:val="24"/>
              </w:rPr>
              <w:t>，计</w:t>
            </w:r>
            <w:r>
              <w:rPr>
                <w:rFonts w:ascii="宋体" w:hAnsi="宋体" w:cs="宋体"/>
                <w:kern w:val="0"/>
                <w:sz w:val="24"/>
                <w:szCs w:val="24"/>
              </w:rPr>
              <w:t>5</w:t>
            </w:r>
            <w:r>
              <w:rPr>
                <w:rFonts w:hint="eastAsia" w:ascii="宋体" w:hAnsi="宋体" w:cs="宋体"/>
                <w:kern w:val="0"/>
                <w:sz w:val="24"/>
                <w:szCs w:val="24"/>
              </w:rPr>
              <w:t>分；每超过一个百分点扣</w:t>
            </w:r>
            <w:r>
              <w:rPr>
                <w:rFonts w:ascii="宋体" w:hAnsi="宋体" w:cs="宋体"/>
                <w:kern w:val="0"/>
                <w:sz w:val="24"/>
                <w:szCs w:val="24"/>
              </w:rPr>
              <w:t>0.5</w:t>
            </w:r>
            <w:r>
              <w:rPr>
                <w:rFonts w:hint="eastAsia" w:ascii="宋体" w:hAnsi="宋体" w:cs="宋体"/>
                <w:kern w:val="0"/>
                <w:sz w:val="24"/>
                <w:szCs w:val="24"/>
              </w:rPr>
              <w:t>分，扣完为止。</w:t>
            </w:r>
          </w:p>
        </w:tc>
        <w:tc>
          <w:tcPr>
            <w:tcW w:w="3239"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在职人员控制率</w:t>
            </w:r>
            <w:r>
              <w:rPr>
                <w:rFonts w:ascii="宋体" w:hAnsi="宋体" w:cs="宋体"/>
                <w:kern w:val="0"/>
                <w:sz w:val="24"/>
                <w:szCs w:val="24"/>
              </w:rPr>
              <w:t>=</w:t>
            </w:r>
            <w:r>
              <w:rPr>
                <w:rFonts w:hint="eastAsia" w:ascii="宋体" w:hAnsi="宋体" w:cs="宋体"/>
                <w:kern w:val="0"/>
                <w:sz w:val="24"/>
                <w:szCs w:val="24"/>
              </w:rPr>
              <w:t>（在职人员数</w:t>
            </w:r>
            <w:r>
              <w:rPr>
                <w:rFonts w:ascii="宋体" w:hAnsi="宋体" w:cs="宋体"/>
                <w:kern w:val="0"/>
                <w:sz w:val="24"/>
                <w:szCs w:val="24"/>
              </w:rPr>
              <w:t>/</w:t>
            </w:r>
            <w:r>
              <w:rPr>
                <w:rFonts w:hint="eastAsia" w:ascii="宋体" w:hAnsi="宋体" w:cs="宋体"/>
                <w:kern w:val="0"/>
                <w:sz w:val="24"/>
                <w:szCs w:val="24"/>
              </w:rPr>
              <w:t>编制数）×</w:t>
            </w:r>
            <w:r>
              <w:rPr>
                <w:rFonts w:ascii="宋体" w:hAnsi="宋体" w:cs="宋体"/>
                <w:kern w:val="0"/>
                <w:sz w:val="24"/>
                <w:szCs w:val="24"/>
              </w:rPr>
              <w:t>100%</w:t>
            </w:r>
            <w:r>
              <w:rPr>
                <w:rFonts w:hint="eastAsia" w:ascii="宋体" w:hAnsi="宋体" w:cs="宋体"/>
                <w:kern w:val="0"/>
                <w:sz w:val="24"/>
                <w:szCs w:val="24"/>
              </w:rPr>
              <w:t>，在职人员数：部门（单位）实际在职人数，以财政局确定的部门决算编制口径为准。</w:t>
            </w:r>
            <w:r>
              <w:rPr>
                <w:rFonts w:ascii="宋体" w:cs="Times New Roman"/>
                <w:kern w:val="0"/>
                <w:sz w:val="24"/>
                <w:szCs w:val="24"/>
              </w:rPr>
              <w:br w:type="textWrapping"/>
            </w:r>
            <w:r>
              <w:rPr>
                <w:rFonts w:hint="eastAsia" w:ascii="宋体" w:hAnsi="宋体" w:cs="宋体"/>
                <w:kern w:val="0"/>
                <w:sz w:val="24"/>
                <w:szCs w:val="24"/>
              </w:rPr>
              <w:t>编制数：机构编制部门核定批复的部门（单位）的人员编制数。</w:t>
            </w:r>
          </w:p>
        </w:tc>
        <w:tc>
          <w:tcPr>
            <w:tcW w:w="695"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1.5</w:t>
            </w:r>
          </w:p>
        </w:tc>
      </w:tr>
      <w:tr>
        <w:tblPrEx>
          <w:tblCellMar>
            <w:top w:w="0" w:type="dxa"/>
            <w:left w:w="108" w:type="dxa"/>
            <w:bottom w:w="0" w:type="dxa"/>
            <w:right w:w="108" w:type="dxa"/>
          </w:tblCellMar>
        </w:tblPrEx>
        <w:trPr>
          <w:trHeight w:val="1418"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Times New Roman"/>
                <w:kern w:val="0"/>
                <w:sz w:val="24"/>
                <w:szCs w:val="24"/>
              </w:rPr>
            </w:pPr>
          </w:p>
        </w:tc>
        <w:tc>
          <w:tcPr>
            <w:tcW w:w="659" w:type="dxa"/>
            <w:vMerge w:val="continue"/>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Times New Roman"/>
                <w:kern w:val="0"/>
                <w:sz w:val="24"/>
                <w:szCs w:val="24"/>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“三公经费”变动率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宋体" w:cs="Times New Roman"/>
                <w:kern w:val="0"/>
                <w:sz w:val="24"/>
                <w:szCs w:val="24"/>
              </w:rPr>
            </w:pPr>
            <w:r>
              <w:rPr>
                <w:rFonts w:ascii="宋体" w:hAnsi="宋体" w:cs="宋体"/>
                <w:kern w:val="0"/>
                <w:sz w:val="24"/>
                <w:szCs w:val="24"/>
              </w:rPr>
              <w:t>8</w:t>
            </w:r>
          </w:p>
        </w:tc>
        <w:tc>
          <w:tcPr>
            <w:tcW w:w="28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“三公经费”变动率≦</w:t>
            </w:r>
            <w:r>
              <w:rPr>
                <w:rFonts w:ascii="宋体" w:cs="宋体"/>
                <w:kern w:val="0"/>
                <w:sz w:val="24"/>
                <w:szCs w:val="24"/>
              </w:rPr>
              <w:t>0,</w:t>
            </w:r>
            <w:r>
              <w:rPr>
                <w:rFonts w:hint="eastAsia" w:ascii="宋体" w:hAnsi="宋体" w:cs="宋体"/>
                <w:kern w:val="0"/>
                <w:sz w:val="24"/>
                <w:szCs w:val="24"/>
              </w:rPr>
              <w:t>计</w:t>
            </w:r>
            <w:r>
              <w:rPr>
                <w:rFonts w:ascii="宋体" w:hAnsi="宋体" w:cs="宋体"/>
                <w:kern w:val="0"/>
                <w:sz w:val="24"/>
                <w:szCs w:val="24"/>
              </w:rPr>
              <w:t>8</w:t>
            </w:r>
            <w:r>
              <w:rPr>
                <w:rFonts w:hint="eastAsia" w:ascii="宋体" w:hAnsi="宋体" w:cs="宋体"/>
                <w:kern w:val="0"/>
                <w:sz w:val="24"/>
                <w:szCs w:val="24"/>
              </w:rPr>
              <w:t>分；“三公经费”＞</w:t>
            </w:r>
            <w:r>
              <w:rPr>
                <w:rFonts w:ascii="宋体" w:cs="宋体"/>
                <w:kern w:val="0"/>
                <w:sz w:val="24"/>
                <w:szCs w:val="24"/>
              </w:rPr>
              <w:t>0</w:t>
            </w:r>
            <w:r>
              <w:rPr>
                <w:rFonts w:hint="eastAsia" w:ascii="宋体" w:hAnsi="宋体" w:cs="宋体"/>
                <w:kern w:val="0"/>
                <w:sz w:val="24"/>
                <w:szCs w:val="24"/>
              </w:rPr>
              <w:t>，每超过一个百分点扣</w:t>
            </w:r>
            <w:r>
              <w:rPr>
                <w:rFonts w:ascii="宋体" w:hAnsi="宋体" w:cs="宋体"/>
                <w:kern w:val="0"/>
                <w:sz w:val="24"/>
                <w:szCs w:val="24"/>
              </w:rPr>
              <w:t>0.8</w:t>
            </w:r>
            <w:r>
              <w:rPr>
                <w:rFonts w:hint="eastAsia" w:ascii="宋体" w:hAnsi="宋体" w:cs="宋体"/>
                <w:kern w:val="0"/>
                <w:sz w:val="24"/>
                <w:szCs w:val="24"/>
              </w:rPr>
              <w:t>分，扣完为止。</w:t>
            </w:r>
          </w:p>
        </w:tc>
        <w:tc>
          <w:tcPr>
            <w:tcW w:w="3239"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“三公经费”变动率</w:t>
            </w:r>
            <w:r>
              <w:rPr>
                <w:rFonts w:ascii="宋体" w:hAnsi="宋体" w:cs="宋体"/>
                <w:kern w:val="0"/>
                <w:sz w:val="24"/>
                <w:szCs w:val="24"/>
              </w:rPr>
              <w:t>=[</w:t>
            </w:r>
            <w:r>
              <w:rPr>
                <w:rFonts w:hint="eastAsia" w:ascii="宋体" w:hAnsi="宋体" w:cs="宋体"/>
                <w:kern w:val="0"/>
                <w:sz w:val="24"/>
                <w:szCs w:val="24"/>
              </w:rPr>
              <w:t>（本年度“三公经费”预算数</w:t>
            </w:r>
            <w:r>
              <w:rPr>
                <w:rFonts w:ascii="宋体" w:cs="宋体"/>
                <w:kern w:val="0"/>
                <w:sz w:val="24"/>
                <w:szCs w:val="24"/>
              </w:rPr>
              <w:t>-</w:t>
            </w:r>
            <w:r>
              <w:rPr>
                <w:rFonts w:hint="eastAsia" w:ascii="宋体" w:hAnsi="宋体" w:cs="宋体"/>
                <w:kern w:val="0"/>
                <w:sz w:val="24"/>
                <w:szCs w:val="24"/>
              </w:rPr>
              <w:t>上年度“三公经费”预算数）</w:t>
            </w:r>
            <w:r>
              <w:rPr>
                <w:rFonts w:ascii="宋体" w:hAnsi="宋体" w:cs="宋体"/>
                <w:kern w:val="0"/>
                <w:sz w:val="24"/>
                <w:szCs w:val="24"/>
              </w:rPr>
              <w:t>/</w:t>
            </w:r>
            <w:r>
              <w:rPr>
                <w:rFonts w:hint="eastAsia" w:ascii="宋体" w:hAnsi="宋体" w:cs="宋体"/>
                <w:kern w:val="0"/>
                <w:sz w:val="24"/>
                <w:szCs w:val="24"/>
              </w:rPr>
              <w:t>上年度“三公经费”预算数</w:t>
            </w:r>
            <w:r>
              <w:rPr>
                <w:rFonts w:ascii="宋体" w:hAnsi="宋体" w:cs="宋体"/>
                <w:kern w:val="0"/>
                <w:sz w:val="24"/>
                <w:szCs w:val="24"/>
              </w:rPr>
              <w:t>]</w:t>
            </w:r>
            <w:r>
              <w:rPr>
                <w:rFonts w:hint="eastAsia" w:ascii="宋体" w:hAnsi="宋体" w:cs="宋体"/>
                <w:kern w:val="0"/>
                <w:sz w:val="24"/>
                <w:szCs w:val="24"/>
              </w:rPr>
              <w:t>×</w:t>
            </w:r>
            <w:r>
              <w:rPr>
                <w:rFonts w:ascii="宋体" w:hAnsi="宋体" w:cs="宋体"/>
                <w:kern w:val="0"/>
                <w:sz w:val="24"/>
                <w:szCs w:val="24"/>
              </w:rPr>
              <w:t>100%</w:t>
            </w:r>
          </w:p>
        </w:tc>
        <w:tc>
          <w:tcPr>
            <w:tcW w:w="695"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　</w:t>
            </w:r>
            <w:r>
              <w:rPr>
                <w:rFonts w:ascii="宋体" w:hAnsi="宋体" w:cs="宋体"/>
                <w:kern w:val="0"/>
                <w:sz w:val="24"/>
                <w:szCs w:val="24"/>
              </w:rPr>
              <w:t>8</w:t>
            </w:r>
          </w:p>
        </w:tc>
      </w:tr>
      <w:tr>
        <w:tblPrEx>
          <w:tblCellMar>
            <w:top w:w="0" w:type="dxa"/>
            <w:left w:w="108" w:type="dxa"/>
            <w:bottom w:w="0" w:type="dxa"/>
            <w:right w:w="108" w:type="dxa"/>
          </w:tblCellMar>
        </w:tblPrEx>
        <w:trPr>
          <w:jc w:val="center"/>
        </w:trPr>
        <w:tc>
          <w:tcPr>
            <w:tcW w:w="678"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cs="Times New Roman"/>
                <w:kern w:val="0"/>
                <w:sz w:val="24"/>
                <w:szCs w:val="24"/>
              </w:rPr>
            </w:pPr>
            <w:r>
              <w:rPr>
                <w:rFonts w:hint="eastAsia" w:ascii="宋体" w:hAnsi="宋体" w:cs="宋体"/>
                <w:kern w:val="0"/>
                <w:sz w:val="24"/>
                <w:szCs w:val="24"/>
              </w:rPr>
              <w:t>过程</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cs="Times New Roman"/>
                <w:kern w:val="0"/>
                <w:sz w:val="24"/>
                <w:szCs w:val="24"/>
              </w:rPr>
            </w:pPr>
            <w:r>
              <w:rPr>
                <w:rFonts w:ascii="宋体" w:hAnsi="宋体" w:cs="宋体"/>
                <w:kern w:val="0"/>
                <w:sz w:val="24"/>
                <w:szCs w:val="24"/>
              </w:rPr>
              <w:t>61</w:t>
            </w: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cs="Times New Roman"/>
                <w:kern w:val="0"/>
                <w:sz w:val="24"/>
                <w:szCs w:val="24"/>
              </w:rPr>
            </w:pPr>
            <w:r>
              <w:rPr>
                <w:rFonts w:hint="eastAsia" w:ascii="宋体" w:hAnsi="宋体" w:cs="宋体"/>
                <w:kern w:val="0"/>
                <w:sz w:val="24"/>
                <w:szCs w:val="24"/>
              </w:rPr>
              <w:t>预算执行</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cs="Times New Roman"/>
                <w:kern w:val="0"/>
                <w:sz w:val="24"/>
                <w:szCs w:val="24"/>
              </w:rPr>
            </w:pPr>
            <w:r>
              <w:rPr>
                <w:rFonts w:ascii="宋体" w:hAnsi="宋体" w:cs="宋体"/>
                <w:kern w:val="0"/>
                <w:sz w:val="24"/>
                <w:szCs w:val="24"/>
              </w:rPr>
              <w:t>20</w:t>
            </w: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预算完成率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宋体" w:cs="Times New Roman"/>
                <w:kern w:val="0"/>
                <w:sz w:val="24"/>
                <w:szCs w:val="24"/>
              </w:rPr>
            </w:pPr>
            <w:r>
              <w:rPr>
                <w:rFonts w:ascii="宋体" w:hAnsi="宋体" w:cs="宋体"/>
                <w:kern w:val="0"/>
                <w:sz w:val="24"/>
                <w:szCs w:val="24"/>
              </w:rPr>
              <w:t>5</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ascii="宋体" w:hAnsi="宋体" w:cs="宋体"/>
                <w:kern w:val="0"/>
                <w:sz w:val="24"/>
                <w:szCs w:val="24"/>
              </w:rPr>
              <w:t>100%</w:t>
            </w:r>
            <w:r>
              <w:rPr>
                <w:rFonts w:hint="eastAsia" w:ascii="宋体" w:hAnsi="宋体" w:cs="宋体"/>
                <w:kern w:val="0"/>
                <w:sz w:val="24"/>
                <w:szCs w:val="24"/>
              </w:rPr>
              <w:t>计满分，每低于</w:t>
            </w:r>
            <w:r>
              <w:rPr>
                <w:rFonts w:ascii="宋体" w:hAnsi="宋体" w:cs="宋体"/>
                <w:kern w:val="0"/>
                <w:sz w:val="24"/>
                <w:szCs w:val="24"/>
              </w:rPr>
              <w:t>5%</w:t>
            </w:r>
            <w:r>
              <w:rPr>
                <w:rFonts w:hint="eastAsia" w:ascii="宋体" w:hAnsi="宋体" w:cs="宋体"/>
                <w:kern w:val="0"/>
                <w:sz w:val="24"/>
                <w:szCs w:val="24"/>
              </w:rPr>
              <w:t>扣</w:t>
            </w:r>
            <w:r>
              <w:rPr>
                <w:rFonts w:ascii="宋体" w:hAnsi="宋体" w:cs="宋体"/>
                <w:kern w:val="0"/>
                <w:sz w:val="24"/>
                <w:szCs w:val="24"/>
              </w:rPr>
              <w:t>2</w:t>
            </w:r>
            <w:r>
              <w:rPr>
                <w:rFonts w:hint="eastAsia" w:ascii="宋体" w:hAnsi="宋体" w:cs="宋体"/>
                <w:kern w:val="0"/>
                <w:sz w:val="24"/>
                <w:szCs w:val="24"/>
              </w:rPr>
              <w:t>分，扣完为止。</w:t>
            </w:r>
          </w:p>
        </w:tc>
        <w:tc>
          <w:tcPr>
            <w:tcW w:w="3239"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预算完成率</w:t>
            </w:r>
            <w:r>
              <w:rPr>
                <w:rFonts w:ascii="宋体" w:hAnsi="宋体" w:cs="宋体"/>
                <w:kern w:val="0"/>
                <w:sz w:val="24"/>
                <w:szCs w:val="24"/>
              </w:rPr>
              <w:t>=</w:t>
            </w:r>
            <w:r>
              <w:rPr>
                <w:rFonts w:hint="eastAsia" w:ascii="宋体" w:hAnsi="宋体" w:cs="宋体"/>
                <w:kern w:val="0"/>
                <w:sz w:val="24"/>
                <w:szCs w:val="24"/>
              </w:rPr>
              <w:t>（上年结转</w:t>
            </w:r>
            <w:r>
              <w:rPr>
                <w:rFonts w:ascii="宋体" w:hAnsi="宋体" w:cs="宋体"/>
                <w:kern w:val="0"/>
                <w:sz w:val="24"/>
                <w:szCs w:val="24"/>
              </w:rPr>
              <w:t>+</w:t>
            </w:r>
            <w:r>
              <w:rPr>
                <w:rFonts w:hint="eastAsia" w:ascii="宋体" w:hAnsi="宋体" w:cs="宋体"/>
                <w:kern w:val="0"/>
                <w:sz w:val="24"/>
                <w:szCs w:val="24"/>
              </w:rPr>
              <w:t>年初预算</w:t>
            </w:r>
            <w:r>
              <w:rPr>
                <w:rFonts w:ascii="宋体" w:hAnsi="宋体" w:cs="宋体"/>
                <w:kern w:val="0"/>
                <w:sz w:val="24"/>
                <w:szCs w:val="24"/>
              </w:rPr>
              <w:t>+</w:t>
            </w:r>
            <w:r>
              <w:rPr>
                <w:rFonts w:hint="eastAsia" w:ascii="宋体" w:hAnsi="宋体" w:cs="宋体"/>
                <w:kern w:val="0"/>
                <w:sz w:val="24"/>
                <w:szCs w:val="24"/>
              </w:rPr>
              <w:t>本年追加预算</w:t>
            </w:r>
            <w:r>
              <w:rPr>
                <w:rFonts w:ascii="宋体" w:cs="宋体"/>
                <w:kern w:val="0"/>
                <w:sz w:val="24"/>
                <w:szCs w:val="24"/>
              </w:rPr>
              <w:t>-</w:t>
            </w:r>
            <w:r>
              <w:rPr>
                <w:rFonts w:hint="eastAsia" w:ascii="宋体" w:hAnsi="宋体" w:cs="宋体"/>
                <w:kern w:val="0"/>
                <w:sz w:val="24"/>
                <w:szCs w:val="24"/>
              </w:rPr>
              <w:t>年末结余）</w:t>
            </w:r>
            <w:r>
              <w:rPr>
                <w:rFonts w:ascii="宋体" w:hAnsi="宋体" w:cs="宋体"/>
                <w:kern w:val="0"/>
                <w:sz w:val="24"/>
                <w:szCs w:val="24"/>
              </w:rPr>
              <w:t>/</w:t>
            </w:r>
            <w:r>
              <w:rPr>
                <w:rFonts w:hint="eastAsia" w:ascii="宋体" w:hAnsi="宋体" w:cs="宋体"/>
                <w:kern w:val="0"/>
                <w:sz w:val="24"/>
                <w:szCs w:val="24"/>
              </w:rPr>
              <w:t>（上年结转</w:t>
            </w:r>
            <w:r>
              <w:rPr>
                <w:rFonts w:ascii="宋体" w:hAnsi="宋体" w:cs="宋体"/>
                <w:kern w:val="0"/>
                <w:sz w:val="24"/>
                <w:szCs w:val="24"/>
              </w:rPr>
              <w:t>+</w:t>
            </w:r>
            <w:r>
              <w:rPr>
                <w:rFonts w:hint="eastAsia" w:ascii="宋体" w:hAnsi="宋体" w:cs="宋体"/>
                <w:kern w:val="0"/>
                <w:sz w:val="24"/>
                <w:szCs w:val="24"/>
              </w:rPr>
              <w:t>年初预算</w:t>
            </w:r>
            <w:r>
              <w:rPr>
                <w:rFonts w:ascii="宋体" w:hAnsi="宋体" w:cs="宋体"/>
                <w:kern w:val="0"/>
                <w:sz w:val="24"/>
                <w:szCs w:val="24"/>
              </w:rPr>
              <w:t>+</w:t>
            </w:r>
            <w:r>
              <w:rPr>
                <w:rFonts w:hint="eastAsia" w:ascii="宋体" w:hAnsi="宋体" w:cs="宋体"/>
                <w:kern w:val="0"/>
                <w:sz w:val="24"/>
                <w:szCs w:val="24"/>
              </w:rPr>
              <w:t>本年追加预算）×</w:t>
            </w:r>
            <w:r>
              <w:rPr>
                <w:rFonts w:ascii="宋体" w:hAnsi="宋体" w:cs="宋体"/>
                <w:kern w:val="0"/>
                <w:sz w:val="24"/>
                <w:szCs w:val="24"/>
              </w:rPr>
              <w:t>100%</w:t>
            </w:r>
            <w:r>
              <w:rPr>
                <w:rFonts w:hint="eastAsia" w:ascii="宋体" w:hAnsi="宋体" w:cs="宋体"/>
                <w:kern w:val="0"/>
                <w:sz w:val="24"/>
                <w:szCs w:val="24"/>
              </w:rPr>
              <w:t>。</w:t>
            </w:r>
          </w:p>
        </w:tc>
        <w:tc>
          <w:tcPr>
            <w:tcW w:w="695"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　</w:t>
            </w:r>
            <w:r>
              <w:rPr>
                <w:rFonts w:ascii="宋体" w:hAnsi="宋体" w:cs="宋体"/>
                <w:kern w:val="0"/>
                <w:sz w:val="24"/>
                <w:szCs w:val="24"/>
              </w:rPr>
              <w:t>5</w:t>
            </w:r>
          </w:p>
        </w:tc>
      </w:tr>
      <w:tr>
        <w:tblPrEx>
          <w:tblCellMar>
            <w:top w:w="0" w:type="dxa"/>
            <w:left w:w="108" w:type="dxa"/>
            <w:bottom w:w="0" w:type="dxa"/>
            <w:right w:w="108" w:type="dxa"/>
          </w:tblCellMar>
        </w:tblPrEx>
        <w:trPr>
          <w:trHeight w:val="1273"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Times New Roman"/>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Times New Roman"/>
                <w:kern w:val="0"/>
                <w:sz w:val="24"/>
                <w:szCs w:val="24"/>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Times New Roman"/>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Times New Roman"/>
                <w:kern w:val="0"/>
                <w:sz w:val="24"/>
                <w:szCs w:val="24"/>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预算控制率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宋体" w:cs="Times New Roman"/>
                <w:kern w:val="0"/>
                <w:sz w:val="24"/>
                <w:szCs w:val="24"/>
              </w:rPr>
            </w:pPr>
            <w:r>
              <w:rPr>
                <w:rFonts w:ascii="宋体" w:hAnsi="宋体" w:cs="宋体"/>
                <w:kern w:val="0"/>
                <w:sz w:val="24"/>
                <w:szCs w:val="24"/>
              </w:rPr>
              <w:t>5</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预算控制率</w:t>
            </w:r>
            <w:r>
              <w:rPr>
                <w:rFonts w:ascii="宋体" w:hAnsi="宋体" w:cs="宋体"/>
                <w:kern w:val="0"/>
                <w:sz w:val="24"/>
                <w:szCs w:val="24"/>
              </w:rPr>
              <w:t>=0</w:t>
            </w:r>
            <w:r>
              <w:rPr>
                <w:rFonts w:hint="eastAsia" w:ascii="宋体" w:hAnsi="宋体" w:cs="宋体"/>
                <w:kern w:val="0"/>
                <w:sz w:val="24"/>
                <w:szCs w:val="24"/>
              </w:rPr>
              <w:t>，计</w:t>
            </w:r>
            <w:r>
              <w:rPr>
                <w:rFonts w:ascii="宋体" w:hAnsi="宋体" w:cs="宋体"/>
                <w:kern w:val="0"/>
                <w:sz w:val="24"/>
                <w:szCs w:val="24"/>
              </w:rPr>
              <w:t>5</w:t>
            </w:r>
            <w:r>
              <w:rPr>
                <w:rFonts w:hint="eastAsia" w:ascii="宋体" w:hAnsi="宋体" w:cs="宋体"/>
                <w:kern w:val="0"/>
                <w:sz w:val="24"/>
                <w:szCs w:val="24"/>
              </w:rPr>
              <w:t>分；</w:t>
            </w:r>
            <w:r>
              <w:rPr>
                <w:rFonts w:ascii="宋体" w:hAnsi="宋体" w:cs="宋体"/>
                <w:kern w:val="0"/>
                <w:sz w:val="24"/>
                <w:szCs w:val="24"/>
              </w:rPr>
              <w:t>0-10%</w:t>
            </w:r>
            <w:r>
              <w:rPr>
                <w:rFonts w:hint="eastAsia" w:ascii="宋体" w:hAnsi="宋体" w:cs="宋体"/>
                <w:kern w:val="0"/>
                <w:sz w:val="24"/>
                <w:szCs w:val="24"/>
              </w:rPr>
              <w:t>（含），计</w:t>
            </w:r>
            <w:r>
              <w:rPr>
                <w:rFonts w:ascii="宋体" w:hAnsi="宋体" w:cs="宋体"/>
                <w:kern w:val="0"/>
                <w:sz w:val="24"/>
                <w:szCs w:val="24"/>
              </w:rPr>
              <w:t>4</w:t>
            </w:r>
            <w:r>
              <w:rPr>
                <w:rFonts w:hint="eastAsia" w:ascii="宋体" w:hAnsi="宋体" w:cs="宋体"/>
                <w:kern w:val="0"/>
                <w:sz w:val="24"/>
                <w:szCs w:val="24"/>
              </w:rPr>
              <w:t>分；</w:t>
            </w:r>
            <w:r>
              <w:rPr>
                <w:rFonts w:ascii="宋体" w:hAnsi="宋体" w:cs="宋体"/>
                <w:kern w:val="0"/>
                <w:sz w:val="24"/>
                <w:szCs w:val="24"/>
              </w:rPr>
              <w:t>10-20%</w:t>
            </w:r>
            <w:r>
              <w:rPr>
                <w:rFonts w:hint="eastAsia" w:ascii="宋体" w:hAnsi="宋体" w:cs="宋体"/>
                <w:kern w:val="0"/>
                <w:sz w:val="24"/>
                <w:szCs w:val="24"/>
              </w:rPr>
              <w:t>（含），计</w:t>
            </w:r>
            <w:r>
              <w:rPr>
                <w:rFonts w:ascii="宋体" w:hAnsi="宋体" w:cs="宋体"/>
                <w:kern w:val="0"/>
                <w:sz w:val="24"/>
                <w:szCs w:val="24"/>
              </w:rPr>
              <w:t>3</w:t>
            </w:r>
            <w:r>
              <w:rPr>
                <w:rFonts w:hint="eastAsia" w:ascii="宋体" w:hAnsi="宋体" w:cs="宋体"/>
                <w:kern w:val="0"/>
                <w:sz w:val="24"/>
                <w:szCs w:val="24"/>
              </w:rPr>
              <w:t>分；</w:t>
            </w:r>
            <w:r>
              <w:rPr>
                <w:rFonts w:ascii="宋体" w:hAnsi="宋体" w:cs="宋体"/>
                <w:kern w:val="0"/>
                <w:sz w:val="24"/>
                <w:szCs w:val="24"/>
              </w:rPr>
              <w:t>20-30%</w:t>
            </w:r>
            <w:r>
              <w:rPr>
                <w:rFonts w:hint="eastAsia" w:ascii="宋体" w:hAnsi="宋体" w:cs="宋体"/>
                <w:kern w:val="0"/>
                <w:sz w:val="24"/>
                <w:szCs w:val="24"/>
              </w:rPr>
              <w:t>（含），计</w:t>
            </w:r>
            <w:r>
              <w:rPr>
                <w:rFonts w:ascii="宋体" w:hAnsi="宋体" w:cs="宋体"/>
                <w:kern w:val="0"/>
                <w:sz w:val="24"/>
                <w:szCs w:val="24"/>
              </w:rPr>
              <w:t>2</w:t>
            </w:r>
            <w:r>
              <w:rPr>
                <w:rFonts w:hint="eastAsia" w:ascii="宋体" w:hAnsi="宋体" w:cs="宋体"/>
                <w:kern w:val="0"/>
                <w:sz w:val="24"/>
                <w:szCs w:val="24"/>
              </w:rPr>
              <w:t>分；大于</w:t>
            </w:r>
            <w:r>
              <w:rPr>
                <w:rFonts w:ascii="宋体" w:hAnsi="宋体" w:cs="宋体"/>
                <w:kern w:val="0"/>
                <w:sz w:val="24"/>
                <w:szCs w:val="24"/>
              </w:rPr>
              <w:t>30%</w:t>
            </w:r>
            <w:r>
              <w:rPr>
                <w:rFonts w:hint="eastAsia" w:ascii="宋体" w:hAnsi="宋体" w:cs="宋体"/>
                <w:kern w:val="0"/>
                <w:sz w:val="24"/>
                <w:szCs w:val="24"/>
              </w:rPr>
              <w:t>不得分。</w:t>
            </w:r>
          </w:p>
        </w:tc>
        <w:tc>
          <w:tcPr>
            <w:tcW w:w="3239"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预算控制率</w:t>
            </w:r>
            <w:r>
              <w:rPr>
                <w:rFonts w:ascii="宋体" w:hAnsi="宋体" w:cs="宋体"/>
                <w:kern w:val="0"/>
                <w:sz w:val="24"/>
                <w:szCs w:val="24"/>
              </w:rPr>
              <w:t>=</w:t>
            </w:r>
            <w:r>
              <w:rPr>
                <w:rFonts w:hint="eastAsia" w:ascii="宋体" w:hAnsi="宋体" w:cs="宋体"/>
                <w:kern w:val="0"/>
                <w:sz w:val="24"/>
                <w:szCs w:val="24"/>
              </w:rPr>
              <w:t>（本年追加预算</w:t>
            </w:r>
            <w:r>
              <w:rPr>
                <w:rFonts w:ascii="宋体" w:hAnsi="宋体" w:cs="宋体"/>
                <w:kern w:val="0"/>
                <w:sz w:val="24"/>
                <w:szCs w:val="24"/>
              </w:rPr>
              <w:t>/</w:t>
            </w:r>
            <w:r>
              <w:rPr>
                <w:rFonts w:hint="eastAsia" w:ascii="宋体" w:hAnsi="宋体" w:cs="宋体"/>
                <w:kern w:val="0"/>
                <w:sz w:val="24"/>
                <w:szCs w:val="24"/>
              </w:rPr>
              <w:t>年初预算）×</w:t>
            </w:r>
            <w:r>
              <w:rPr>
                <w:rFonts w:ascii="宋体" w:hAnsi="宋体" w:cs="宋体"/>
                <w:kern w:val="0"/>
                <w:sz w:val="24"/>
                <w:szCs w:val="24"/>
              </w:rPr>
              <w:t>100%</w:t>
            </w:r>
            <w:r>
              <w:rPr>
                <w:rFonts w:hint="eastAsia" w:ascii="宋体" w:hAnsi="宋体" w:cs="宋体"/>
                <w:kern w:val="0"/>
                <w:sz w:val="24"/>
                <w:szCs w:val="24"/>
              </w:rPr>
              <w:t>。</w:t>
            </w:r>
          </w:p>
        </w:tc>
        <w:tc>
          <w:tcPr>
            <w:tcW w:w="695"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　</w:t>
            </w:r>
            <w:r>
              <w:rPr>
                <w:rFonts w:ascii="宋体" w:hAnsi="宋体" w:cs="宋体"/>
                <w:kern w:val="0"/>
                <w:sz w:val="24"/>
                <w:szCs w:val="24"/>
              </w:rPr>
              <w:t>5</w:t>
            </w:r>
          </w:p>
        </w:tc>
      </w:tr>
      <w:tr>
        <w:tblPrEx>
          <w:tblCellMar>
            <w:top w:w="0" w:type="dxa"/>
            <w:left w:w="108" w:type="dxa"/>
            <w:bottom w:w="0" w:type="dxa"/>
            <w:right w:w="108" w:type="dxa"/>
          </w:tblCellMar>
        </w:tblPrEx>
        <w:trPr>
          <w:trHeight w:val="1160"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Times New Roman"/>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Times New Roman"/>
                <w:kern w:val="0"/>
                <w:sz w:val="24"/>
                <w:szCs w:val="24"/>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Times New Roman"/>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Times New Roman"/>
                <w:kern w:val="0"/>
                <w:sz w:val="24"/>
                <w:szCs w:val="24"/>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新建楼堂馆所面积控制率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宋体" w:cs="Times New Roman"/>
                <w:kern w:val="0"/>
                <w:sz w:val="24"/>
                <w:szCs w:val="24"/>
              </w:rPr>
            </w:pPr>
            <w:r>
              <w:rPr>
                <w:rFonts w:ascii="宋体" w:hAnsi="宋体" w:cs="宋体"/>
                <w:kern w:val="0"/>
                <w:sz w:val="24"/>
                <w:szCs w:val="24"/>
              </w:rPr>
              <w:t>5</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ascii="宋体" w:hAnsi="宋体" w:cs="宋体"/>
                <w:kern w:val="0"/>
                <w:sz w:val="24"/>
                <w:szCs w:val="24"/>
              </w:rPr>
              <w:t>100%</w:t>
            </w:r>
            <w:r>
              <w:rPr>
                <w:rFonts w:hint="eastAsia" w:ascii="宋体" w:hAnsi="宋体" w:cs="宋体"/>
                <w:kern w:val="0"/>
                <w:sz w:val="24"/>
                <w:szCs w:val="24"/>
              </w:rPr>
              <w:t>以下（含）计满分，每超出</w:t>
            </w:r>
            <w:r>
              <w:rPr>
                <w:rFonts w:ascii="宋体" w:hAnsi="宋体" w:cs="宋体"/>
                <w:kern w:val="0"/>
                <w:sz w:val="24"/>
                <w:szCs w:val="24"/>
              </w:rPr>
              <w:t>5%</w:t>
            </w:r>
            <w:r>
              <w:rPr>
                <w:rFonts w:hint="eastAsia" w:ascii="宋体" w:hAnsi="宋体" w:cs="宋体"/>
                <w:kern w:val="0"/>
                <w:sz w:val="24"/>
                <w:szCs w:val="24"/>
              </w:rPr>
              <w:t>扣</w:t>
            </w:r>
            <w:r>
              <w:rPr>
                <w:rFonts w:ascii="宋体" w:hAnsi="宋体" w:cs="宋体"/>
                <w:kern w:val="0"/>
                <w:sz w:val="24"/>
                <w:szCs w:val="24"/>
              </w:rPr>
              <w:t>2</w:t>
            </w:r>
            <w:r>
              <w:rPr>
                <w:rFonts w:hint="eastAsia" w:ascii="宋体" w:hAnsi="宋体" w:cs="宋体"/>
                <w:kern w:val="0"/>
                <w:sz w:val="24"/>
                <w:szCs w:val="24"/>
              </w:rPr>
              <w:t>分，扣完为止。没有楼堂馆所项目的部门按满分计算。</w:t>
            </w:r>
          </w:p>
        </w:tc>
        <w:tc>
          <w:tcPr>
            <w:tcW w:w="3239"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楼堂馆所面积控制率</w:t>
            </w:r>
            <w:r>
              <w:rPr>
                <w:rFonts w:ascii="宋体" w:hAnsi="宋体" w:cs="宋体"/>
                <w:kern w:val="0"/>
                <w:sz w:val="24"/>
                <w:szCs w:val="24"/>
              </w:rPr>
              <w:t>=</w:t>
            </w:r>
            <w:r>
              <w:rPr>
                <w:rFonts w:hint="eastAsia" w:ascii="宋体" w:hAnsi="宋体" w:cs="宋体"/>
                <w:kern w:val="0"/>
                <w:sz w:val="24"/>
                <w:szCs w:val="24"/>
              </w:rPr>
              <w:t>实际建设面积</w:t>
            </w:r>
            <w:r>
              <w:rPr>
                <w:rFonts w:ascii="宋体" w:hAnsi="宋体" w:cs="宋体"/>
                <w:kern w:val="0"/>
                <w:sz w:val="24"/>
                <w:szCs w:val="24"/>
              </w:rPr>
              <w:t>/</w:t>
            </w:r>
            <w:r>
              <w:rPr>
                <w:rFonts w:hint="eastAsia" w:ascii="宋体" w:hAnsi="宋体" w:cs="宋体"/>
                <w:kern w:val="0"/>
                <w:sz w:val="24"/>
                <w:szCs w:val="24"/>
              </w:rPr>
              <w:t>批准建设面积×</w:t>
            </w:r>
            <w:r>
              <w:rPr>
                <w:rFonts w:ascii="宋体" w:hAnsi="宋体" w:cs="宋体"/>
                <w:kern w:val="0"/>
                <w:sz w:val="24"/>
                <w:szCs w:val="24"/>
              </w:rPr>
              <w:t xml:space="preserve">100% </w:t>
            </w:r>
            <w:r>
              <w:rPr>
                <w:rFonts w:hint="eastAsia" w:ascii="宋体" w:hAnsi="宋体" w:cs="宋体"/>
                <w:kern w:val="0"/>
                <w:sz w:val="24"/>
                <w:szCs w:val="24"/>
              </w:rPr>
              <w:t>。</w:t>
            </w:r>
            <w:r>
              <w:rPr>
                <w:rFonts w:ascii="宋体" w:cs="Times New Roman"/>
                <w:kern w:val="0"/>
                <w:sz w:val="24"/>
                <w:szCs w:val="24"/>
              </w:rPr>
              <w:br w:type="textWrapping"/>
            </w:r>
            <w:r>
              <w:rPr>
                <w:rFonts w:hint="eastAsia" w:ascii="宋体" w:hAnsi="宋体" w:cs="宋体"/>
                <w:kern w:val="0"/>
                <w:sz w:val="24"/>
                <w:szCs w:val="24"/>
              </w:rPr>
              <w:t>该指标以</w:t>
            </w:r>
            <w:r>
              <w:rPr>
                <w:rFonts w:ascii="宋体" w:hAnsi="宋体" w:cs="宋体"/>
                <w:kern w:val="0"/>
                <w:sz w:val="24"/>
                <w:szCs w:val="24"/>
              </w:rPr>
              <w:t>2015</w:t>
            </w:r>
            <w:r>
              <w:rPr>
                <w:rFonts w:hint="eastAsia" w:ascii="宋体" w:hAnsi="宋体" w:cs="宋体"/>
                <w:kern w:val="0"/>
                <w:sz w:val="24"/>
                <w:szCs w:val="24"/>
              </w:rPr>
              <w:t>年完工的新建楼堂馆所为评价内容。</w:t>
            </w:r>
          </w:p>
        </w:tc>
        <w:tc>
          <w:tcPr>
            <w:tcW w:w="695"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　</w:t>
            </w:r>
            <w:r>
              <w:rPr>
                <w:rFonts w:ascii="宋体" w:hAnsi="宋体" w:cs="宋体"/>
                <w:kern w:val="0"/>
                <w:sz w:val="24"/>
                <w:szCs w:val="24"/>
              </w:rPr>
              <w:t>5</w:t>
            </w:r>
          </w:p>
        </w:tc>
      </w:tr>
      <w:tr>
        <w:tblPrEx>
          <w:tblCellMar>
            <w:top w:w="0" w:type="dxa"/>
            <w:left w:w="108" w:type="dxa"/>
            <w:bottom w:w="0" w:type="dxa"/>
            <w:right w:w="108" w:type="dxa"/>
          </w:tblCellMar>
        </w:tblPrEx>
        <w:trPr>
          <w:trHeight w:val="1306"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Times New Roman"/>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Times New Roman"/>
                <w:kern w:val="0"/>
                <w:sz w:val="24"/>
                <w:szCs w:val="24"/>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Times New Roman"/>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Times New Roman"/>
                <w:kern w:val="0"/>
                <w:sz w:val="24"/>
                <w:szCs w:val="24"/>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新建楼堂馆所投资概算控制率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宋体" w:cs="Times New Roman"/>
                <w:kern w:val="0"/>
                <w:sz w:val="24"/>
                <w:szCs w:val="24"/>
              </w:rPr>
            </w:pPr>
            <w:r>
              <w:rPr>
                <w:rFonts w:ascii="宋体" w:hAnsi="宋体" w:cs="宋体"/>
                <w:kern w:val="0"/>
                <w:sz w:val="24"/>
                <w:szCs w:val="24"/>
              </w:rPr>
              <w:t>5</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ascii="宋体" w:hAnsi="宋体" w:cs="宋体"/>
                <w:kern w:val="0"/>
                <w:sz w:val="24"/>
                <w:szCs w:val="24"/>
              </w:rPr>
              <w:t>100%</w:t>
            </w:r>
            <w:r>
              <w:rPr>
                <w:rFonts w:hint="eastAsia" w:ascii="宋体" w:hAnsi="宋体" w:cs="宋体"/>
                <w:kern w:val="0"/>
                <w:sz w:val="24"/>
                <w:szCs w:val="24"/>
              </w:rPr>
              <w:t>以下（含）计满分，每超出</w:t>
            </w:r>
            <w:r>
              <w:rPr>
                <w:rFonts w:ascii="宋体" w:hAnsi="宋体" w:cs="宋体"/>
                <w:kern w:val="0"/>
                <w:sz w:val="24"/>
                <w:szCs w:val="24"/>
              </w:rPr>
              <w:t>5%</w:t>
            </w:r>
            <w:r>
              <w:rPr>
                <w:rFonts w:hint="eastAsia" w:ascii="宋体" w:hAnsi="宋体" w:cs="宋体"/>
                <w:kern w:val="0"/>
                <w:sz w:val="24"/>
                <w:szCs w:val="24"/>
              </w:rPr>
              <w:t>扣</w:t>
            </w:r>
            <w:r>
              <w:rPr>
                <w:rFonts w:ascii="宋体" w:hAnsi="宋体" w:cs="宋体"/>
                <w:kern w:val="0"/>
                <w:sz w:val="24"/>
                <w:szCs w:val="24"/>
              </w:rPr>
              <w:t>2</w:t>
            </w:r>
            <w:r>
              <w:rPr>
                <w:rFonts w:hint="eastAsia" w:ascii="宋体" w:hAnsi="宋体" w:cs="宋体"/>
                <w:kern w:val="0"/>
                <w:sz w:val="24"/>
                <w:szCs w:val="24"/>
              </w:rPr>
              <w:t>分，扣完为止。</w:t>
            </w:r>
          </w:p>
        </w:tc>
        <w:tc>
          <w:tcPr>
            <w:tcW w:w="3239"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楼堂馆所投资预算控制率</w:t>
            </w:r>
            <w:r>
              <w:rPr>
                <w:rFonts w:ascii="宋体" w:hAnsi="宋体" w:cs="宋体"/>
                <w:kern w:val="0"/>
                <w:sz w:val="24"/>
                <w:szCs w:val="24"/>
              </w:rPr>
              <w:t>=</w:t>
            </w:r>
            <w:r>
              <w:rPr>
                <w:rFonts w:hint="eastAsia" w:ascii="宋体" w:hAnsi="宋体" w:cs="宋体"/>
                <w:kern w:val="0"/>
                <w:sz w:val="24"/>
                <w:szCs w:val="24"/>
              </w:rPr>
              <w:t>实际投资金额</w:t>
            </w:r>
            <w:r>
              <w:rPr>
                <w:rFonts w:ascii="宋体" w:hAnsi="宋体" w:cs="宋体"/>
                <w:kern w:val="0"/>
                <w:sz w:val="24"/>
                <w:szCs w:val="24"/>
              </w:rPr>
              <w:t>/</w:t>
            </w:r>
            <w:r>
              <w:rPr>
                <w:rFonts w:hint="eastAsia" w:ascii="宋体" w:hAnsi="宋体" w:cs="宋体"/>
                <w:kern w:val="0"/>
                <w:sz w:val="24"/>
                <w:szCs w:val="24"/>
              </w:rPr>
              <w:t>批准投资金额×</w:t>
            </w:r>
            <w:r>
              <w:rPr>
                <w:rFonts w:ascii="宋体" w:hAnsi="宋体" w:cs="宋体"/>
                <w:kern w:val="0"/>
                <w:sz w:val="24"/>
                <w:szCs w:val="24"/>
              </w:rPr>
              <w:t xml:space="preserve">100% </w:t>
            </w:r>
            <w:r>
              <w:rPr>
                <w:rFonts w:hint="eastAsia" w:ascii="宋体" w:hAnsi="宋体" w:cs="宋体"/>
                <w:kern w:val="0"/>
                <w:sz w:val="24"/>
                <w:szCs w:val="24"/>
              </w:rPr>
              <w:t>。</w:t>
            </w:r>
            <w:r>
              <w:rPr>
                <w:rFonts w:ascii="宋体" w:cs="Times New Roman"/>
                <w:kern w:val="0"/>
                <w:sz w:val="24"/>
                <w:szCs w:val="24"/>
              </w:rPr>
              <w:br w:type="textWrapping"/>
            </w:r>
            <w:r>
              <w:rPr>
                <w:rFonts w:hint="eastAsia" w:ascii="宋体" w:hAnsi="宋体" w:cs="宋体"/>
                <w:kern w:val="0"/>
                <w:sz w:val="24"/>
                <w:szCs w:val="24"/>
              </w:rPr>
              <w:t>该指标以</w:t>
            </w:r>
            <w:r>
              <w:rPr>
                <w:rFonts w:ascii="宋体" w:hAnsi="宋体" w:cs="宋体"/>
                <w:kern w:val="0"/>
                <w:sz w:val="24"/>
                <w:szCs w:val="24"/>
              </w:rPr>
              <w:t>2015</w:t>
            </w:r>
            <w:r>
              <w:rPr>
                <w:rFonts w:hint="eastAsia" w:ascii="宋体" w:hAnsi="宋体" w:cs="宋体"/>
                <w:kern w:val="0"/>
                <w:sz w:val="24"/>
                <w:szCs w:val="24"/>
              </w:rPr>
              <w:t>年完工的新建楼堂馆所为评价内容。</w:t>
            </w:r>
          </w:p>
        </w:tc>
        <w:tc>
          <w:tcPr>
            <w:tcW w:w="695"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　</w:t>
            </w:r>
            <w:r>
              <w:rPr>
                <w:rFonts w:ascii="宋体" w:hAnsi="宋体" w:cs="宋体"/>
                <w:kern w:val="0"/>
                <w:sz w:val="24"/>
                <w:szCs w:val="24"/>
              </w:rPr>
              <w:t>5</w:t>
            </w:r>
          </w:p>
        </w:tc>
      </w:tr>
      <w:tr>
        <w:tblPrEx>
          <w:tblCellMar>
            <w:top w:w="0" w:type="dxa"/>
            <w:left w:w="108" w:type="dxa"/>
            <w:bottom w:w="0" w:type="dxa"/>
            <w:right w:w="108" w:type="dxa"/>
          </w:tblCellMar>
        </w:tblPrEx>
        <w:trPr>
          <w:trHeight w:val="1672"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Times New Roman"/>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Times New Roman"/>
                <w:kern w:val="0"/>
                <w:sz w:val="24"/>
                <w:szCs w:val="24"/>
              </w:rPr>
            </w:pP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cs="Times New Roman"/>
                <w:kern w:val="0"/>
                <w:sz w:val="24"/>
                <w:szCs w:val="24"/>
              </w:rPr>
            </w:pPr>
            <w:r>
              <w:rPr>
                <w:rFonts w:hint="eastAsia" w:ascii="宋体" w:hAnsi="宋体" w:cs="宋体"/>
                <w:kern w:val="0"/>
                <w:sz w:val="24"/>
                <w:szCs w:val="24"/>
              </w:rPr>
              <w:t>预算管理</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cs="Times New Roman"/>
                <w:kern w:val="0"/>
                <w:sz w:val="24"/>
                <w:szCs w:val="24"/>
              </w:rPr>
            </w:pPr>
            <w:r>
              <w:rPr>
                <w:rFonts w:ascii="宋体" w:hAnsi="宋体" w:cs="宋体"/>
                <w:kern w:val="0"/>
                <w:sz w:val="24"/>
                <w:szCs w:val="24"/>
              </w:rPr>
              <w:t>41</w:t>
            </w: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公用经费控制率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宋体" w:cs="Times New Roman"/>
                <w:kern w:val="0"/>
                <w:sz w:val="24"/>
                <w:szCs w:val="24"/>
              </w:rPr>
            </w:pPr>
            <w:r>
              <w:rPr>
                <w:rFonts w:ascii="宋体" w:hAnsi="宋体" w:cs="宋体"/>
                <w:kern w:val="0"/>
                <w:sz w:val="24"/>
                <w:szCs w:val="24"/>
              </w:rPr>
              <w:t>8</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ascii="宋体" w:hAnsi="宋体" w:cs="宋体"/>
                <w:kern w:val="0"/>
                <w:sz w:val="24"/>
                <w:szCs w:val="24"/>
              </w:rPr>
              <w:t>100%</w:t>
            </w:r>
            <w:r>
              <w:rPr>
                <w:rFonts w:hint="eastAsia" w:ascii="宋体" w:hAnsi="宋体" w:cs="宋体"/>
                <w:kern w:val="0"/>
                <w:sz w:val="24"/>
                <w:szCs w:val="24"/>
              </w:rPr>
              <w:t>以下（含）计满分，每超出</w:t>
            </w:r>
            <w:r>
              <w:rPr>
                <w:rFonts w:ascii="宋体" w:hAnsi="宋体" w:cs="宋体"/>
                <w:kern w:val="0"/>
                <w:sz w:val="24"/>
                <w:szCs w:val="24"/>
              </w:rPr>
              <w:t>1%</w:t>
            </w:r>
            <w:r>
              <w:rPr>
                <w:rFonts w:hint="eastAsia" w:ascii="宋体" w:hAnsi="宋体" w:cs="宋体"/>
                <w:kern w:val="0"/>
                <w:sz w:val="24"/>
                <w:szCs w:val="24"/>
              </w:rPr>
              <w:t>扣</w:t>
            </w:r>
            <w:r>
              <w:rPr>
                <w:rFonts w:ascii="宋体" w:hAnsi="宋体" w:cs="宋体"/>
                <w:kern w:val="0"/>
                <w:sz w:val="24"/>
                <w:szCs w:val="24"/>
              </w:rPr>
              <w:t>1</w:t>
            </w:r>
            <w:r>
              <w:rPr>
                <w:rFonts w:hint="eastAsia" w:ascii="宋体" w:hAnsi="宋体" w:cs="宋体"/>
                <w:kern w:val="0"/>
                <w:sz w:val="24"/>
                <w:szCs w:val="24"/>
              </w:rPr>
              <w:t>分，扣完为止。</w:t>
            </w:r>
          </w:p>
        </w:tc>
        <w:tc>
          <w:tcPr>
            <w:tcW w:w="3239"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公用经费控制率</w:t>
            </w:r>
            <w:r>
              <w:rPr>
                <w:rFonts w:ascii="宋体" w:hAnsi="宋体" w:cs="宋体"/>
                <w:kern w:val="0"/>
                <w:sz w:val="24"/>
                <w:szCs w:val="24"/>
              </w:rPr>
              <w:t>=</w:t>
            </w:r>
            <w:r>
              <w:rPr>
                <w:rFonts w:hint="eastAsia" w:ascii="宋体" w:hAnsi="宋体" w:cs="宋体"/>
                <w:kern w:val="0"/>
                <w:sz w:val="24"/>
                <w:szCs w:val="24"/>
              </w:rPr>
              <w:t>（实际支出公用经费总额</w:t>
            </w:r>
            <w:r>
              <w:rPr>
                <w:rFonts w:ascii="宋体" w:hAnsi="宋体" w:cs="宋体"/>
                <w:kern w:val="0"/>
                <w:sz w:val="24"/>
                <w:szCs w:val="24"/>
              </w:rPr>
              <w:t>/</w:t>
            </w:r>
            <w:r>
              <w:rPr>
                <w:rFonts w:hint="eastAsia" w:ascii="宋体" w:hAnsi="宋体" w:cs="宋体"/>
                <w:kern w:val="0"/>
                <w:sz w:val="24"/>
                <w:szCs w:val="24"/>
              </w:rPr>
              <w:t>预算安排公用经费总额）×</w:t>
            </w:r>
            <w:r>
              <w:rPr>
                <w:rFonts w:ascii="宋体" w:hAnsi="宋体" w:cs="宋体"/>
                <w:kern w:val="0"/>
                <w:sz w:val="24"/>
                <w:szCs w:val="24"/>
              </w:rPr>
              <w:t>100%</w:t>
            </w:r>
            <w:r>
              <w:rPr>
                <w:rFonts w:hint="eastAsia" w:ascii="宋体" w:hAnsi="宋体" w:cs="宋体"/>
                <w:kern w:val="0"/>
                <w:sz w:val="24"/>
                <w:szCs w:val="24"/>
              </w:rPr>
              <w:t>。</w:t>
            </w:r>
            <w:r>
              <w:rPr>
                <w:rFonts w:ascii="宋体" w:cs="Times New Roman"/>
                <w:kern w:val="0"/>
                <w:sz w:val="24"/>
                <w:szCs w:val="24"/>
              </w:rPr>
              <w:br w:type="textWrapping"/>
            </w:r>
            <w:r>
              <w:rPr>
                <w:rFonts w:hint="eastAsia" w:ascii="宋体" w:hAnsi="宋体" w:cs="宋体"/>
                <w:kern w:val="0"/>
                <w:sz w:val="24"/>
                <w:szCs w:val="24"/>
              </w:rPr>
              <w:t>公用经费支出是指部门基本支出中的一般商品和服务支出。</w:t>
            </w:r>
          </w:p>
        </w:tc>
        <w:tc>
          <w:tcPr>
            <w:tcW w:w="695"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　</w:t>
            </w:r>
            <w:r>
              <w:rPr>
                <w:rFonts w:ascii="宋体" w:hAnsi="宋体" w:cs="宋体"/>
                <w:kern w:val="0"/>
                <w:sz w:val="24"/>
                <w:szCs w:val="24"/>
              </w:rPr>
              <w:t>8</w:t>
            </w:r>
          </w:p>
        </w:tc>
      </w:tr>
      <w:tr>
        <w:tblPrEx>
          <w:tblCellMar>
            <w:top w:w="0" w:type="dxa"/>
            <w:left w:w="108" w:type="dxa"/>
            <w:bottom w:w="0" w:type="dxa"/>
            <w:right w:w="108" w:type="dxa"/>
          </w:tblCellMar>
        </w:tblPrEx>
        <w:trPr>
          <w:trHeight w:val="1073"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Times New Roman"/>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Times New Roman"/>
                <w:kern w:val="0"/>
                <w:sz w:val="24"/>
                <w:szCs w:val="24"/>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Times New Roman"/>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Times New Roman"/>
                <w:kern w:val="0"/>
                <w:sz w:val="24"/>
                <w:szCs w:val="24"/>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“三公经费”控制率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宋体" w:cs="Times New Roman"/>
                <w:kern w:val="0"/>
                <w:sz w:val="24"/>
                <w:szCs w:val="24"/>
              </w:rPr>
            </w:pPr>
            <w:r>
              <w:rPr>
                <w:rFonts w:ascii="宋体" w:hAnsi="宋体" w:cs="宋体"/>
                <w:kern w:val="0"/>
                <w:sz w:val="24"/>
                <w:szCs w:val="24"/>
              </w:rPr>
              <w:t>8</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ascii="宋体" w:hAnsi="宋体" w:cs="宋体"/>
                <w:kern w:val="0"/>
                <w:sz w:val="24"/>
                <w:szCs w:val="24"/>
              </w:rPr>
              <w:t>100%</w:t>
            </w:r>
            <w:r>
              <w:rPr>
                <w:rFonts w:hint="eastAsia" w:ascii="宋体" w:hAnsi="宋体" w:cs="宋体"/>
                <w:kern w:val="0"/>
                <w:sz w:val="24"/>
                <w:szCs w:val="24"/>
              </w:rPr>
              <w:t>以下（含）计满分，每超出</w:t>
            </w:r>
            <w:r>
              <w:rPr>
                <w:rFonts w:ascii="宋体" w:hAnsi="宋体" w:cs="宋体"/>
                <w:kern w:val="0"/>
                <w:sz w:val="24"/>
                <w:szCs w:val="24"/>
              </w:rPr>
              <w:t>1%</w:t>
            </w:r>
            <w:r>
              <w:rPr>
                <w:rFonts w:hint="eastAsia" w:ascii="宋体" w:hAnsi="宋体" w:cs="宋体"/>
                <w:kern w:val="0"/>
                <w:sz w:val="24"/>
                <w:szCs w:val="24"/>
              </w:rPr>
              <w:t>扣</w:t>
            </w:r>
            <w:r>
              <w:rPr>
                <w:rFonts w:ascii="宋体" w:hAnsi="宋体" w:cs="宋体"/>
                <w:kern w:val="0"/>
                <w:sz w:val="24"/>
                <w:szCs w:val="24"/>
              </w:rPr>
              <w:t>1</w:t>
            </w:r>
            <w:r>
              <w:rPr>
                <w:rFonts w:hint="eastAsia" w:ascii="宋体" w:hAnsi="宋体" w:cs="宋体"/>
                <w:kern w:val="0"/>
                <w:sz w:val="24"/>
                <w:szCs w:val="24"/>
              </w:rPr>
              <w:t>分，扣完为止。</w:t>
            </w:r>
          </w:p>
        </w:tc>
        <w:tc>
          <w:tcPr>
            <w:tcW w:w="3239"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“三公经费”控制率</w:t>
            </w:r>
            <w:r>
              <w:rPr>
                <w:rFonts w:ascii="宋体" w:cs="宋体"/>
                <w:kern w:val="0"/>
                <w:sz w:val="24"/>
                <w:szCs w:val="24"/>
              </w:rPr>
              <w:t>-</w:t>
            </w:r>
            <w:r>
              <w:rPr>
                <w:rFonts w:hint="eastAsia" w:ascii="宋体" w:hAnsi="宋体" w:cs="宋体"/>
                <w:kern w:val="0"/>
                <w:sz w:val="24"/>
                <w:szCs w:val="24"/>
              </w:rPr>
              <w:t>（“三公经费”实际支出数</w:t>
            </w:r>
            <w:r>
              <w:rPr>
                <w:rFonts w:ascii="宋体" w:hAnsi="宋体" w:cs="宋体"/>
                <w:kern w:val="0"/>
                <w:sz w:val="24"/>
                <w:szCs w:val="24"/>
              </w:rPr>
              <w:t>/</w:t>
            </w:r>
            <w:r>
              <w:rPr>
                <w:rFonts w:hint="eastAsia" w:ascii="宋体" w:hAnsi="宋体" w:cs="宋体"/>
                <w:kern w:val="0"/>
                <w:sz w:val="24"/>
                <w:szCs w:val="24"/>
              </w:rPr>
              <w:t>“三公经费”预算安排数）×</w:t>
            </w:r>
            <w:r>
              <w:rPr>
                <w:rFonts w:ascii="宋体" w:hAnsi="宋体" w:cs="宋体"/>
                <w:kern w:val="0"/>
                <w:sz w:val="24"/>
                <w:szCs w:val="24"/>
              </w:rPr>
              <w:t>100%</w:t>
            </w:r>
            <w:r>
              <w:rPr>
                <w:rFonts w:hint="eastAsia" w:ascii="宋体" w:hAnsi="宋体" w:cs="宋体"/>
                <w:kern w:val="0"/>
                <w:sz w:val="24"/>
                <w:szCs w:val="24"/>
              </w:rPr>
              <w:t>。</w:t>
            </w:r>
          </w:p>
        </w:tc>
        <w:tc>
          <w:tcPr>
            <w:tcW w:w="695"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　</w:t>
            </w:r>
            <w:r>
              <w:rPr>
                <w:rFonts w:ascii="宋体" w:hAnsi="宋体" w:cs="宋体"/>
                <w:kern w:val="0"/>
                <w:sz w:val="24"/>
                <w:szCs w:val="24"/>
              </w:rPr>
              <w:t>8</w:t>
            </w:r>
          </w:p>
        </w:tc>
      </w:tr>
      <w:tr>
        <w:tblPrEx>
          <w:tblCellMar>
            <w:top w:w="0" w:type="dxa"/>
            <w:left w:w="108" w:type="dxa"/>
            <w:bottom w:w="0" w:type="dxa"/>
            <w:right w:w="108" w:type="dxa"/>
          </w:tblCellMar>
        </w:tblPrEx>
        <w:trPr>
          <w:trHeight w:val="1085"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Times New Roman"/>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Times New Roman"/>
                <w:kern w:val="0"/>
                <w:sz w:val="24"/>
                <w:szCs w:val="24"/>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政府采购执行率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宋体" w:cs="Times New Roman"/>
                <w:kern w:val="0"/>
                <w:sz w:val="24"/>
                <w:szCs w:val="24"/>
              </w:rPr>
            </w:pPr>
            <w:r>
              <w:rPr>
                <w:rFonts w:ascii="宋体" w:hAnsi="宋体" w:cs="宋体"/>
                <w:kern w:val="0"/>
                <w:sz w:val="24"/>
                <w:szCs w:val="24"/>
              </w:rPr>
              <w:t>6</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ascii="宋体" w:hAnsi="宋体" w:cs="宋体"/>
                <w:kern w:val="0"/>
                <w:sz w:val="24"/>
                <w:szCs w:val="24"/>
              </w:rPr>
              <w:t>100%</w:t>
            </w:r>
            <w:r>
              <w:rPr>
                <w:rFonts w:hint="eastAsia" w:ascii="宋体" w:hAnsi="宋体" w:cs="宋体"/>
                <w:kern w:val="0"/>
                <w:sz w:val="24"/>
                <w:szCs w:val="24"/>
              </w:rPr>
              <w:t>计满分，每超过（降低）</w:t>
            </w:r>
            <w:r>
              <w:rPr>
                <w:rFonts w:ascii="宋体" w:hAnsi="宋体" w:cs="宋体"/>
                <w:kern w:val="0"/>
                <w:sz w:val="24"/>
                <w:szCs w:val="24"/>
              </w:rPr>
              <w:t>5%</w:t>
            </w:r>
            <w:r>
              <w:rPr>
                <w:rFonts w:hint="eastAsia" w:ascii="宋体" w:hAnsi="宋体" w:cs="宋体"/>
                <w:kern w:val="0"/>
                <w:sz w:val="24"/>
                <w:szCs w:val="24"/>
              </w:rPr>
              <w:t>扣</w:t>
            </w:r>
            <w:r>
              <w:rPr>
                <w:rFonts w:ascii="宋体" w:hAnsi="宋体" w:cs="宋体"/>
                <w:kern w:val="0"/>
                <w:sz w:val="24"/>
                <w:szCs w:val="24"/>
              </w:rPr>
              <w:t>2</w:t>
            </w:r>
            <w:r>
              <w:rPr>
                <w:rFonts w:hint="eastAsia" w:ascii="宋体" w:hAnsi="宋体" w:cs="宋体"/>
                <w:kern w:val="0"/>
                <w:sz w:val="24"/>
                <w:szCs w:val="24"/>
              </w:rPr>
              <w:t>分。扣完为止。</w:t>
            </w:r>
          </w:p>
        </w:tc>
        <w:tc>
          <w:tcPr>
            <w:tcW w:w="3239"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政府采购执行率</w:t>
            </w:r>
            <w:r>
              <w:rPr>
                <w:rFonts w:ascii="宋体" w:hAnsi="宋体" w:cs="宋体"/>
                <w:kern w:val="0"/>
                <w:sz w:val="24"/>
                <w:szCs w:val="24"/>
              </w:rPr>
              <w:t>=</w:t>
            </w:r>
            <w:r>
              <w:rPr>
                <w:rFonts w:hint="eastAsia" w:ascii="宋体" w:hAnsi="宋体" w:cs="宋体"/>
                <w:kern w:val="0"/>
                <w:sz w:val="24"/>
                <w:szCs w:val="24"/>
              </w:rPr>
              <w:t>（实际政府采购金额</w:t>
            </w:r>
            <w:r>
              <w:rPr>
                <w:rFonts w:ascii="宋体" w:hAnsi="宋体" w:cs="宋体"/>
                <w:kern w:val="0"/>
                <w:sz w:val="24"/>
                <w:szCs w:val="24"/>
              </w:rPr>
              <w:t>/</w:t>
            </w:r>
            <w:r>
              <w:rPr>
                <w:rFonts w:hint="eastAsia" w:ascii="宋体" w:hAnsi="宋体" w:cs="宋体"/>
                <w:kern w:val="0"/>
                <w:sz w:val="24"/>
                <w:szCs w:val="24"/>
              </w:rPr>
              <w:t>政府采购预算数）×</w:t>
            </w:r>
            <w:r>
              <w:rPr>
                <w:rFonts w:ascii="宋体" w:hAnsi="宋体" w:cs="宋体"/>
                <w:kern w:val="0"/>
                <w:sz w:val="24"/>
                <w:szCs w:val="24"/>
              </w:rPr>
              <w:t>100%</w:t>
            </w:r>
          </w:p>
        </w:tc>
        <w:tc>
          <w:tcPr>
            <w:tcW w:w="695"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　</w:t>
            </w:r>
            <w:r>
              <w:rPr>
                <w:rFonts w:ascii="宋体" w:hAnsi="宋体" w:cs="宋体"/>
                <w:kern w:val="0"/>
                <w:sz w:val="24"/>
                <w:szCs w:val="24"/>
              </w:rPr>
              <w:t>6</w:t>
            </w:r>
          </w:p>
        </w:tc>
      </w:tr>
      <w:tr>
        <w:tblPrEx>
          <w:tblCellMar>
            <w:top w:w="0" w:type="dxa"/>
            <w:left w:w="108" w:type="dxa"/>
            <w:bottom w:w="0" w:type="dxa"/>
            <w:right w:w="108" w:type="dxa"/>
          </w:tblCellMar>
        </w:tblPrEx>
        <w:trPr>
          <w:jc w:val="center"/>
        </w:trPr>
        <w:tc>
          <w:tcPr>
            <w:tcW w:w="678" w:type="dxa"/>
            <w:vMerge w:val="restart"/>
            <w:tcBorders>
              <w:top w:val="single" w:color="auto" w:sz="4" w:space="0"/>
              <w:left w:val="single" w:color="auto" w:sz="4" w:space="0"/>
              <w:bottom w:val="single" w:color="000000" w:sz="4" w:space="0"/>
              <w:right w:val="single" w:color="auto" w:sz="4" w:space="0"/>
            </w:tcBorders>
            <w:vAlign w:val="center"/>
          </w:tcPr>
          <w:p>
            <w:pPr>
              <w:spacing w:line="280" w:lineRule="exact"/>
              <w:jc w:val="left"/>
              <w:rPr>
                <w:rFonts w:ascii="宋体" w:cs="Times New Roman"/>
                <w:kern w:val="0"/>
                <w:sz w:val="24"/>
                <w:szCs w:val="24"/>
              </w:rPr>
            </w:pPr>
            <w:r>
              <w:rPr>
                <w:rFonts w:hint="eastAsia" w:ascii="宋体" w:hAnsi="宋体" w:cs="宋体"/>
                <w:kern w:val="0"/>
                <w:sz w:val="24"/>
                <w:szCs w:val="24"/>
              </w:rPr>
              <w:t>过程</w:t>
            </w:r>
          </w:p>
        </w:tc>
        <w:tc>
          <w:tcPr>
            <w:tcW w:w="516" w:type="dxa"/>
            <w:vMerge w:val="restart"/>
            <w:tcBorders>
              <w:top w:val="single" w:color="auto" w:sz="4" w:space="0"/>
              <w:left w:val="single" w:color="auto" w:sz="4" w:space="0"/>
              <w:bottom w:val="single" w:color="000000" w:sz="4" w:space="0"/>
              <w:right w:val="single" w:color="auto" w:sz="4" w:space="0"/>
            </w:tcBorders>
            <w:vAlign w:val="center"/>
          </w:tcPr>
          <w:p>
            <w:pPr>
              <w:spacing w:line="280" w:lineRule="exact"/>
              <w:jc w:val="left"/>
              <w:rPr>
                <w:rFonts w:ascii="宋体" w:cs="Times New Roman"/>
                <w:kern w:val="0"/>
                <w:sz w:val="24"/>
                <w:szCs w:val="24"/>
              </w:rPr>
            </w:pPr>
            <w:r>
              <w:rPr>
                <w:rFonts w:ascii="宋体" w:hAnsi="宋体" w:cs="宋体"/>
                <w:kern w:val="0"/>
                <w:sz w:val="24"/>
                <w:szCs w:val="24"/>
              </w:rPr>
              <w:t>61</w:t>
            </w:r>
          </w:p>
        </w:tc>
        <w:tc>
          <w:tcPr>
            <w:tcW w:w="659" w:type="dxa"/>
            <w:vMerge w:val="restart"/>
            <w:tcBorders>
              <w:top w:val="nil"/>
              <w:left w:val="nil"/>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r>
              <w:rPr>
                <w:rFonts w:hint="eastAsia" w:ascii="宋体" w:hAnsi="宋体" w:cs="宋体"/>
                <w:kern w:val="0"/>
                <w:sz w:val="24"/>
                <w:szCs w:val="24"/>
              </w:rPr>
              <w:t>预算管理</w:t>
            </w: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s="Times New Roman"/>
                <w:kern w:val="0"/>
                <w:sz w:val="24"/>
                <w:szCs w:val="24"/>
              </w:rPr>
            </w:pP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r>
              <w:rPr>
                <w:rFonts w:hint="eastAsia" w:ascii="宋体" w:hAnsi="宋体" w:cs="宋体"/>
                <w:kern w:val="0"/>
                <w:sz w:val="24"/>
                <w:szCs w:val="24"/>
              </w:rPr>
              <w:t>管理制度健全性</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宋体" w:cs="Times New Roman"/>
                <w:kern w:val="0"/>
                <w:sz w:val="24"/>
                <w:szCs w:val="24"/>
              </w:rPr>
            </w:pPr>
            <w:r>
              <w:rPr>
                <w:rFonts w:ascii="宋体" w:hAnsi="宋体" w:cs="宋体"/>
                <w:kern w:val="0"/>
                <w:sz w:val="24"/>
                <w:szCs w:val="24"/>
              </w:rPr>
              <w:t>8</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r>
              <w:rPr>
                <w:rFonts w:hint="eastAsia" w:ascii="宋体" w:hAnsi="宋体" w:cs="宋体"/>
                <w:kern w:val="0"/>
                <w:sz w:val="24"/>
                <w:szCs w:val="24"/>
              </w:rPr>
              <w:t>①有内部财务管理制度、会计核算制度等管理制度，</w:t>
            </w:r>
            <w:r>
              <w:rPr>
                <w:rFonts w:ascii="宋体" w:hAnsi="宋体" w:cs="宋体"/>
                <w:kern w:val="0"/>
                <w:sz w:val="24"/>
                <w:szCs w:val="24"/>
              </w:rPr>
              <w:t>2</w:t>
            </w:r>
            <w:r>
              <w:rPr>
                <w:rFonts w:hint="eastAsia" w:ascii="宋体" w:hAnsi="宋体" w:cs="宋体"/>
                <w:kern w:val="0"/>
                <w:sz w:val="24"/>
                <w:szCs w:val="24"/>
              </w:rPr>
              <w:t>分；</w:t>
            </w:r>
            <w:r>
              <w:rPr>
                <w:rFonts w:ascii="宋体" w:cs="Times New Roman"/>
                <w:kern w:val="0"/>
                <w:sz w:val="24"/>
                <w:szCs w:val="24"/>
              </w:rPr>
              <w:br w:type="textWrapping"/>
            </w:r>
            <w:r>
              <w:rPr>
                <w:rFonts w:hint="eastAsia" w:ascii="宋体" w:hAnsi="宋体" w:cs="宋体"/>
                <w:kern w:val="0"/>
                <w:sz w:val="24"/>
                <w:szCs w:val="24"/>
              </w:rPr>
              <w:t>②有本部门厉行节约制度</w:t>
            </w:r>
            <w:r>
              <w:rPr>
                <w:rFonts w:ascii="宋体" w:hAnsi="宋体" w:cs="宋体"/>
                <w:kern w:val="0"/>
                <w:sz w:val="24"/>
                <w:szCs w:val="24"/>
              </w:rPr>
              <w:t>,2</w:t>
            </w:r>
            <w:r>
              <w:rPr>
                <w:rFonts w:hint="eastAsia" w:ascii="宋体" w:hAnsi="宋体" w:cs="宋体"/>
                <w:kern w:val="0"/>
                <w:sz w:val="24"/>
                <w:szCs w:val="24"/>
              </w:rPr>
              <w:t>分；</w:t>
            </w:r>
            <w:r>
              <w:rPr>
                <w:rFonts w:ascii="宋体" w:cs="Times New Roman"/>
                <w:kern w:val="0"/>
                <w:sz w:val="24"/>
                <w:szCs w:val="24"/>
              </w:rPr>
              <w:br w:type="textWrapping"/>
            </w:r>
            <w:r>
              <w:rPr>
                <w:rFonts w:hint="eastAsia" w:ascii="宋体" w:hAnsi="宋体" w:cs="宋体"/>
                <w:kern w:val="0"/>
                <w:sz w:val="24"/>
                <w:szCs w:val="24"/>
              </w:rPr>
              <w:t>③相关管理制度合法、合规、完整，</w:t>
            </w:r>
            <w:r>
              <w:rPr>
                <w:rFonts w:ascii="宋体" w:hAnsi="宋体" w:cs="宋体"/>
                <w:kern w:val="0"/>
                <w:sz w:val="24"/>
                <w:szCs w:val="24"/>
              </w:rPr>
              <w:t>2</w:t>
            </w:r>
            <w:r>
              <w:rPr>
                <w:rFonts w:hint="eastAsia" w:ascii="宋体" w:hAnsi="宋体" w:cs="宋体"/>
                <w:kern w:val="0"/>
                <w:sz w:val="24"/>
                <w:szCs w:val="24"/>
              </w:rPr>
              <w:t>分；④相关管理制度得到有效执行，</w:t>
            </w:r>
            <w:r>
              <w:rPr>
                <w:rFonts w:ascii="宋体" w:hAnsi="宋体" w:cs="宋体"/>
                <w:kern w:val="0"/>
                <w:sz w:val="24"/>
                <w:szCs w:val="24"/>
              </w:rPr>
              <w:t>2</w:t>
            </w:r>
            <w:r>
              <w:rPr>
                <w:rFonts w:hint="eastAsia" w:ascii="宋体" w:hAnsi="宋体" w:cs="宋体"/>
                <w:kern w:val="0"/>
                <w:sz w:val="24"/>
                <w:szCs w:val="24"/>
              </w:rPr>
              <w:t>分。</w:t>
            </w:r>
          </w:p>
        </w:tc>
        <w:tc>
          <w:tcPr>
            <w:tcW w:w="3239" w:type="dxa"/>
            <w:tcBorders>
              <w:top w:val="nil"/>
              <w:left w:val="nil"/>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r>
              <w:rPr>
                <w:rFonts w:hint="eastAsia" w:ascii="宋体" w:hAnsi="宋体" w:cs="宋体"/>
                <w:kern w:val="0"/>
                <w:sz w:val="24"/>
                <w:szCs w:val="24"/>
              </w:rPr>
              <w:t>　</w:t>
            </w:r>
          </w:p>
        </w:tc>
        <w:tc>
          <w:tcPr>
            <w:tcW w:w="695"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ascii="宋体" w:hAnsi="宋体" w:cs="宋体"/>
                <w:kern w:val="0"/>
                <w:sz w:val="24"/>
                <w:szCs w:val="24"/>
              </w:rPr>
              <w:t>8</w:t>
            </w:r>
            <w:r>
              <w:rPr>
                <w:rFonts w:hint="eastAsia" w:ascii="宋体" w:hAnsi="宋体" w:cs="宋体"/>
                <w:kern w:val="0"/>
                <w:sz w:val="24"/>
                <w:szCs w:val="24"/>
              </w:rPr>
              <w:t>　</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s="Times New Roman"/>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s="Times New Roman"/>
                <w:kern w:val="0"/>
                <w:sz w:val="24"/>
                <w:szCs w:val="24"/>
              </w:rPr>
            </w:pPr>
          </w:p>
        </w:tc>
        <w:tc>
          <w:tcPr>
            <w:tcW w:w="659" w:type="dxa"/>
            <w:vMerge w:val="continue"/>
            <w:tcBorders>
              <w:top w:val="nil"/>
              <w:left w:val="nil"/>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s="Times New Roman"/>
                <w:kern w:val="0"/>
                <w:sz w:val="24"/>
                <w:szCs w:val="24"/>
              </w:rPr>
            </w:pP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r>
              <w:rPr>
                <w:rFonts w:hint="eastAsia" w:ascii="宋体" w:hAnsi="宋体" w:cs="宋体"/>
                <w:kern w:val="0"/>
                <w:sz w:val="24"/>
                <w:szCs w:val="24"/>
              </w:rPr>
              <w:t>资金使用合规性</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宋体" w:cs="Times New Roman"/>
                <w:kern w:val="0"/>
                <w:sz w:val="24"/>
                <w:szCs w:val="24"/>
              </w:rPr>
            </w:pPr>
            <w:r>
              <w:rPr>
                <w:rFonts w:ascii="宋体" w:hAnsi="宋体" w:cs="宋体"/>
                <w:kern w:val="0"/>
                <w:sz w:val="24"/>
                <w:szCs w:val="24"/>
              </w:rPr>
              <w:t>6</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r>
              <w:rPr>
                <w:rFonts w:hint="eastAsia" w:ascii="宋体" w:hAnsi="宋体" w:cs="宋体"/>
                <w:kern w:val="0"/>
                <w:sz w:val="24"/>
                <w:szCs w:val="24"/>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ascii="宋体" w:cs="Times New Roman"/>
                <w:kern w:val="0"/>
                <w:sz w:val="24"/>
                <w:szCs w:val="24"/>
              </w:rPr>
              <w:br w:type="textWrapping"/>
            </w:r>
            <w:r>
              <w:rPr>
                <w:rFonts w:hint="eastAsia" w:ascii="宋体" w:hAnsi="宋体" w:cs="宋体"/>
                <w:kern w:val="0"/>
                <w:sz w:val="24"/>
                <w:szCs w:val="24"/>
              </w:rPr>
              <w:t>以上情况每出现一例不符合要求的扣</w:t>
            </w:r>
            <w:r>
              <w:rPr>
                <w:rFonts w:ascii="宋体" w:hAnsi="宋体" w:cs="宋体"/>
                <w:kern w:val="0"/>
                <w:sz w:val="24"/>
                <w:szCs w:val="24"/>
              </w:rPr>
              <w:t>1</w:t>
            </w:r>
            <w:r>
              <w:rPr>
                <w:rFonts w:hint="eastAsia" w:ascii="宋体" w:hAnsi="宋体" w:cs="宋体"/>
                <w:kern w:val="0"/>
                <w:sz w:val="24"/>
                <w:szCs w:val="24"/>
              </w:rPr>
              <w:t>分，扣完为止。</w:t>
            </w:r>
          </w:p>
        </w:tc>
        <w:tc>
          <w:tcPr>
            <w:tcW w:w="3239" w:type="dxa"/>
            <w:tcBorders>
              <w:top w:val="nil"/>
              <w:left w:val="nil"/>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r>
              <w:rPr>
                <w:rFonts w:hint="eastAsia" w:ascii="宋体" w:hAnsi="宋体" w:cs="宋体"/>
                <w:kern w:val="0"/>
                <w:sz w:val="24"/>
                <w:szCs w:val="24"/>
              </w:rPr>
              <w:t>　</w:t>
            </w:r>
          </w:p>
        </w:tc>
        <w:tc>
          <w:tcPr>
            <w:tcW w:w="695"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　</w:t>
            </w:r>
            <w:r>
              <w:rPr>
                <w:rFonts w:ascii="宋体" w:hAnsi="宋体" w:cs="宋体"/>
                <w:kern w:val="0"/>
                <w:sz w:val="24"/>
                <w:szCs w:val="24"/>
              </w:rPr>
              <w:t>6</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s="Times New Roman"/>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s="Times New Roman"/>
                <w:kern w:val="0"/>
                <w:sz w:val="24"/>
                <w:szCs w:val="24"/>
              </w:rPr>
            </w:pPr>
          </w:p>
        </w:tc>
        <w:tc>
          <w:tcPr>
            <w:tcW w:w="659" w:type="dxa"/>
            <w:vMerge w:val="continue"/>
            <w:tcBorders>
              <w:top w:val="nil"/>
              <w:left w:val="nil"/>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s="Times New Roman"/>
                <w:kern w:val="0"/>
                <w:sz w:val="24"/>
                <w:szCs w:val="24"/>
              </w:rPr>
            </w:pP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r>
              <w:rPr>
                <w:rFonts w:hint="eastAsia" w:ascii="宋体" w:hAnsi="宋体" w:cs="宋体"/>
                <w:kern w:val="0"/>
                <w:sz w:val="24"/>
                <w:szCs w:val="24"/>
              </w:rPr>
              <w:t>预决算信息公开性</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宋体" w:cs="Times New Roman"/>
                <w:kern w:val="0"/>
                <w:sz w:val="24"/>
                <w:szCs w:val="24"/>
              </w:rPr>
            </w:pPr>
            <w:r>
              <w:rPr>
                <w:rFonts w:ascii="宋体" w:hAnsi="宋体" w:cs="宋体"/>
                <w:kern w:val="0"/>
                <w:sz w:val="24"/>
                <w:szCs w:val="24"/>
              </w:rPr>
              <w:t>5</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r>
              <w:rPr>
                <w:rFonts w:hint="eastAsia" w:ascii="宋体" w:hAnsi="宋体" w:cs="宋体"/>
                <w:kern w:val="0"/>
                <w:sz w:val="24"/>
                <w:szCs w:val="24"/>
              </w:rPr>
              <w:t>①按规定内容公开预决算信息，</w:t>
            </w:r>
            <w:r>
              <w:rPr>
                <w:rFonts w:ascii="宋体" w:hAnsi="宋体" w:cs="宋体"/>
                <w:kern w:val="0"/>
                <w:sz w:val="24"/>
                <w:szCs w:val="24"/>
              </w:rPr>
              <w:t>1</w:t>
            </w:r>
            <w:r>
              <w:rPr>
                <w:rFonts w:hint="eastAsia" w:ascii="宋体" w:hAnsi="宋体" w:cs="宋体"/>
                <w:kern w:val="0"/>
                <w:sz w:val="24"/>
                <w:szCs w:val="24"/>
              </w:rPr>
              <w:t>分；②按规定时限公开预决算信息，</w:t>
            </w:r>
            <w:r>
              <w:rPr>
                <w:rFonts w:ascii="宋体" w:hAnsi="宋体" w:cs="宋体"/>
                <w:kern w:val="0"/>
                <w:sz w:val="24"/>
                <w:szCs w:val="24"/>
              </w:rPr>
              <w:t>1</w:t>
            </w:r>
            <w:r>
              <w:rPr>
                <w:rFonts w:hint="eastAsia" w:ascii="宋体" w:hAnsi="宋体" w:cs="宋体"/>
                <w:kern w:val="0"/>
                <w:sz w:val="24"/>
                <w:szCs w:val="24"/>
              </w:rPr>
              <w:t>分；③基础数据信息和会计信息资料真实，</w:t>
            </w:r>
            <w:r>
              <w:rPr>
                <w:rFonts w:ascii="宋体" w:hAnsi="宋体" w:cs="宋体"/>
                <w:kern w:val="0"/>
                <w:sz w:val="24"/>
                <w:szCs w:val="24"/>
              </w:rPr>
              <w:t>1</w:t>
            </w:r>
            <w:r>
              <w:rPr>
                <w:rFonts w:hint="eastAsia" w:ascii="宋体" w:hAnsi="宋体" w:cs="宋体"/>
                <w:kern w:val="0"/>
                <w:sz w:val="24"/>
                <w:szCs w:val="24"/>
              </w:rPr>
              <w:t>分；④基础数据信息和会计信息资料完整，</w:t>
            </w:r>
            <w:r>
              <w:rPr>
                <w:rFonts w:ascii="宋体" w:hAnsi="宋体" w:cs="宋体"/>
                <w:kern w:val="0"/>
                <w:sz w:val="24"/>
                <w:szCs w:val="24"/>
              </w:rPr>
              <w:t>1</w:t>
            </w:r>
            <w:r>
              <w:rPr>
                <w:rFonts w:hint="eastAsia" w:ascii="宋体" w:hAnsi="宋体" w:cs="宋体"/>
                <w:kern w:val="0"/>
                <w:sz w:val="24"/>
                <w:szCs w:val="24"/>
              </w:rPr>
              <w:t>分；⑤基础数据信息和汇集信息资料准确，</w:t>
            </w:r>
            <w:r>
              <w:rPr>
                <w:rFonts w:ascii="宋体" w:hAnsi="宋体" w:cs="宋体"/>
                <w:kern w:val="0"/>
                <w:sz w:val="24"/>
                <w:szCs w:val="24"/>
              </w:rPr>
              <w:t>1</w:t>
            </w:r>
            <w:r>
              <w:rPr>
                <w:rFonts w:hint="eastAsia" w:ascii="宋体" w:hAnsi="宋体" w:cs="宋体"/>
                <w:kern w:val="0"/>
                <w:sz w:val="24"/>
                <w:szCs w:val="24"/>
              </w:rPr>
              <w:t>分。</w:t>
            </w:r>
          </w:p>
        </w:tc>
        <w:tc>
          <w:tcPr>
            <w:tcW w:w="3239" w:type="dxa"/>
            <w:tcBorders>
              <w:top w:val="nil"/>
              <w:left w:val="nil"/>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r>
              <w:rPr>
                <w:rFonts w:hint="eastAsia" w:ascii="宋体" w:hAnsi="宋体" w:cs="宋体"/>
                <w:kern w:val="0"/>
                <w:sz w:val="24"/>
                <w:szCs w:val="24"/>
              </w:rPr>
              <w:t>预决算信息是指与部门预算、执行、决算、监督、绩效等管理相关的信息。</w:t>
            </w:r>
          </w:p>
        </w:tc>
        <w:tc>
          <w:tcPr>
            <w:tcW w:w="695"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　</w:t>
            </w:r>
            <w:r>
              <w:rPr>
                <w:rFonts w:ascii="宋体" w:hAnsi="宋体" w:cs="宋体"/>
                <w:kern w:val="0"/>
                <w:sz w:val="24"/>
                <w:szCs w:val="24"/>
              </w:rPr>
              <w:t>5</w:t>
            </w:r>
          </w:p>
        </w:tc>
      </w:tr>
      <w:tr>
        <w:tblPrEx>
          <w:tblCellMar>
            <w:top w:w="0" w:type="dxa"/>
            <w:left w:w="108" w:type="dxa"/>
            <w:bottom w:w="0" w:type="dxa"/>
            <w:right w:w="108" w:type="dxa"/>
          </w:tblCellMar>
        </w:tblPrEx>
        <w:trPr>
          <w:jc w:val="center"/>
        </w:trPr>
        <w:tc>
          <w:tcPr>
            <w:tcW w:w="678"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cs="Times New Roman"/>
                <w:kern w:val="0"/>
                <w:sz w:val="24"/>
                <w:szCs w:val="24"/>
              </w:rPr>
            </w:pPr>
            <w:r>
              <w:rPr>
                <w:rFonts w:hint="eastAsia" w:ascii="宋体" w:hAnsi="宋体" w:cs="宋体"/>
                <w:kern w:val="0"/>
                <w:sz w:val="24"/>
                <w:szCs w:val="24"/>
              </w:rPr>
              <w:t>产出及效率</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cs="Times New Roman"/>
                <w:kern w:val="0"/>
                <w:sz w:val="24"/>
                <w:szCs w:val="24"/>
              </w:rPr>
            </w:pPr>
            <w:r>
              <w:rPr>
                <w:rFonts w:ascii="宋体" w:hAnsi="宋体" w:cs="宋体"/>
                <w:kern w:val="0"/>
                <w:sz w:val="24"/>
                <w:szCs w:val="24"/>
              </w:rPr>
              <w:t>26</w:t>
            </w:r>
          </w:p>
        </w:tc>
        <w:tc>
          <w:tcPr>
            <w:tcW w:w="659" w:type="dxa"/>
            <w:tcBorders>
              <w:top w:val="nil"/>
              <w:left w:val="nil"/>
              <w:bottom w:val="single" w:color="auto" w:sz="4" w:space="0"/>
              <w:right w:val="single" w:color="auto" w:sz="4" w:space="0"/>
            </w:tcBorders>
            <w:vAlign w:val="center"/>
          </w:tcPr>
          <w:p>
            <w:pPr>
              <w:widowControl/>
              <w:spacing w:line="280" w:lineRule="exact"/>
              <w:jc w:val="center"/>
              <w:rPr>
                <w:rFonts w:ascii="宋体" w:cs="Times New Roman"/>
                <w:kern w:val="0"/>
                <w:sz w:val="24"/>
                <w:szCs w:val="24"/>
              </w:rPr>
            </w:pPr>
            <w:r>
              <w:rPr>
                <w:rFonts w:hint="eastAsia" w:ascii="宋体" w:hAnsi="宋体" w:cs="宋体"/>
                <w:kern w:val="0"/>
                <w:sz w:val="24"/>
                <w:szCs w:val="24"/>
              </w:rPr>
              <w:t>职责履行</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宋体" w:cs="Times New Roman"/>
                <w:kern w:val="0"/>
                <w:sz w:val="24"/>
                <w:szCs w:val="24"/>
              </w:rPr>
            </w:pPr>
            <w:r>
              <w:rPr>
                <w:rFonts w:ascii="宋体" w:hAnsi="宋体" w:cs="宋体"/>
                <w:kern w:val="0"/>
                <w:sz w:val="24"/>
                <w:szCs w:val="24"/>
              </w:rPr>
              <w:t>8</w:t>
            </w:r>
          </w:p>
        </w:tc>
        <w:tc>
          <w:tcPr>
            <w:tcW w:w="1074" w:type="dxa"/>
            <w:tcBorders>
              <w:top w:val="nil"/>
              <w:left w:val="nil"/>
              <w:bottom w:val="nil"/>
              <w:right w:val="single" w:color="auto" w:sz="4" w:space="0"/>
            </w:tcBorders>
            <w:vAlign w:val="center"/>
          </w:tcPr>
          <w:p>
            <w:pPr>
              <w:widowControl/>
              <w:spacing w:line="280" w:lineRule="exact"/>
              <w:jc w:val="left"/>
              <w:rPr>
                <w:rFonts w:ascii="宋体" w:cs="Times New Roman"/>
                <w:kern w:val="0"/>
                <w:sz w:val="24"/>
                <w:szCs w:val="24"/>
              </w:rPr>
            </w:pPr>
            <w:r>
              <w:rPr>
                <w:rFonts w:hint="eastAsia" w:ascii="宋体" w:hAnsi="宋体" w:cs="宋体"/>
                <w:kern w:val="0"/>
                <w:sz w:val="24"/>
                <w:szCs w:val="24"/>
              </w:rPr>
              <w:t>重点工作实际完成率</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宋体" w:cs="Times New Roman"/>
                <w:kern w:val="0"/>
                <w:sz w:val="24"/>
                <w:szCs w:val="24"/>
              </w:rPr>
            </w:pPr>
            <w:r>
              <w:rPr>
                <w:rFonts w:ascii="宋体" w:hAnsi="宋体" w:cs="宋体"/>
                <w:kern w:val="0"/>
                <w:sz w:val="24"/>
                <w:szCs w:val="24"/>
              </w:rPr>
              <w:t>8</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r>
              <w:rPr>
                <w:rFonts w:hint="eastAsia" w:ascii="宋体" w:hAnsi="宋体" w:cs="宋体"/>
                <w:kern w:val="0"/>
                <w:sz w:val="24"/>
                <w:szCs w:val="24"/>
              </w:rPr>
              <w:t>根据绩效办</w:t>
            </w:r>
            <w:r>
              <w:rPr>
                <w:rFonts w:ascii="宋体" w:hAnsi="宋体" w:cs="宋体"/>
                <w:kern w:val="0"/>
                <w:sz w:val="24"/>
                <w:szCs w:val="24"/>
              </w:rPr>
              <w:t>2015</w:t>
            </w:r>
            <w:r>
              <w:rPr>
                <w:rFonts w:hint="eastAsia" w:ascii="宋体" w:hAnsi="宋体" w:cs="宋体"/>
                <w:kern w:val="0"/>
                <w:sz w:val="24"/>
                <w:szCs w:val="24"/>
              </w:rPr>
              <w:t>年对各部门为民办实事和部门重点工程与重点工作考核</w:t>
            </w:r>
          </w:p>
        </w:tc>
        <w:tc>
          <w:tcPr>
            <w:tcW w:w="3239" w:type="dxa"/>
            <w:tcBorders>
              <w:top w:val="nil"/>
              <w:left w:val="nil"/>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r>
              <w:rPr>
                <w:rFonts w:hint="eastAsia" w:ascii="宋体" w:hAnsi="宋体" w:cs="宋体"/>
                <w:kern w:val="0"/>
                <w:sz w:val="24"/>
                <w:szCs w:val="24"/>
              </w:rPr>
              <w:t>　</w:t>
            </w:r>
          </w:p>
        </w:tc>
        <w:tc>
          <w:tcPr>
            <w:tcW w:w="695"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　</w:t>
            </w:r>
            <w:r>
              <w:rPr>
                <w:rFonts w:ascii="宋体" w:hAnsi="宋体" w:cs="宋体"/>
                <w:kern w:val="0"/>
                <w:sz w:val="24"/>
                <w:szCs w:val="24"/>
              </w:rPr>
              <w:t>8</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s="Times New Roman"/>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s="Times New Roman"/>
                <w:kern w:val="0"/>
                <w:sz w:val="24"/>
                <w:szCs w:val="24"/>
              </w:rPr>
            </w:pP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cs="Times New Roman"/>
                <w:kern w:val="0"/>
                <w:sz w:val="24"/>
                <w:szCs w:val="24"/>
              </w:rPr>
            </w:pPr>
            <w:r>
              <w:rPr>
                <w:rFonts w:hint="eastAsia" w:ascii="宋体" w:hAnsi="宋体" w:cs="宋体"/>
                <w:kern w:val="0"/>
                <w:sz w:val="24"/>
                <w:szCs w:val="24"/>
              </w:rPr>
              <w:t>履职效益</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cs="Times New Roman"/>
                <w:kern w:val="0"/>
                <w:sz w:val="24"/>
                <w:szCs w:val="24"/>
              </w:rPr>
            </w:pPr>
            <w:r>
              <w:rPr>
                <w:rFonts w:ascii="宋体" w:hAnsi="宋体" w:cs="宋体"/>
                <w:kern w:val="0"/>
                <w:sz w:val="24"/>
                <w:szCs w:val="24"/>
              </w:rPr>
              <w:t>6</w:t>
            </w:r>
          </w:p>
        </w:tc>
        <w:tc>
          <w:tcPr>
            <w:tcW w:w="107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cs="Times New Roman"/>
                <w:kern w:val="0"/>
                <w:sz w:val="24"/>
                <w:szCs w:val="24"/>
              </w:rPr>
            </w:pPr>
            <w:r>
              <w:rPr>
                <w:rFonts w:hint="eastAsia" w:ascii="宋体" w:hAnsi="宋体" w:cs="宋体"/>
                <w:kern w:val="0"/>
                <w:sz w:val="24"/>
                <w:szCs w:val="24"/>
              </w:rPr>
              <w:t>经济效益</w:t>
            </w:r>
          </w:p>
        </w:tc>
        <w:tc>
          <w:tcPr>
            <w:tcW w:w="516" w:type="dxa"/>
            <w:vMerge w:val="restart"/>
            <w:tcBorders>
              <w:top w:val="nil"/>
              <w:left w:val="single" w:color="auto" w:sz="4" w:space="0"/>
              <w:bottom w:val="nil"/>
              <w:right w:val="single" w:color="auto" w:sz="4" w:space="0"/>
            </w:tcBorders>
            <w:vAlign w:val="center"/>
          </w:tcPr>
          <w:p>
            <w:pPr>
              <w:widowControl/>
              <w:spacing w:line="280" w:lineRule="exact"/>
              <w:jc w:val="center"/>
              <w:rPr>
                <w:rFonts w:ascii="宋体" w:cs="Times New Roman"/>
                <w:kern w:val="0"/>
                <w:sz w:val="24"/>
                <w:szCs w:val="24"/>
              </w:rPr>
            </w:pPr>
            <w:r>
              <w:rPr>
                <w:rFonts w:ascii="宋体" w:hAnsi="宋体" w:cs="宋体"/>
                <w:kern w:val="0"/>
                <w:sz w:val="24"/>
                <w:szCs w:val="24"/>
              </w:rPr>
              <w:t>6</w:t>
            </w:r>
          </w:p>
        </w:tc>
        <w:tc>
          <w:tcPr>
            <w:tcW w:w="6117" w:type="dxa"/>
            <w:gridSpan w:val="2"/>
            <w:vMerge w:val="restart"/>
            <w:tcBorders>
              <w:top w:val="single" w:color="auto" w:sz="4" w:space="0"/>
              <w:left w:val="single" w:color="auto" w:sz="4" w:space="0"/>
              <w:bottom w:val="nil"/>
              <w:right w:val="single" w:color="000000" w:sz="4" w:space="0"/>
            </w:tcBorders>
            <w:vAlign w:val="center"/>
          </w:tcPr>
          <w:p>
            <w:pPr>
              <w:widowControl/>
              <w:spacing w:line="280" w:lineRule="exact"/>
              <w:jc w:val="left"/>
              <w:rPr>
                <w:rFonts w:ascii="宋体" w:cs="Times New Roman"/>
                <w:kern w:val="0"/>
                <w:sz w:val="24"/>
                <w:szCs w:val="24"/>
              </w:rPr>
            </w:pPr>
            <w:r>
              <w:rPr>
                <w:rFonts w:hint="eastAsia" w:ascii="宋体" w:hAnsi="宋体" w:cs="宋体"/>
                <w:kern w:val="0"/>
                <w:sz w:val="24"/>
                <w:szCs w:val="24"/>
              </w:rPr>
              <w:t>此两项指标为设置部门整体支出绩效评价指标时必须考虑的共性要素，可根据部门实际情况有选择的进行设置，并将其细化为相应的个性化指标。</w:t>
            </w:r>
          </w:p>
        </w:tc>
        <w:tc>
          <w:tcPr>
            <w:tcW w:w="695" w:type="dxa"/>
            <w:tcBorders>
              <w:top w:val="nil"/>
              <w:left w:val="nil"/>
              <w:bottom w:val="nil"/>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　</w:t>
            </w:r>
            <w:r>
              <w:rPr>
                <w:rFonts w:ascii="宋体" w:hAnsi="宋体" w:cs="宋体"/>
                <w:kern w:val="0"/>
                <w:sz w:val="24"/>
                <w:szCs w:val="24"/>
              </w:rPr>
              <w:t>3</w:t>
            </w:r>
          </w:p>
        </w:tc>
      </w:tr>
      <w:tr>
        <w:tblPrEx>
          <w:tblCellMar>
            <w:top w:w="0" w:type="dxa"/>
            <w:left w:w="108" w:type="dxa"/>
            <w:bottom w:w="0" w:type="dxa"/>
            <w:right w:w="108" w:type="dxa"/>
          </w:tblCellMar>
        </w:tblPrEx>
        <w:trPr>
          <w:trHeight w:val="758"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s="Times New Roman"/>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s="Times New Roman"/>
                <w:kern w:val="0"/>
                <w:sz w:val="24"/>
                <w:szCs w:val="24"/>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s="Times New Roman"/>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s="Times New Roman"/>
                <w:kern w:val="0"/>
                <w:sz w:val="24"/>
                <w:szCs w:val="24"/>
              </w:rPr>
            </w:pPr>
          </w:p>
        </w:tc>
        <w:tc>
          <w:tcPr>
            <w:tcW w:w="1074" w:type="dxa"/>
            <w:tcBorders>
              <w:top w:val="nil"/>
              <w:left w:val="nil"/>
              <w:bottom w:val="single" w:color="auto" w:sz="4" w:space="0"/>
              <w:right w:val="single" w:color="auto" w:sz="4" w:space="0"/>
            </w:tcBorders>
            <w:vAlign w:val="center"/>
          </w:tcPr>
          <w:p>
            <w:pPr>
              <w:widowControl/>
              <w:spacing w:line="280" w:lineRule="exact"/>
              <w:jc w:val="center"/>
              <w:rPr>
                <w:rFonts w:ascii="宋体" w:cs="Times New Roman"/>
                <w:kern w:val="0"/>
                <w:sz w:val="24"/>
                <w:szCs w:val="24"/>
              </w:rPr>
            </w:pPr>
            <w:r>
              <w:rPr>
                <w:rFonts w:hint="eastAsia" w:ascii="宋体" w:hAnsi="宋体" w:cs="宋体"/>
                <w:kern w:val="0"/>
                <w:sz w:val="24"/>
                <w:szCs w:val="24"/>
              </w:rPr>
              <w:t>社会效益</w:t>
            </w:r>
          </w:p>
        </w:tc>
        <w:tc>
          <w:tcPr>
            <w:tcW w:w="516" w:type="dxa"/>
            <w:vMerge w:val="continue"/>
            <w:tcBorders>
              <w:top w:val="nil"/>
              <w:left w:val="single" w:color="auto" w:sz="4" w:space="0"/>
              <w:bottom w:val="nil"/>
              <w:right w:val="single" w:color="auto" w:sz="4" w:space="0"/>
            </w:tcBorders>
            <w:vAlign w:val="center"/>
          </w:tcPr>
          <w:p>
            <w:pPr>
              <w:widowControl/>
              <w:spacing w:line="280" w:lineRule="exact"/>
              <w:jc w:val="left"/>
              <w:rPr>
                <w:rFonts w:ascii="宋体" w:cs="Times New Roman"/>
                <w:kern w:val="0"/>
                <w:sz w:val="24"/>
                <w:szCs w:val="24"/>
              </w:rPr>
            </w:pPr>
          </w:p>
        </w:tc>
        <w:tc>
          <w:tcPr>
            <w:tcW w:w="6117" w:type="dxa"/>
            <w:gridSpan w:val="2"/>
            <w:vMerge w:val="continue"/>
            <w:tcBorders>
              <w:top w:val="single" w:color="auto" w:sz="4" w:space="0"/>
              <w:left w:val="single" w:color="auto" w:sz="4" w:space="0"/>
              <w:bottom w:val="nil"/>
              <w:right w:val="single" w:color="000000" w:sz="4" w:space="0"/>
            </w:tcBorders>
            <w:vAlign w:val="center"/>
          </w:tcPr>
          <w:p>
            <w:pPr>
              <w:widowControl/>
              <w:spacing w:line="280" w:lineRule="exact"/>
              <w:jc w:val="left"/>
              <w:rPr>
                <w:rFonts w:ascii="宋体" w:cs="Times New Roman"/>
                <w:kern w:val="0"/>
                <w:sz w:val="24"/>
                <w:szCs w:val="24"/>
              </w:rPr>
            </w:pPr>
          </w:p>
        </w:tc>
        <w:tc>
          <w:tcPr>
            <w:tcW w:w="695" w:type="dxa"/>
            <w:tcBorders>
              <w:top w:val="nil"/>
              <w:left w:val="nil"/>
              <w:bottom w:val="nil"/>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　</w:t>
            </w:r>
            <w:r>
              <w:rPr>
                <w:rFonts w:ascii="宋体" w:hAnsi="宋体" w:cs="宋体"/>
                <w:kern w:val="0"/>
                <w:sz w:val="24"/>
                <w:szCs w:val="24"/>
              </w:rPr>
              <w:t>3</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s="Times New Roman"/>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s="Times New Roman"/>
                <w:kern w:val="0"/>
                <w:sz w:val="24"/>
                <w:szCs w:val="24"/>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s="Times New Roman"/>
                <w:kern w:val="0"/>
                <w:sz w:val="24"/>
                <w:szCs w:val="24"/>
              </w:rPr>
            </w:pP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cs="Times New Roman"/>
                <w:kern w:val="0"/>
                <w:sz w:val="24"/>
                <w:szCs w:val="24"/>
              </w:rPr>
            </w:pPr>
            <w:r>
              <w:rPr>
                <w:rFonts w:ascii="宋体" w:hAnsi="宋体" w:cs="宋体"/>
                <w:kern w:val="0"/>
                <w:sz w:val="24"/>
                <w:szCs w:val="24"/>
              </w:rPr>
              <w:t>12</w:t>
            </w: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r>
              <w:rPr>
                <w:rFonts w:hint="eastAsia" w:ascii="宋体" w:hAnsi="宋体" w:cs="宋体"/>
                <w:kern w:val="0"/>
                <w:sz w:val="24"/>
                <w:szCs w:val="24"/>
              </w:rPr>
              <w:t>行政效能</w:t>
            </w:r>
          </w:p>
        </w:tc>
        <w:tc>
          <w:tcPr>
            <w:tcW w:w="516"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cs="Times New Roman"/>
                <w:kern w:val="0"/>
                <w:sz w:val="24"/>
                <w:szCs w:val="24"/>
              </w:rPr>
            </w:pPr>
            <w:r>
              <w:rPr>
                <w:rFonts w:ascii="宋体" w:hAnsi="宋体" w:cs="宋体"/>
                <w:kern w:val="0"/>
                <w:sz w:val="24"/>
                <w:szCs w:val="24"/>
              </w:rPr>
              <w:t>6</w:t>
            </w:r>
          </w:p>
        </w:tc>
        <w:tc>
          <w:tcPr>
            <w:tcW w:w="2878"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r>
              <w:rPr>
                <w:rFonts w:hint="eastAsia" w:ascii="宋体" w:hAnsi="宋体" w:cs="宋体"/>
                <w:kern w:val="0"/>
                <w:sz w:val="24"/>
                <w:szCs w:val="24"/>
              </w:rPr>
              <w:t>促进部门改进文风会风，加强经费及资产管理，推动网上办事，提高行政效率，降低行政成本效果较好的计</w:t>
            </w:r>
            <w:r>
              <w:rPr>
                <w:rFonts w:ascii="宋体" w:hAnsi="宋体" w:cs="宋体"/>
                <w:kern w:val="0"/>
                <w:sz w:val="24"/>
                <w:szCs w:val="24"/>
              </w:rPr>
              <w:t>6</w:t>
            </w:r>
            <w:r>
              <w:rPr>
                <w:rFonts w:hint="eastAsia" w:ascii="宋体" w:hAnsi="宋体" w:cs="宋体"/>
                <w:kern w:val="0"/>
                <w:sz w:val="24"/>
                <w:szCs w:val="24"/>
              </w:rPr>
              <w:t>分；一般</w:t>
            </w:r>
            <w:r>
              <w:rPr>
                <w:rFonts w:ascii="宋体" w:hAnsi="宋体" w:cs="宋体"/>
                <w:kern w:val="0"/>
                <w:sz w:val="24"/>
                <w:szCs w:val="24"/>
              </w:rPr>
              <w:t>3</w:t>
            </w:r>
            <w:r>
              <w:rPr>
                <w:rFonts w:hint="eastAsia" w:ascii="宋体" w:hAnsi="宋体" w:cs="宋体"/>
                <w:kern w:val="0"/>
                <w:sz w:val="24"/>
                <w:szCs w:val="24"/>
              </w:rPr>
              <w:t>分；无效果或者效果不明显</w:t>
            </w:r>
            <w:r>
              <w:rPr>
                <w:rFonts w:ascii="宋体" w:cs="宋体"/>
                <w:kern w:val="0"/>
                <w:sz w:val="24"/>
                <w:szCs w:val="24"/>
              </w:rPr>
              <w:t>0</w:t>
            </w:r>
            <w:r>
              <w:rPr>
                <w:rFonts w:hint="eastAsia" w:ascii="宋体" w:hAnsi="宋体" w:cs="宋体"/>
                <w:kern w:val="0"/>
                <w:sz w:val="24"/>
                <w:szCs w:val="24"/>
              </w:rPr>
              <w:t>分。</w:t>
            </w:r>
          </w:p>
        </w:tc>
        <w:tc>
          <w:tcPr>
            <w:tcW w:w="3239"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r>
              <w:rPr>
                <w:rFonts w:hint="eastAsia" w:ascii="宋体" w:hAnsi="宋体" w:cs="宋体"/>
                <w:kern w:val="0"/>
                <w:sz w:val="24"/>
                <w:szCs w:val="24"/>
              </w:rPr>
              <w:t>根据部门自评材料评定。</w:t>
            </w:r>
          </w:p>
        </w:tc>
        <w:tc>
          <w:tcPr>
            <w:tcW w:w="695"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　</w:t>
            </w:r>
            <w:r>
              <w:rPr>
                <w:rFonts w:ascii="宋体" w:hAnsi="宋体" w:cs="宋体"/>
                <w:kern w:val="0"/>
                <w:sz w:val="24"/>
                <w:szCs w:val="24"/>
              </w:rPr>
              <w:t>6</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p>
        </w:tc>
        <w:tc>
          <w:tcPr>
            <w:tcW w:w="65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r>
              <w:rPr>
                <w:rFonts w:hint="eastAsia" w:ascii="宋体" w:hAnsi="宋体" w:cs="宋体"/>
                <w:kern w:val="0"/>
                <w:sz w:val="24"/>
                <w:szCs w:val="24"/>
              </w:rPr>
              <w:t>社会公众或服务对象满意度</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宋体" w:cs="Times New Roman"/>
                <w:kern w:val="0"/>
                <w:sz w:val="24"/>
                <w:szCs w:val="24"/>
              </w:rPr>
            </w:pPr>
            <w:r>
              <w:rPr>
                <w:rFonts w:ascii="宋体" w:hAnsi="宋体" w:cs="宋体"/>
                <w:kern w:val="0"/>
                <w:sz w:val="24"/>
                <w:szCs w:val="24"/>
              </w:rPr>
              <w:t>6</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r>
              <w:rPr>
                <w:rFonts w:ascii="宋体" w:hAnsi="宋体" w:cs="宋体"/>
                <w:kern w:val="0"/>
                <w:sz w:val="24"/>
                <w:szCs w:val="24"/>
              </w:rPr>
              <w:t>90%</w:t>
            </w:r>
            <w:r>
              <w:rPr>
                <w:rFonts w:hint="eastAsia" w:ascii="宋体" w:hAnsi="宋体" w:cs="宋体"/>
                <w:kern w:val="0"/>
                <w:sz w:val="24"/>
                <w:szCs w:val="24"/>
              </w:rPr>
              <w:t>（含）以上计</w:t>
            </w:r>
            <w:r>
              <w:rPr>
                <w:rFonts w:ascii="宋体" w:hAnsi="宋体" w:cs="宋体"/>
                <w:kern w:val="0"/>
                <w:sz w:val="24"/>
                <w:szCs w:val="24"/>
              </w:rPr>
              <w:t>6</w:t>
            </w:r>
            <w:r>
              <w:rPr>
                <w:rFonts w:hint="eastAsia" w:ascii="宋体" w:hAnsi="宋体" w:cs="宋体"/>
                <w:kern w:val="0"/>
                <w:sz w:val="24"/>
                <w:szCs w:val="24"/>
              </w:rPr>
              <w:t>分；</w:t>
            </w:r>
            <w:r>
              <w:rPr>
                <w:rFonts w:ascii="宋体" w:cs="Times New Roman"/>
                <w:kern w:val="0"/>
                <w:sz w:val="24"/>
                <w:szCs w:val="24"/>
              </w:rPr>
              <w:br w:type="textWrapping"/>
            </w:r>
            <w:r>
              <w:rPr>
                <w:rFonts w:ascii="宋体" w:hAnsi="宋体" w:cs="宋体"/>
                <w:kern w:val="0"/>
                <w:sz w:val="24"/>
                <w:szCs w:val="24"/>
              </w:rPr>
              <w:t>80%</w:t>
            </w:r>
            <w:r>
              <w:rPr>
                <w:rFonts w:hint="eastAsia" w:ascii="宋体" w:hAnsi="宋体" w:cs="宋体"/>
                <w:kern w:val="0"/>
                <w:sz w:val="24"/>
                <w:szCs w:val="24"/>
              </w:rPr>
              <w:t>（含）</w:t>
            </w:r>
            <w:r>
              <w:rPr>
                <w:rFonts w:ascii="宋体" w:hAnsi="宋体" w:cs="宋体"/>
                <w:kern w:val="0"/>
                <w:sz w:val="24"/>
                <w:szCs w:val="24"/>
              </w:rPr>
              <w:t>-90%</w:t>
            </w:r>
            <w:r>
              <w:rPr>
                <w:rFonts w:hint="eastAsia" w:ascii="宋体" w:hAnsi="宋体" w:cs="宋体"/>
                <w:kern w:val="0"/>
                <w:sz w:val="24"/>
                <w:szCs w:val="24"/>
              </w:rPr>
              <w:t>，计</w:t>
            </w:r>
            <w:r>
              <w:rPr>
                <w:rFonts w:ascii="宋体" w:hAnsi="宋体" w:cs="宋体"/>
                <w:kern w:val="0"/>
                <w:sz w:val="24"/>
                <w:szCs w:val="24"/>
              </w:rPr>
              <w:t>4</w:t>
            </w:r>
            <w:r>
              <w:rPr>
                <w:rFonts w:hint="eastAsia" w:ascii="宋体" w:hAnsi="宋体" w:cs="宋体"/>
                <w:kern w:val="0"/>
                <w:sz w:val="24"/>
                <w:szCs w:val="24"/>
              </w:rPr>
              <w:t>分；</w:t>
            </w:r>
            <w:r>
              <w:rPr>
                <w:rFonts w:ascii="宋体" w:cs="Times New Roman"/>
                <w:kern w:val="0"/>
                <w:sz w:val="24"/>
                <w:szCs w:val="24"/>
              </w:rPr>
              <w:br w:type="textWrapping"/>
            </w:r>
            <w:r>
              <w:rPr>
                <w:rFonts w:ascii="宋体" w:hAnsi="宋体" w:cs="宋体"/>
                <w:kern w:val="0"/>
                <w:sz w:val="24"/>
                <w:szCs w:val="24"/>
              </w:rPr>
              <w:t>70%</w:t>
            </w:r>
            <w:r>
              <w:rPr>
                <w:rFonts w:hint="eastAsia" w:ascii="宋体" w:hAnsi="宋体" w:cs="宋体"/>
                <w:kern w:val="0"/>
                <w:sz w:val="24"/>
                <w:szCs w:val="24"/>
              </w:rPr>
              <w:t>（含）</w:t>
            </w:r>
            <w:r>
              <w:rPr>
                <w:rFonts w:ascii="宋体" w:hAnsi="宋体" w:cs="宋体"/>
                <w:kern w:val="0"/>
                <w:sz w:val="24"/>
                <w:szCs w:val="24"/>
              </w:rPr>
              <w:t>-80%</w:t>
            </w:r>
            <w:r>
              <w:rPr>
                <w:rFonts w:hint="eastAsia" w:ascii="宋体" w:hAnsi="宋体" w:cs="宋体"/>
                <w:kern w:val="0"/>
                <w:sz w:val="24"/>
                <w:szCs w:val="24"/>
              </w:rPr>
              <w:t>，计</w:t>
            </w:r>
            <w:r>
              <w:rPr>
                <w:rFonts w:ascii="宋体" w:hAnsi="宋体" w:cs="宋体"/>
                <w:kern w:val="0"/>
                <w:sz w:val="24"/>
                <w:szCs w:val="24"/>
              </w:rPr>
              <w:t>2</w:t>
            </w:r>
            <w:r>
              <w:rPr>
                <w:rFonts w:hint="eastAsia" w:ascii="宋体" w:hAnsi="宋体" w:cs="宋体"/>
                <w:kern w:val="0"/>
                <w:sz w:val="24"/>
                <w:szCs w:val="24"/>
              </w:rPr>
              <w:t>分；</w:t>
            </w:r>
            <w:r>
              <w:rPr>
                <w:rFonts w:ascii="宋体" w:cs="Times New Roman"/>
                <w:kern w:val="0"/>
                <w:sz w:val="24"/>
                <w:szCs w:val="24"/>
              </w:rPr>
              <w:br w:type="textWrapping"/>
            </w:r>
            <w:r>
              <w:rPr>
                <w:rFonts w:hint="eastAsia" w:ascii="宋体" w:hAnsi="宋体" w:cs="宋体"/>
                <w:kern w:val="0"/>
                <w:sz w:val="24"/>
                <w:szCs w:val="24"/>
              </w:rPr>
              <w:t>低于</w:t>
            </w:r>
            <w:r>
              <w:rPr>
                <w:rFonts w:ascii="宋体" w:hAnsi="宋体" w:cs="宋体"/>
                <w:kern w:val="0"/>
                <w:sz w:val="24"/>
                <w:szCs w:val="24"/>
              </w:rPr>
              <w:t>70%</w:t>
            </w:r>
            <w:r>
              <w:rPr>
                <w:rFonts w:hint="eastAsia" w:ascii="宋体" w:hAnsi="宋体" w:cs="宋体"/>
                <w:kern w:val="0"/>
                <w:sz w:val="24"/>
                <w:szCs w:val="24"/>
              </w:rPr>
              <w:t>计</w:t>
            </w:r>
            <w:r>
              <w:rPr>
                <w:rFonts w:ascii="宋体" w:cs="宋体"/>
                <w:kern w:val="0"/>
                <w:sz w:val="24"/>
                <w:szCs w:val="24"/>
              </w:rPr>
              <w:t>0</w:t>
            </w:r>
            <w:r>
              <w:rPr>
                <w:rFonts w:hint="eastAsia" w:ascii="宋体" w:hAnsi="宋体" w:cs="宋体"/>
                <w:kern w:val="0"/>
                <w:sz w:val="24"/>
                <w:szCs w:val="24"/>
              </w:rPr>
              <w:t>分。</w:t>
            </w:r>
          </w:p>
        </w:tc>
        <w:tc>
          <w:tcPr>
            <w:tcW w:w="3239" w:type="dxa"/>
            <w:tcBorders>
              <w:top w:val="nil"/>
              <w:left w:val="nil"/>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r>
              <w:rPr>
                <w:rFonts w:hint="eastAsia" w:ascii="宋体" w:hAnsi="宋体" w:cs="宋体"/>
                <w:kern w:val="0"/>
                <w:sz w:val="24"/>
                <w:szCs w:val="24"/>
              </w:rPr>
              <w:t>社会公众或服务对象是指部门（单位）履行职责而影响到的部门、群体或个人，一般采取社会调查的方式。</w:t>
            </w:r>
          </w:p>
        </w:tc>
        <w:tc>
          <w:tcPr>
            <w:tcW w:w="695" w:type="dxa"/>
            <w:tcBorders>
              <w:top w:val="nil"/>
              <w:left w:val="nil"/>
              <w:bottom w:val="single" w:color="auto" w:sz="4" w:space="0"/>
              <w:right w:val="single" w:color="auto" w:sz="4" w:space="0"/>
            </w:tcBorders>
            <w:vAlign w:val="center"/>
          </w:tcPr>
          <w:p>
            <w:pPr>
              <w:widowControl/>
              <w:spacing w:line="300" w:lineRule="exact"/>
              <w:jc w:val="left"/>
              <w:rPr>
                <w:rFonts w:ascii="宋体" w:cs="Times New Roman"/>
                <w:kern w:val="0"/>
                <w:sz w:val="24"/>
                <w:szCs w:val="24"/>
              </w:rPr>
            </w:pPr>
            <w:r>
              <w:rPr>
                <w:rFonts w:hint="eastAsia" w:ascii="宋体" w:hAnsi="宋体" w:cs="宋体"/>
                <w:kern w:val="0"/>
                <w:sz w:val="24"/>
                <w:szCs w:val="24"/>
              </w:rPr>
              <w:t>　</w:t>
            </w:r>
            <w:r>
              <w:rPr>
                <w:rFonts w:ascii="宋体" w:hAnsi="宋体" w:cs="宋体"/>
                <w:kern w:val="0"/>
                <w:sz w:val="24"/>
                <w:szCs w:val="24"/>
              </w:rPr>
              <w:t>6</w:t>
            </w:r>
          </w:p>
        </w:tc>
      </w:tr>
      <w:tr>
        <w:tblPrEx>
          <w:tblCellMar>
            <w:top w:w="0" w:type="dxa"/>
            <w:left w:w="108" w:type="dxa"/>
            <w:bottom w:w="0" w:type="dxa"/>
            <w:right w:w="108" w:type="dxa"/>
          </w:tblCellMar>
        </w:tblPrEx>
        <w:trPr>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r>
              <w:rPr>
                <w:rFonts w:hint="eastAsia" w:ascii="宋体" w:hAnsi="宋体" w:cs="宋体"/>
                <w:kern w:val="0"/>
                <w:sz w:val="24"/>
                <w:szCs w:val="24"/>
              </w:rPr>
              <w:t>合计</w:t>
            </w: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cs="Times New Roman"/>
                <w:kern w:val="0"/>
                <w:sz w:val="18"/>
                <w:szCs w:val="18"/>
              </w:rPr>
            </w:pPr>
            <w:r>
              <w:rPr>
                <w:rFonts w:ascii="宋体" w:hAnsi="宋体" w:cs="宋体"/>
                <w:kern w:val="0"/>
                <w:sz w:val="18"/>
                <w:szCs w:val="18"/>
              </w:rPr>
              <w:t>100</w:t>
            </w: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cs="Times New Roman"/>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cs="Times New Roman"/>
                <w:kern w:val="0"/>
                <w:sz w:val="18"/>
                <w:szCs w:val="18"/>
              </w:rPr>
            </w:pPr>
            <w:r>
              <w:rPr>
                <w:rFonts w:ascii="宋体" w:hAnsi="宋体" w:cs="宋体"/>
                <w:kern w:val="0"/>
                <w:sz w:val="18"/>
                <w:szCs w:val="18"/>
              </w:rPr>
              <w:t>100</w:t>
            </w:r>
          </w:p>
        </w:tc>
        <w:tc>
          <w:tcPr>
            <w:tcW w:w="1074"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cs="Times New Roman"/>
                <w:kern w:val="0"/>
                <w:sz w:val="18"/>
                <w:szCs w:val="18"/>
              </w:rPr>
            </w:pPr>
          </w:p>
        </w:tc>
        <w:tc>
          <w:tcPr>
            <w:tcW w:w="516"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cs="Times New Roman"/>
                <w:kern w:val="0"/>
                <w:sz w:val="18"/>
                <w:szCs w:val="18"/>
              </w:rPr>
            </w:pPr>
            <w:r>
              <w:rPr>
                <w:rFonts w:ascii="宋体" w:hAnsi="宋体" w:cs="宋体"/>
                <w:kern w:val="0"/>
                <w:sz w:val="18"/>
                <w:szCs w:val="18"/>
              </w:rPr>
              <w:t>100</w:t>
            </w:r>
          </w:p>
        </w:tc>
        <w:tc>
          <w:tcPr>
            <w:tcW w:w="2878"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p>
        </w:tc>
        <w:tc>
          <w:tcPr>
            <w:tcW w:w="3239"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cs="Times New Roman"/>
                <w:kern w:val="0"/>
                <w:sz w:val="24"/>
                <w:szCs w:val="24"/>
              </w:rPr>
            </w:pPr>
          </w:p>
        </w:tc>
        <w:tc>
          <w:tcPr>
            <w:tcW w:w="695" w:type="dxa"/>
            <w:tcBorders>
              <w:top w:val="single" w:color="auto" w:sz="4" w:space="0"/>
              <w:left w:val="nil"/>
              <w:bottom w:val="single" w:color="auto" w:sz="4" w:space="0"/>
              <w:right w:val="single" w:color="auto" w:sz="4" w:space="0"/>
            </w:tcBorders>
            <w:vAlign w:val="center"/>
          </w:tcPr>
          <w:p>
            <w:pPr>
              <w:widowControl/>
              <w:spacing w:line="300" w:lineRule="exact"/>
              <w:jc w:val="left"/>
              <w:rPr>
                <w:rFonts w:hint="default" w:ascii="宋体" w:eastAsia="宋体" w:cs="Times New Roman"/>
                <w:kern w:val="0"/>
                <w:lang w:val="en-US" w:eastAsia="zh-CN"/>
              </w:rPr>
            </w:pPr>
            <w:r>
              <w:rPr>
                <w:rFonts w:hint="eastAsia" w:ascii="宋体" w:hAnsi="宋体" w:cs="宋体"/>
                <w:kern w:val="0"/>
                <w:lang w:val="en-US" w:eastAsia="zh-CN"/>
              </w:rPr>
              <w:t>97</w:t>
            </w:r>
            <w:bookmarkStart w:id="0" w:name="_GoBack"/>
            <w:bookmarkEnd w:id="0"/>
          </w:p>
        </w:tc>
      </w:tr>
    </w:tbl>
    <w:p>
      <w:pPr>
        <w:spacing w:line="560" w:lineRule="exact"/>
        <w:jc w:val="center"/>
        <w:rPr>
          <w:rFonts w:ascii="宋体" w:cs="Times New Roman"/>
          <w:b/>
          <w:bCs/>
          <w:kern w:val="0"/>
          <w:sz w:val="30"/>
          <w:szCs w:val="30"/>
        </w:rPr>
      </w:pPr>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733AB"/>
    <w:multiLevelType w:val="singleLevel"/>
    <w:tmpl w:val="98E733AB"/>
    <w:lvl w:ilvl="0" w:tentative="0">
      <w:start w:val="1"/>
      <w:numFmt w:val="chineseCounting"/>
      <w:suff w:val="nothing"/>
      <w:lvlText w:val="%1、"/>
      <w:lvlJc w:val="left"/>
      <w:rPr>
        <w:rFonts w:hint="eastAsia"/>
      </w:rPr>
    </w:lvl>
  </w:abstractNum>
  <w:abstractNum w:abstractNumId="1">
    <w:nsid w:val="2AF1A869"/>
    <w:multiLevelType w:val="singleLevel"/>
    <w:tmpl w:val="2AF1A869"/>
    <w:lvl w:ilvl="0" w:tentative="0">
      <w:start w:val="6"/>
      <w:numFmt w:val="chineseCounting"/>
      <w:suff w:val="nothing"/>
      <w:lvlText w:val="%1、"/>
      <w:lvlJc w:val="left"/>
      <w:pPr>
        <w:ind w:left="80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751601"/>
    <w:rsid w:val="7FD82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2021-08-20T03:24:00Z</dcterms:created>
  <dc:creator>Administrator.BF-20181010WXXB</dc:creator>
  <cp:lastModifiedBy>安静</cp:lastModifiedBy>
  <dcterms:modified xsi:type="dcterms:W3CDTF">2021-08-26T08:40:25Z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