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附件：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</w:p>
    <w:p>
      <w:pPr>
        <w:pStyle w:val="3"/>
        <w:adjustRightInd w:val="0"/>
        <w:snapToGrid w:val="0"/>
        <w:spacing w:before="0" w:after="0" w:line="600" w:lineRule="exact"/>
        <w:rPr>
          <w:rFonts w:ascii="Times New Roman" w:hAnsi="Times New Roman" w:eastAsia="仿宋_GB2312"/>
        </w:rPr>
      </w:pPr>
    </w:p>
    <w:p>
      <w:pPr>
        <w:pStyle w:val="3"/>
        <w:adjustRightInd w:val="0"/>
        <w:snapToGrid w:val="0"/>
        <w:spacing w:before="0" w:after="0" w:line="600" w:lineRule="exact"/>
        <w:ind w:firstLine="1325" w:firstLineChars="300"/>
        <w:jc w:val="both"/>
        <w:rPr>
          <w:rFonts w:hint="eastAsia" w:ascii="Times New Roman" w:hAnsi="Times New Roman" w:eastAsiaTheme="minorEastAsia"/>
          <w:sz w:val="44"/>
          <w:szCs w:val="44"/>
          <w:lang w:val="en-US" w:eastAsia="zh-CN"/>
        </w:rPr>
      </w:pPr>
      <w:r>
        <w:rPr>
          <w:rFonts w:ascii="Times New Roman" w:hAnsi="Times New Roman" w:eastAsiaTheme="minorEastAsia"/>
          <w:sz w:val="44"/>
          <w:szCs w:val="44"/>
        </w:rPr>
        <w:t>20</w:t>
      </w:r>
      <w:r>
        <w:rPr>
          <w:rFonts w:hint="eastAsia" w:ascii="Times New Roman" w:hAnsi="Times New Roman" w:eastAsiaTheme="minorEastAsia"/>
          <w:sz w:val="44"/>
          <w:szCs w:val="44"/>
        </w:rPr>
        <w:t>20</w:t>
      </w:r>
      <w:r>
        <w:rPr>
          <w:rFonts w:ascii="Times New Roman" w:hAnsi="Times New Roman" w:eastAsiaTheme="minorEastAsia"/>
          <w:sz w:val="44"/>
          <w:szCs w:val="44"/>
        </w:rPr>
        <w:t>年度</w:t>
      </w:r>
      <w:r>
        <w:rPr>
          <w:rFonts w:hint="eastAsia" w:ascii="Times New Roman" w:hAnsi="Times New Roman" w:eastAsiaTheme="minorEastAsia"/>
          <w:sz w:val="44"/>
          <w:szCs w:val="44"/>
          <w:lang w:eastAsia="zh-CN"/>
        </w:rPr>
        <w:t>澧县招商促进事务中心</w:t>
      </w:r>
      <w:r>
        <w:rPr>
          <w:rFonts w:hint="eastAsia" w:ascii="Times New Roman" w:hAnsi="Times New Roman" w:eastAsiaTheme="minorEastAsia"/>
          <w:sz w:val="44"/>
          <w:szCs w:val="44"/>
          <w:lang w:val="en-US" w:eastAsia="zh-CN"/>
        </w:rPr>
        <w:t xml:space="preserve"> </w:t>
      </w:r>
    </w:p>
    <w:p>
      <w:pPr>
        <w:pStyle w:val="3"/>
        <w:adjustRightInd w:val="0"/>
        <w:snapToGrid w:val="0"/>
        <w:spacing w:before="0" w:after="0" w:line="600" w:lineRule="exact"/>
        <w:ind w:firstLine="2650" w:firstLineChars="600"/>
        <w:jc w:val="both"/>
        <w:rPr>
          <w:rFonts w:ascii="Times New Roman" w:hAnsi="Times New Roman" w:eastAsiaTheme="minorEastAsia"/>
          <w:sz w:val="44"/>
          <w:szCs w:val="44"/>
        </w:rPr>
      </w:pPr>
      <w:r>
        <w:rPr>
          <w:rFonts w:ascii="Times New Roman" w:hAnsi="Times New Roman" w:eastAsiaTheme="minorEastAsia"/>
          <w:sz w:val="44"/>
          <w:szCs w:val="44"/>
        </w:rPr>
        <w:t>专项资金绩效报告</w:t>
      </w:r>
    </w:p>
    <w:p>
      <w:pPr>
        <w:pStyle w:val="3"/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楷体_GB2312"/>
          <w:b w:val="0"/>
        </w:rPr>
      </w:pPr>
    </w:p>
    <w:p>
      <w:pPr>
        <w:spacing w:line="60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澧县招商促进事务中心为县政府直属的正科级公益一类事业单位，负责招商引资、投资促进等公益服务职责，为一级部门预算单位。中心内设机构4个，分别为综合办公室、财务室、招商一室、招商二室。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eastAsia="仿宋_GB2312"/>
          <w:sz w:val="32"/>
          <w:szCs w:val="32"/>
        </w:rPr>
        <w:t>项目基本情况简介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319" w:leftChars="152" w:firstLine="640" w:firstLineChars="2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根据本单位的工作职能和职责，本单位项目资金主要是招商引资，具体内容如下：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960" w:firstLineChars="3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承担全县的招商引资工作。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960" w:firstLineChars="3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承担吸引外来投资促进的具体实施工作，开展相关投资促进活动。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960" w:firstLineChars="3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向外来投资企业提供投资咨询和信息服务，负责外来投资企业投诉服务等日常活动。</w:t>
      </w:r>
    </w:p>
    <w:p>
      <w:pPr>
        <w:widowControl/>
        <w:shd w:val="clear" w:color="auto" w:fill="FFFFFF"/>
        <w:spacing w:line="360" w:lineRule="auto"/>
        <w:ind w:firstLine="848" w:firstLineChars="265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4、组织并参与招商引资的各类活动，包装发布项目、组建项目库等工作。</w:t>
      </w:r>
    </w:p>
    <w:p>
      <w:pPr>
        <w:spacing w:line="600" w:lineRule="exact"/>
        <w:ind w:firstLine="320" w:firstLineChars="1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>
      <w:pPr>
        <w:ind w:left="481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加快澧县县域经济的发展，实现“开放强县、产业立县”的目标。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全年计划完成内联引资总额86亿元以上，利用外资1.2万万美元，引进亿元以上项目20个，5亿元以上项目7个，工业项目15个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(一）、资金来源及额度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2020年非部门预算招商引资专项经费300万元(含项目办30万元)，财政已全部下达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（二）、项目资金实际使用情况</w:t>
      </w:r>
    </w:p>
    <w:p>
      <w:p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根据省财政厅文件规定的使用方向，经报县政府同意，专项资金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(含项目办30万元)</w:t>
      </w:r>
      <w:r>
        <w:rPr>
          <w:rFonts w:hint="eastAsia" w:ascii="仿宋" w:hAnsi="仿宋" w:eastAsia="仿宋" w:cs="宋体"/>
          <w:sz w:val="32"/>
          <w:szCs w:val="32"/>
        </w:rPr>
        <w:t>主要使用于以下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几</w:t>
      </w:r>
      <w:r>
        <w:rPr>
          <w:rFonts w:hint="eastAsia" w:ascii="仿宋" w:hAnsi="仿宋" w:eastAsia="仿宋" w:cs="宋体"/>
          <w:sz w:val="32"/>
          <w:szCs w:val="32"/>
        </w:rPr>
        <w:t>个方面：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招商项目的前期接待、洽淡、会商会审、筛选；项目集中签约、春节等节会招商；对接三类500强；10个驻点招商经费；录制澧县招商专题推介片、印制《招商手册》、《招商项目指南》；领导带招商小分队外出招商、组团参加省市大型招商活动等。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</w:t>
      </w:r>
      <w:r>
        <w:rPr>
          <w:rFonts w:eastAsia="仿宋_GB2312"/>
          <w:sz w:val="32"/>
          <w:szCs w:val="32"/>
        </w:rPr>
        <w:t>项目资金管理情况，主要包括管理制度、办法的制定及执行情况。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kern w:val="10"/>
          <w:sz w:val="32"/>
          <w:szCs w:val="32"/>
        </w:rPr>
      </w:pPr>
      <w:r>
        <w:rPr>
          <w:rFonts w:hint="eastAsia" w:ascii="仿宋" w:hAnsi="仿宋" w:eastAsia="仿宋"/>
          <w:kern w:val="10"/>
          <w:sz w:val="32"/>
          <w:szCs w:val="32"/>
        </w:rPr>
        <w:t>严格按照省财政厅规定的用途，由财政、招商部</w:t>
      </w:r>
      <w:r>
        <w:rPr>
          <w:rFonts w:hint="eastAsia" w:ascii="仿宋" w:hAnsi="仿宋" w:eastAsia="仿宋"/>
          <w:kern w:val="10"/>
          <w:sz w:val="32"/>
          <w:szCs w:val="32"/>
          <w:lang w:eastAsia="zh-CN"/>
        </w:rPr>
        <w:t>门</w:t>
      </w:r>
      <w:r>
        <w:rPr>
          <w:rFonts w:hint="eastAsia" w:ascii="仿宋" w:hAnsi="仿宋" w:eastAsia="仿宋"/>
          <w:kern w:val="10"/>
          <w:sz w:val="32"/>
          <w:szCs w:val="32"/>
        </w:rPr>
        <w:t>拿出初稿，报经常务副县长签字批准，再由财政部门直接拨付到相关单位或企业，没有出现截留、挪用等违规情况。同时，县招商促进事务中心在招商引资活动中，严格按照相关规定和纪律要求，严格落实预算开支，按照规定使用方向确保资金专款专用，保证了专项资金的使用效益。县财政局对该项资金的使用范围、列支用途进行了全程监督并进行了绩效评价，我县没有出现弄虚作假、截留、挪用、挤占专项资金的行为，最大程度地发挥了专项资金的使用效益、经济效益、社会效益。</w:t>
      </w:r>
    </w:p>
    <w:p>
      <w:pPr>
        <w:ind w:firstLine="803" w:firstLineChars="2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四、项目组织实施情况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2020年，我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们</w:t>
      </w:r>
      <w:r>
        <w:rPr>
          <w:rFonts w:hint="eastAsia" w:ascii="仿宋" w:hAnsi="仿宋" w:eastAsia="仿宋" w:cs="仿宋_GB2312"/>
          <w:sz w:val="32"/>
          <w:szCs w:val="32"/>
        </w:rPr>
        <w:t>始终坚持以市委“开放强市产业立市”战略为总揽，在县委、县政府的正确领导下，以“厚待投资者，成就企业家”为宗旨，大力弘扬“开放、大气、务实、担当”的澧州精神，着力实施“扬长补短”战略，强力推进招商引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组织实施工作：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夯实招商基础。建立了一个重点项目、一名县级领导、一家后盾单位、</w:t>
      </w:r>
      <w:r>
        <w:rPr>
          <w:rFonts w:hint="eastAsia" w:ascii="仿宋_GB2312" w:hAnsi="Times New Roman" w:eastAsia="仿宋_GB2312"/>
          <w:sz w:val="32"/>
          <w:szCs w:val="32"/>
        </w:rPr>
        <w:t>一套实施方案、一抓到底的“五个一”工作机制；将招商引资工作纳入全县的“三个一”工程来抓，即将招商引资工作定义为“一号工程”，由一把手一抓到底；县级领导定期召开招商引资工作调度会促工作进度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二是强化宣传推广介。疫情期间，变“面对面”招商为“屏对屏”招商，先后</w:t>
      </w:r>
      <w:r>
        <w:rPr>
          <w:rFonts w:hint="eastAsia" w:ascii="仿宋_GB2312" w:hAnsi="Times New Roman" w:eastAsia="仿宋_GB2312"/>
          <w:sz w:val="32"/>
          <w:szCs w:val="32"/>
        </w:rPr>
        <w:t>通过视频对接客商30余个、签约项目3个。新录制招商宣传片1部，编印发放《投资指南》《招商项目手册》30000余本，其它资料5000多份。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三是创新招商方式。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积极创建了“三个层级、招商统筹”的全员招商模式，第一层级由县主要领导牵头任组长，成立了开放型经济暨招商引资工作领导小组，通过高位推动，按照产业布局规划谋划项目。第二层级由主管战线的县级领导牵头，部门、镇街主要负责人任队长，组成57个招商引资小分队，聚焦招商引资，全力谋划项目。</w:t>
      </w:r>
    </w:p>
    <w:p>
      <w:pPr>
        <w:spacing w:line="360" w:lineRule="auto"/>
        <w:ind w:firstLine="640" w:firstLineChars="200"/>
        <w:rPr>
          <w:rFonts w:hint="eastAsia" w:ascii="仿宋" w:hAnsi="仿宋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四是推进优质服务。</w:t>
      </w:r>
      <w:r>
        <w:rPr>
          <w:rFonts w:hint="eastAsia" w:ascii="仿宋_GB2312" w:hAnsi="Times New Roman" w:eastAsia="仿宋_GB2312"/>
          <w:sz w:val="32"/>
          <w:szCs w:val="32"/>
        </w:rPr>
        <w:t>为了将招引的企业“招得来、留得住”，我们着力践行优化营商环境，做到“办事不求人”。坚持把服务作为第一投资环境，一切工作都服从服务于招商引资，立足服务为第一要事，实行“一站式”办公、“一条龙”服务。</w:t>
      </w:r>
    </w:p>
    <w:p>
      <w:pPr>
        <w:spacing w:line="600" w:lineRule="exact"/>
        <w:ind w:firstLine="320" w:firstLineChars="1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2020年，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由于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新冠肺炎疫情给工作带来了前所未有的挑战，但在县委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政府的坚强领导下，攻坚克难、开拓思路，招商引资工作取得了较好成绩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全年新引进亿元以上项目27个，超额完成目标任务数6个。其中500强投资项目3个，10亿元以上项目4个。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分别是膜科技相关产品研发生产项目、年产300万件品牌服装项目、年产900万件品牌服装项目、澧阳平原考古工作站项目、</w:t>
      </w: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年产1000万套摩托车零配件加工项目、年产1200万件品牌服装项目、澧州国际汽车城项目、深圳逸奇利智能电子项目、</w:t>
      </w:r>
    </w:p>
    <w:p>
      <w:pPr>
        <w:pStyle w:val="2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沅江兴旺棉麻针织服饰生产项目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澧县砾石加工项目、绿色环保智能包装建设项目、汽车机电设备及零部件生产项目、食品集装袋生产项目、澧县餐厨垃圾处理及废物资源利用项目、石菖蒲药材共建种植基地、年产6亿只医用橡胶活塞项目、高文工业产业园建设项目、超声雾化智能设备项目、年产10亿只注射针针尖项目、深圳盛祥光电显示屏项目、年产100万头生猪养殖及屠宰加工产业链项目、自动化针织服饰生产项目、宁波双鸟绣花线生产及新材料研发项目、金荣澧县科创产业园项目、中科利亨智慧停车设备制造项目、澧县大宗商品铁路物流项目、澧县教育信息化项目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全县共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引进内外资总额113亿元，完成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年度目标任务的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107.34%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16.28%。其中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全口径外资1.5375亿美元，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完成年度目标任务的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111.58%，同比增长22.85%，直接利用外资30万美元，引进内资102.75亿元，完成年度目标任务的106.92%，同比增长15.37%。</w:t>
      </w:r>
    </w:p>
    <w:p>
      <w:pPr>
        <w:spacing w:line="600" w:lineRule="exact"/>
        <w:ind w:firstLine="320" w:firstLineChars="1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kern w:val="10"/>
          <w:sz w:val="32"/>
          <w:szCs w:val="32"/>
        </w:rPr>
      </w:pPr>
      <w:r>
        <w:rPr>
          <w:rFonts w:hint="eastAsia" w:ascii="仿宋" w:hAnsi="仿宋" w:eastAsia="仿宋"/>
          <w:kern w:val="10"/>
          <w:sz w:val="32"/>
          <w:szCs w:val="32"/>
        </w:rPr>
        <w:t>20</w:t>
      </w: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10"/>
          <w:sz w:val="32"/>
          <w:szCs w:val="32"/>
        </w:rPr>
        <w:t>年度招商引资项目专项资金，达到了绩效要求目标，确保了县城经济发展的趋势。项目管理规范，资金管理安全，资金拨付到位，社会效益比较显著，群众满意率较高。经综合评分，20</w:t>
      </w: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10"/>
          <w:sz w:val="32"/>
          <w:szCs w:val="32"/>
        </w:rPr>
        <w:t>年度招商引资项目专项资金综合绩效评分96分，评价结果为优秀。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>
      <w:pPr>
        <w:spacing w:line="600" w:lineRule="exact"/>
        <w:ind w:firstLine="63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（一）后续工作计划</w:t>
      </w:r>
      <w:r>
        <w:rPr>
          <w:rFonts w:hint="eastAsia" w:eastAsia="仿宋_GB2312"/>
          <w:sz w:val="32"/>
          <w:szCs w:val="32"/>
          <w:lang w:eastAsia="zh-CN"/>
        </w:rPr>
        <w:t>及主要做法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2021年，我们将以习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近平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总书记在湖南的讲话精神、党的十九届五中全会精神及省、市、县文件精神为指引，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</w:t>
      </w:r>
      <w:r>
        <w:rPr>
          <w:rFonts w:hint="eastAsia" w:ascii="仿宋_GB2312" w:hAnsi="仿宋" w:eastAsia="仿宋_GB2312" w:cs="仿宋"/>
          <w:sz w:val="32"/>
          <w:szCs w:val="32"/>
        </w:rPr>
        <w:t>大力实施“扬长补短”战略，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加大全员招商引资的力度，</w:t>
      </w:r>
      <w:r>
        <w:rPr>
          <w:rFonts w:hint="eastAsia" w:ascii="仿宋" w:hAnsi="仿宋" w:eastAsia="仿宋" w:cs="仿宋"/>
          <w:sz w:val="32"/>
          <w:szCs w:val="32"/>
        </w:rPr>
        <w:t>强化招商引资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责任单位</w:t>
      </w:r>
      <w:r>
        <w:rPr>
          <w:rFonts w:hint="eastAsia" w:ascii="仿宋" w:hAnsi="仿宋" w:eastAsia="仿宋" w:cs="仿宋"/>
          <w:sz w:val="32"/>
          <w:szCs w:val="32"/>
        </w:rPr>
        <w:t>“一把手”责任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加快构建新发展格局，深入实施高质量发展。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一是全力精准招商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紧盯重点方向、重点产业、重点行业，全力推动招商引资重心由单个项目招引向全产业链拓展转变、由劳动密集型向技术密集型转变，由广泛招商向精准招商转变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二是全力用活资源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依托政策资源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依托自然资源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依托人脉资源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三是全力强化服务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形成“引进一家、建好一个、带来一批”的联动效应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四是全力实现两个转变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Cs/>
          <w:sz w:val="32"/>
          <w:szCs w:val="32"/>
        </w:rPr>
        <w:t>从引单一项目向重点聚焦全产业链项目转变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从引老板引资金向引智库引智囊转变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五是全力提升专业水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平，</w:t>
      </w:r>
      <w:r>
        <w:rPr>
          <w:rFonts w:hint="eastAsia" w:ascii="仿宋_GB2312" w:hAnsi="Times New Roman" w:eastAsia="仿宋_GB2312"/>
          <w:sz w:val="32"/>
          <w:szCs w:val="32"/>
        </w:rPr>
        <w:t>鼓励本单位招商人员积极开展自学，邀请省、市专家现场授课，组织到周边县市学习，达到能招商、会招商、专业化招商的效果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08562"/>
    <w:multiLevelType w:val="singleLevel"/>
    <w:tmpl w:val="852085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DE2"/>
    <w:rsid w:val="00061D78"/>
    <w:rsid w:val="001073B3"/>
    <w:rsid w:val="00164A35"/>
    <w:rsid w:val="001D5F82"/>
    <w:rsid w:val="001E725D"/>
    <w:rsid w:val="00240C57"/>
    <w:rsid w:val="00242F11"/>
    <w:rsid w:val="0026042E"/>
    <w:rsid w:val="002A4890"/>
    <w:rsid w:val="002D25E0"/>
    <w:rsid w:val="00375DC5"/>
    <w:rsid w:val="00385044"/>
    <w:rsid w:val="003F3FCC"/>
    <w:rsid w:val="004348F1"/>
    <w:rsid w:val="00517D78"/>
    <w:rsid w:val="00541B5C"/>
    <w:rsid w:val="00561701"/>
    <w:rsid w:val="00570A97"/>
    <w:rsid w:val="005931A7"/>
    <w:rsid w:val="005A085E"/>
    <w:rsid w:val="005A1105"/>
    <w:rsid w:val="005A42DD"/>
    <w:rsid w:val="0065442E"/>
    <w:rsid w:val="006F293C"/>
    <w:rsid w:val="00727977"/>
    <w:rsid w:val="00746AE9"/>
    <w:rsid w:val="00806D75"/>
    <w:rsid w:val="00814AFE"/>
    <w:rsid w:val="008367F5"/>
    <w:rsid w:val="0094322D"/>
    <w:rsid w:val="00953094"/>
    <w:rsid w:val="009C2DBB"/>
    <w:rsid w:val="00A300D1"/>
    <w:rsid w:val="00A32113"/>
    <w:rsid w:val="00A50D4E"/>
    <w:rsid w:val="00A62B79"/>
    <w:rsid w:val="00B66D8E"/>
    <w:rsid w:val="00B741B6"/>
    <w:rsid w:val="00B8007C"/>
    <w:rsid w:val="00C60501"/>
    <w:rsid w:val="00C913B0"/>
    <w:rsid w:val="00CF24E0"/>
    <w:rsid w:val="00D36058"/>
    <w:rsid w:val="00D82DA2"/>
    <w:rsid w:val="00E40501"/>
    <w:rsid w:val="00E64DE2"/>
    <w:rsid w:val="00EC53F0"/>
    <w:rsid w:val="00F728A2"/>
    <w:rsid w:val="00FC32B9"/>
    <w:rsid w:val="00FF5750"/>
    <w:rsid w:val="1A163B83"/>
    <w:rsid w:val="2A970583"/>
    <w:rsid w:val="4CB600C4"/>
    <w:rsid w:val="57B76063"/>
    <w:rsid w:val="5FC71F86"/>
    <w:rsid w:val="7CF402D7"/>
    <w:rsid w:val="7F6D25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  <w:style w:type="paragraph" w:styleId="4">
    <w:name w:val="Document Map"/>
    <w:basedOn w:val="1"/>
    <w:link w:val="12"/>
    <w:semiHidden/>
    <w:qFormat/>
    <w:uiPriority w:val="99"/>
    <w:pPr>
      <w:shd w:val="clear" w:color="auto" w:fill="00008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3"/>
    <w:qFormat/>
    <w:locked/>
    <w:uiPriority w:val="99"/>
    <w:rPr>
      <w:rFonts w:ascii="Cambria" w:hAnsi="Cambria" w:eastAsia="宋体" w:cs="Times New Roman"/>
      <w:b/>
      <w:bCs/>
    </w:rPr>
  </w:style>
  <w:style w:type="character" w:customStyle="1" w:styleId="10">
    <w:name w:val="页眉 Char"/>
    <w:basedOn w:val="7"/>
    <w:link w:val="6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文档结构图 Char"/>
    <w:basedOn w:val="7"/>
    <w:link w:val="4"/>
    <w:semiHidden/>
    <w:qFormat/>
    <w:locked/>
    <w:uiPriority w:val="99"/>
    <w:rPr>
      <w:rFonts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2016-12-13T07:56:00Z</dcterms:created>
  <dc:creator>Lenovo</dc:creator>
  <cp:lastModifiedBy>syy</cp:lastModifiedBy>
  <cp:lastPrinted>2021-07-16T01:27:00Z</cp:lastPrinted>
  <dcterms:modified xsi:type="dcterms:W3CDTF">2021-10-27T01:04:29Z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65ED7B798983441E8B43EAA94494F8E6</vt:lpwstr>
  </property>
</Properties>
</file>