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left"/>
        <w:rPr>
          <w:rFonts w:ascii="宋体" w:cs="Times New Roman"/>
          <w:color w:val="000000"/>
          <w:kern w:val="0"/>
          <w:sz w:val="32"/>
          <w:szCs w:val="32"/>
        </w:rPr>
      </w:pPr>
      <w:r>
        <w:rPr>
          <w:rFonts w:hint="eastAsia" w:ascii="宋体" w:cs="Times New Roman"/>
          <w:color w:val="000000"/>
          <w:kern w:val="0"/>
          <w:sz w:val="32"/>
          <w:szCs w:val="32"/>
        </w:rPr>
        <w:t>附件2：</w:t>
      </w:r>
    </w:p>
    <w:p>
      <w:pPr>
        <w:ind w:firstLine="531" w:firstLineChars="147"/>
        <w:jc w:val="left"/>
        <w:rPr>
          <w:rFonts w:ascii="宋体" w:cs="Times New Roman"/>
          <w:b/>
          <w:color w:val="000000"/>
          <w:kern w:val="0"/>
          <w:sz w:val="36"/>
          <w:szCs w:val="36"/>
        </w:rPr>
      </w:pPr>
    </w:p>
    <w:p>
      <w:pPr>
        <w:ind w:firstLine="531" w:firstLineChars="147"/>
        <w:jc w:val="left"/>
        <w:rPr>
          <w:rFonts w:ascii="宋体" w:cs="Times New Roman"/>
          <w:b/>
          <w:color w:val="000000"/>
          <w:kern w:val="0"/>
          <w:sz w:val="36"/>
          <w:szCs w:val="36"/>
        </w:rPr>
      </w:pPr>
      <w:r>
        <w:rPr>
          <w:rFonts w:hint="eastAsia" w:ascii="宋体" w:cs="Times New Roman"/>
          <w:b/>
          <w:color w:val="000000"/>
          <w:kern w:val="0"/>
          <w:sz w:val="36"/>
          <w:szCs w:val="36"/>
        </w:rPr>
        <w:t>澧县青龙窖电排站2020年度整体绩效评价报告</w:t>
      </w:r>
    </w:p>
    <w:p>
      <w:pPr>
        <w:widowControl/>
        <w:rPr>
          <w:rFonts w:ascii="宋体" w:cs="Times New Roman"/>
          <w:color w:val="000000"/>
          <w:kern w:val="0"/>
          <w:sz w:val="32"/>
          <w:szCs w:val="32"/>
        </w:rPr>
      </w:pPr>
    </w:p>
    <w:p>
      <w:pPr>
        <w:widowControl/>
        <w:rPr>
          <w:rFonts w:ascii="黑体" w:hAnsi="黑体" w:eastAsia="黑体" w:cs="黑体"/>
          <w:color w:val="222222"/>
          <w:kern w:val="0"/>
          <w:sz w:val="32"/>
          <w:szCs w:val="32"/>
        </w:rPr>
      </w:pPr>
      <w:r>
        <w:rPr>
          <w:rFonts w:hint="eastAsia" w:ascii="黑体" w:hAnsi="黑体" w:eastAsia="黑体" w:cs="黑体"/>
          <w:color w:val="222222"/>
          <w:kern w:val="0"/>
          <w:sz w:val="32"/>
          <w:szCs w:val="32"/>
        </w:rPr>
        <w:t>一、部门概况</w:t>
      </w:r>
    </w:p>
    <w:p>
      <w:pPr>
        <w:widowControl/>
        <w:ind w:firstLine="640" w:firstLineChars="200"/>
        <w:rPr>
          <w:rFonts w:ascii="宋体" w:hAnsi="宋体"/>
          <w:color w:val="222222"/>
          <w:kern w:val="0"/>
          <w:sz w:val="32"/>
          <w:szCs w:val="32"/>
        </w:rPr>
      </w:pPr>
      <w:r>
        <w:rPr>
          <w:rFonts w:ascii="宋体" w:hAnsi="宋体"/>
          <w:color w:val="222222"/>
          <w:kern w:val="0"/>
          <w:sz w:val="32"/>
          <w:szCs w:val="32"/>
        </w:rPr>
        <w:t>（一） 机构、人员构成</w:t>
      </w:r>
    </w:p>
    <w:p>
      <w:pPr>
        <w:widowControl/>
        <w:spacing w:line="600" w:lineRule="exact"/>
        <w:ind w:firstLine="640" w:firstLineChars="200"/>
        <w:rPr>
          <w:rFonts w:ascii="宋体" w:cs="宋体"/>
          <w:kern w:val="0"/>
          <w:sz w:val="32"/>
          <w:szCs w:val="32"/>
        </w:rPr>
      </w:pPr>
      <w:r>
        <w:rPr>
          <w:rFonts w:hint="eastAsia" w:ascii="宋体" w:hAnsi="宋体" w:cs="宋体"/>
          <w:kern w:val="0"/>
          <w:sz w:val="32"/>
          <w:szCs w:val="32"/>
        </w:rPr>
        <w:t>澧县</w:t>
      </w:r>
      <w:r>
        <w:rPr>
          <w:rFonts w:hint="eastAsia" w:ascii="宋体" w:cs="宋体"/>
          <w:color w:val="000000" w:themeColor="text1"/>
          <w:kern w:val="0"/>
          <w:sz w:val="32"/>
          <w:szCs w:val="32"/>
        </w:rPr>
        <w:t>青龙窖电排管理站</w:t>
      </w:r>
      <w:r>
        <w:rPr>
          <w:rFonts w:hint="eastAsia" w:ascii="宋体" w:hAnsi="宋体" w:cs="宋体"/>
          <w:kern w:val="0"/>
          <w:sz w:val="32"/>
          <w:szCs w:val="32"/>
        </w:rPr>
        <w:t>内设机构包括：</w:t>
      </w:r>
      <w:r>
        <w:rPr>
          <w:rFonts w:hint="eastAsia" w:ascii="宋体" w:cs="宋体"/>
          <w:kern w:val="0"/>
          <w:sz w:val="32"/>
          <w:szCs w:val="32"/>
        </w:rPr>
        <w:t>办公室、政工室、财务室。</w:t>
      </w:r>
      <w:r>
        <w:rPr>
          <w:rFonts w:hint="eastAsia" w:ascii="宋体" w:hAnsi="宋体" w:cs="宋体"/>
          <w:kern w:val="0"/>
          <w:sz w:val="32"/>
          <w:szCs w:val="32"/>
        </w:rPr>
        <w:t>在职在编人员9人。</w:t>
      </w:r>
    </w:p>
    <w:p>
      <w:pPr>
        <w:spacing w:line="600" w:lineRule="exact"/>
        <w:ind w:right="-512" w:rightChars="-244" w:firstLine="640" w:firstLineChars="200"/>
        <w:rPr>
          <w:rFonts w:ascii="宋体" w:hAnsi="宋体"/>
          <w:color w:val="222222"/>
          <w:kern w:val="0"/>
          <w:sz w:val="32"/>
          <w:szCs w:val="32"/>
        </w:rPr>
      </w:pPr>
      <w:r>
        <w:rPr>
          <w:rFonts w:ascii="宋体" w:hAnsi="宋体"/>
          <w:color w:val="222222"/>
          <w:kern w:val="0"/>
          <w:sz w:val="32"/>
          <w:szCs w:val="32"/>
        </w:rPr>
        <w:t>（二） 单位主要职责</w:t>
      </w:r>
    </w:p>
    <w:p>
      <w:pPr>
        <w:pStyle w:val="9"/>
        <w:spacing w:line="540" w:lineRule="exact"/>
        <w:ind w:left="720"/>
        <w:rPr>
          <w:rFonts w:asciiTheme="minorEastAsia" w:hAnsiTheme="minorEastAsia" w:eastAsiaTheme="minorEastAsia"/>
          <w:szCs w:val="32"/>
        </w:rPr>
      </w:pPr>
      <w:r>
        <w:rPr>
          <w:rFonts w:asciiTheme="minorEastAsia" w:hAnsiTheme="minorEastAsia" w:eastAsiaTheme="minorEastAsia"/>
          <w:szCs w:val="32"/>
        </w:rPr>
        <w:t>负责</w:t>
      </w:r>
      <w:r>
        <w:rPr>
          <w:rFonts w:hint="eastAsia" w:asciiTheme="minorEastAsia" w:hAnsiTheme="minorEastAsia" w:eastAsiaTheme="minorEastAsia"/>
          <w:szCs w:val="32"/>
        </w:rPr>
        <w:t>辖区如东镇的排涝抗灾及抗旱</w:t>
      </w:r>
      <w:r>
        <w:rPr>
          <w:rFonts w:asciiTheme="minorEastAsia" w:hAnsiTheme="minorEastAsia" w:eastAsiaTheme="minorEastAsia"/>
          <w:szCs w:val="32"/>
        </w:rPr>
        <w:t>。</w:t>
      </w:r>
    </w:p>
    <w:p>
      <w:pPr>
        <w:widowControl/>
        <w:rPr>
          <w:rFonts w:ascii="黑体" w:hAnsi="黑体" w:eastAsia="黑体" w:cs="黑体"/>
          <w:color w:val="222222"/>
          <w:kern w:val="0"/>
          <w:sz w:val="32"/>
          <w:szCs w:val="32"/>
        </w:rPr>
      </w:pPr>
      <w:r>
        <w:rPr>
          <w:rFonts w:hint="eastAsia" w:ascii="黑体" w:hAnsi="黑体" w:eastAsia="黑体" w:cs="黑体"/>
          <w:color w:val="222222"/>
          <w:kern w:val="0"/>
          <w:sz w:val="32"/>
          <w:szCs w:val="32"/>
        </w:rPr>
        <w:t>二、部门财务情况</w:t>
      </w:r>
    </w:p>
    <w:p>
      <w:pPr>
        <w:pStyle w:val="8"/>
        <w:ind w:firstLine="640" w:firstLineChars="200"/>
        <w:rPr>
          <w:rFonts w:ascii="宋体" w:hAnsi="宋体" w:eastAsia="宋体"/>
          <w:color w:val="222222"/>
          <w:sz w:val="32"/>
          <w:szCs w:val="32"/>
        </w:rPr>
      </w:pPr>
      <w:r>
        <w:rPr>
          <w:rFonts w:ascii="宋体" w:hAnsi="宋体" w:eastAsia="宋体"/>
          <w:color w:val="222222"/>
          <w:sz w:val="32"/>
          <w:szCs w:val="32"/>
        </w:rPr>
        <w:t>（一）部门整体支出情况</w:t>
      </w:r>
    </w:p>
    <w:p>
      <w:pPr>
        <w:pStyle w:val="8"/>
        <w:ind w:firstLine="640" w:firstLineChars="200"/>
        <w:rPr>
          <w:rFonts w:ascii="宋体" w:hAnsi="宋体" w:eastAsia="宋体" w:cs="Times New Roman"/>
          <w:sz w:val="32"/>
          <w:szCs w:val="32"/>
        </w:rPr>
      </w:pPr>
      <w:r>
        <w:rPr>
          <w:rFonts w:ascii="宋体" w:hAnsi="宋体" w:eastAsia="宋体" w:cs="宋体"/>
          <w:sz w:val="32"/>
          <w:szCs w:val="32"/>
        </w:rPr>
        <w:t>2020</w:t>
      </w:r>
      <w:r>
        <w:rPr>
          <w:rFonts w:hint="eastAsia" w:ascii="宋体" w:hAnsi="宋体" w:eastAsia="宋体" w:cs="宋体"/>
          <w:sz w:val="32"/>
          <w:szCs w:val="32"/>
        </w:rPr>
        <w:t>年度财政拨款支出121.45万元，主要用于以下方面：社会保和就业（类）支出10.36万元，占8.53</w:t>
      </w:r>
      <w:r>
        <w:rPr>
          <w:rFonts w:ascii="宋体" w:hAnsi="宋体" w:eastAsia="宋体" w:cs="宋体"/>
          <w:sz w:val="32"/>
          <w:szCs w:val="32"/>
        </w:rPr>
        <w:t>%</w:t>
      </w:r>
      <w:r>
        <w:rPr>
          <w:rFonts w:hint="eastAsia" w:ascii="宋体" w:hAnsi="宋体" w:eastAsia="宋体" w:cs="宋体"/>
          <w:sz w:val="32"/>
          <w:szCs w:val="32"/>
        </w:rPr>
        <w:t>；卫生健康（类）支出4.07万元，占3.35%；农林水（类）支出92.47万元，占76.14</w:t>
      </w:r>
      <w:r>
        <w:rPr>
          <w:rFonts w:ascii="宋体" w:hAnsi="宋体" w:eastAsia="宋体" w:cs="宋体"/>
          <w:sz w:val="32"/>
          <w:szCs w:val="32"/>
        </w:rPr>
        <w:t>%</w:t>
      </w:r>
      <w:r>
        <w:rPr>
          <w:rFonts w:hint="eastAsia" w:ascii="宋体" w:hAnsi="宋体" w:eastAsia="宋体" w:cs="宋体"/>
          <w:sz w:val="32"/>
          <w:szCs w:val="32"/>
        </w:rPr>
        <w:t>；住房保障（类）支出6.5万元，占5.35%；其他支出8.05万元，占6.63%。</w:t>
      </w:r>
    </w:p>
    <w:p>
      <w:pPr>
        <w:pStyle w:val="8"/>
        <w:outlineLvl w:val="0"/>
        <w:rPr>
          <w:rFonts w:ascii="宋体" w:hAnsi="宋体" w:eastAsia="宋体"/>
          <w:b/>
          <w:bCs/>
          <w:sz w:val="32"/>
          <w:szCs w:val="32"/>
        </w:rPr>
      </w:pPr>
      <w:r>
        <w:rPr>
          <w:rFonts w:ascii="宋体" w:hAnsi="宋体" w:eastAsia="宋体"/>
          <w:color w:val="222222"/>
          <w:sz w:val="32"/>
          <w:szCs w:val="32"/>
        </w:rPr>
        <w:t>（二）部门预算收支决算情况</w:t>
      </w:r>
    </w:p>
    <w:p>
      <w:pPr>
        <w:pStyle w:val="8"/>
        <w:ind w:firstLine="640" w:firstLineChars="200"/>
        <w:rPr>
          <w:rFonts w:ascii="宋体" w:hAnsi="宋体" w:eastAsia="宋体" w:cs="Times New Roman"/>
          <w:sz w:val="32"/>
          <w:szCs w:val="32"/>
        </w:rPr>
      </w:pPr>
      <w:r>
        <w:rPr>
          <w:rFonts w:hint="eastAsia" w:ascii="宋体" w:hAnsi="宋体" w:eastAsia="宋体" w:cs="宋体"/>
          <w:sz w:val="32"/>
          <w:szCs w:val="32"/>
        </w:rPr>
        <w:t>本年收入合计125.88万元，其中：财政拨款收入</w:t>
      </w:r>
      <w:r>
        <w:rPr>
          <w:rFonts w:ascii="宋体" w:hAnsi="宋体" w:eastAsia="宋体" w:cs="宋体"/>
          <w:sz w:val="32"/>
          <w:szCs w:val="32"/>
        </w:rPr>
        <w:t>X</w:t>
      </w:r>
      <w:r>
        <w:rPr>
          <w:rFonts w:hint="eastAsia" w:ascii="宋体" w:hAnsi="宋体" w:eastAsia="宋体" w:cs="宋体"/>
          <w:sz w:val="32"/>
          <w:szCs w:val="32"/>
        </w:rPr>
        <w:t>125.88万元，占100</w:t>
      </w:r>
      <w:r>
        <w:rPr>
          <w:rFonts w:ascii="宋体" w:hAnsi="宋体" w:eastAsia="宋体" w:cs="宋体"/>
          <w:sz w:val="32"/>
          <w:szCs w:val="32"/>
        </w:rPr>
        <w:t>%</w:t>
      </w:r>
      <w:r>
        <w:rPr>
          <w:rFonts w:hint="eastAsia" w:ascii="宋体" w:hAnsi="宋体" w:eastAsia="宋体" w:cs="宋体"/>
          <w:sz w:val="32"/>
          <w:szCs w:val="32"/>
        </w:rPr>
        <w:t>；上级补助收入0万元，占0</w:t>
      </w:r>
      <w:r>
        <w:rPr>
          <w:rFonts w:ascii="宋体" w:hAnsi="宋体" w:eastAsia="宋体" w:cs="宋体"/>
          <w:sz w:val="32"/>
          <w:szCs w:val="32"/>
        </w:rPr>
        <w:t>%</w:t>
      </w:r>
      <w:r>
        <w:rPr>
          <w:rFonts w:hint="eastAsia" w:ascii="宋体" w:hAnsi="宋体" w:eastAsia="宋体" w:cs="宋体"/>
          <w:sz w:val="32"/>
          <w:szCs w:val="32"/>
        </w:rPr>
        <w:t>；事业收入0万元，占0</w:t>
      </w:r>
      <w:r>
        <w:rPr>
          <w:rFonts w:ascii="宋体" w:hAnsi="宋体" w:eastAsia="宋体" w:cs="宋体"/>
          <w:sz w:val="32"/>
          <w:szCs w:val="32"/>
        </w:rPr>
        <w:t>%</w:t>
      </w:r>
      <w:r>
        <w:rPr>
          <w:rFonts w:hint="eastAsia" w:ascii="宋体" w:hAnsi="宋体" w:eastAsia="宋体" w:cs="宋体"/>
          <w:sz w:val="32"/>
          <w:szCs w:val="32"/>
        </w:rPr>
        <w:t>；经营收入0万元，占0</w:t>
      </w:r>
      <w:r>
        <w:rPr>
          <w:rFonts w:ascii="宋体" w:hAnsi="宋体" w:eastAsia="宋体" w:cs="宋体"/>
          <w:sz w:val="32"/>
          <w:szCs w:val="32"/>
        </w:rPr>
        <w:t>%</w:t>
      </w:r>
      <w:r>
        <w:rPr>
          <w:rFonts w:hint="eastAsia" w:ascii="宋体" w:hAnsi="宋体" w:eastAsia="宋体" w:cs="宋体"/>
          <w:sz w:val="32"/>
          <w:szCs w:val="32"/>
        </w:rPr>
        <w:t>；附属单位上缴收入0万元，占0</w:t>
      </w:r>
      <w:r>
        <w:rPr>
          <w:rFonts w:ascii="宋体" w:hAnsi="宋体" w:eastAsia="宋体" w:cs="宋体"/>
          <w:sz w:val="32"/>
          <w:szCs w:val="32"/>
        </w:rPr>
        <w:t>%</w:t>
      </w:r>
      <w:r>
        <w:rPr>
          <w:rFonts w:hint="eastAsia" w:ascii="宋体" w:hAnsi="宋体" w:eastAsia="宋体" w:cs="宋体"/>
          <w:sz w:val="32"/>
          <w:szCs w:val="32"/>
        </w:rPr>
        <w:t>；其他收入0万元，占0</w:t>
      </w:r>
      <w:r>
        <w:rPr>
          <w:rFonts w:ascii="宋体" w:hAnsi="宋体" w:eastAsia="宋体" w:cs="宋体"/>
          <w:sz w:val="32"/>
          <w:szCs w:val="32"/>
        </w:rPr>
        <w:t>%</w:t>
      </w:r>
      <w:r>
        <w:rPr>
          <w:rFonts w:hint="eastAsia" w:ascii="宋体" w:hAnsi="宋体" w:eastAsia="宋体" w:cs="宋体"/>
          <w:sz w:val="32"/>
          <w:szCs w:val="32"/>
        </w:rPr>
        <w:t>。</w:t>
      </w:r>
    </w:p>
    <w:p>
      <w:pPr>
        <w:pStyle w:val="8"/>
        <w:ind w:firstLine="640" w:firstLineChars="200"/>
        <w:rPr>
          <w:rFonts w:ascii="宋体" w:hAnsi="宋体" w:eastAsia="宋体" w:cs="Times New Roman"/>
          <w:sz w:val="32"/>
          <w:szCs w:val="32"/>
        </w:rPr>
      </w:pPr>
      <w:r>
        <w:rPr>
          <w:rFonts w:hint="eastAsia" w:ascii="宋体" w:hAnsi="宋体" w:eastAsia="宋体" w:cs="宋体"/>
          <w:sz w:val="32"/>
          <w:szCs w:val="32"/>
        </w:rPr>
        <w:t>本年支出合计121.45万元，其中：基本支出121.45万元，占100</w:t>
      </w:r>
      <w:r>
        <w:rPr>
          <w:rFonts w:ascii="宋体" w:hAnsi="宋体" w:eastAsia="宋体" w:cs="宋体"/>
          <w:sz w:val="32"/>
          <w:szCs w:val="32"/>
        </w:rPr>
        <w:t>%</w:t>
      </w:r>
      <w:r>
        <w:rPr>
          <w:rFonts w:hint="eastAsia" w:ascii="宋体" w:hAnsi="宋体" w:eastAsia="宋体" w:cs="宋体"/>
          <w:sz w:val="32"/>
          <w:szCs w:val="32"/>
        </w:rPr>
        <w:t>；项目支出0万元，占0</w:t>
      </w:r>
      <w:r>
        <w:rPr>
          <w:rFonts w:ascii="宋体" w:hAnsi="宋体" w:eastAsia="宋体" w:cs="宋体"/>
          <w:sz w:val="32"/>
          <w:szCs w:val="32"/>
        </w:rPr>
        <w:t>%</w:t>
      </w:r>
      <w:r>
        <w:rPr>
          <w:rFonts w:hint="eastAsia" w:ascii="宋体" w:hAnsi="宋体" w:eastAsia="宋体" w:cs="宋体"/>
          <w:sz w:val="32"/>
          <w:szCs w:val="32"/>
        </w:rPr>
        <w:t>；上缴上级支出0万元，占0</w:t>
      </w:r>
      <w:r>
        <w:rPr>
          <w:rFonts w:ascii="宋体" w:hAnsi="宋体" w:eastAsia="宋体" w:cs="宋体"/>
          <w:sz w:val="32"/>
          <w:szCs w:val="32"/>
        </w:rPr>
        <w:t>%</w:t>
      </w:r>
      <w:r>
        <w:rPr>
          <w:rFonts w:hint="eastAsia" w:ascii="宋体" w:hAnsi="宋体" w:eastAsia="宋体" w:cs="宋体"/>
          <w:sz w:val="32"/>
          <w:szCs w:val="32"/>
        </w:rPr>
        <w:t>；经营支出0万元，占0</w:t>
      </w:r>
      <w:r>
        <w:rPr>
          <w:rFonts w:ascii="宋体" w:hAnsi="宋体" w:eastAsia="宋体" w:cs="宋体"/>
          <w:sz w:val="32"/>
          <w:szCs w:val="32"/>
        </w:rPr>
        <w:t>%</w:t>
      </w:r>
      <w:r>
        <w:rPr>
          <w:rFonts w:hint="eastAsia" w:ascii="宋体" w:hAnsi="宋体" w:eastAsia="宋体" w:cs="宋体"/>
          <w:sz w:val="32"/>
          <w:szCs w:val="32"/>
        </w:rPr>
        <w:t>；对附属单位补助支出0万元，占0</w:t>
      </w:r>
      <w:r>
        <w:rPr>
          <w:rFonts w:ascii="宋体" w:hAnsi="宋体" w:eastAsia="宋体" w:cs="宋体"/>
          <w:sz w:val="32"/>
          <w:szCs w:val="32"/>
        </w:rPr>
        <w:t>%</w:t>
      </w:r>
      <w:r>
        <w:rPr>
          <w:rFonts w:hint="eastAsia" w:ascii="宋体" w:hAnsi="宋体" w:eastAsia="宋体" w:cs="宋体"/>
          <w:sz w:val="32"/>
          <w:szCs w:val="32"/>
        </w:rPr>
        <w:t>。</w:t>
      </w:r>
    </w:p>
    <w:p>
      <w:pPr>
        <w:pStyle w:val="8"/>
        <w:rPr>
          <w:rFonts w:ascii="宋体" w:hAnsi="宋体" w:eastAsia="宋体"/>
          <w:color w:val="222222"/>
          <w:sz w:val="32"/>
          <w:szCs w:val="32"/>
        </w:rPr>
      </w:pPr>
      <w:r>
        <w:rPr>
          <w:rFonts w:ascii="宋体" w:hAnsi="宋体" w:eastAsia="宋体"/>
          <w:color w:val="222222"/>
          <w:sz w:val="32"/>
          <w:szCs w:val="32"/>
        </w:rPr>
        <w:t>（三） “三公经费”支出使用和管理情况</w:t>
      </w:r>
    </w:p>
    <w:p>
      <w:pPr>
        <w:pStyle w:val="8"/>
        <w:ind w:firstLine="640" w:firstLineChars="200"/>
        <w:rPr>
          <w:rFonts w:ascii="宋体" w:hAnsi="宋体" w:eastAsia="宋体" w:cs="Times New Roman"/>
          <w:sz w:val="32"/>
          <w:szCs w:val="32"/>
        </w:rPr>
      </w:pPr>
      <w:r>
        <w:rPr>
          <w:rFonts w:ascii="宋体" w:hAnsi="宋体" w:eastAsia="宋体" w:cs="宋体"/>
          <w:sz w:val="32"/>
          <w:szCs w:val="32"/>
        </w:rPr>
        <w:t>2020</w:t>
      </w:r>
      <w:r>
        <w:rPr>
          <w:rFonts w:hint="eastAsia" w:ascii="宋体" w:hAnsi="宋体" w:eastAsia="宋体" w:cs="宋体"/>
          <w:sz w:val="32"/>
          <w:szCs w:val="32"/>
        </w:rPr>
        <w:t>年度“三公”经费财政拨款支出决算中，公务接待费支出决算0.47万元，占100</w:t>
      </w:r>
      <w:r>
        <w:rPr>
          <w:rFonts w:ascii="宋体" w:hAnsi="宋体" w:eastAsia="宋体" w:cs="宋体"/>
          <w:sz w:val="32"/>
          <w:szCs w:val="32"/>
        </w:rPr>
        <w:t>%,</w:t>
      </w:r>
      <w:r>
        <w:rPr>
          <w:rFonts w:hint="eastAsia" w:ascii="宋体" w:hAnsi="宋体" w:eastAsia="宋体" w:cs="宋体"/>
          <w:sz w:val="32"/>
          <w:szCs w:val="32"/>
        </w:rPr>
        <w:t>因公出国（境）费支出决算0万元，占0</w:t>
      </w:r>
      <w:r>
        <w:rPr>
          <w:rFonts w:ascii="宋体" w:hAnsi="宋体" w:eastAsia="宋体" w:cs="宋体"/>
          <w:sz w:val="32"/>
          <w:szCs w:val="32"/>
        </w:rPr>
        <w:t>%,</w:t>
      </w:r>
      <w:r>
        <w:rPr>
          <w:rFonts w:hint="eastAsia" w:ascii="宋体" w:hAnsi="宋体" w:eastAsia="宋体" w:cs="宋体"/>
          <w:sz w:val="32"/>
          <w:szCs w:val="32"/>
        </w:rPr>
        <w:t>公务用车购置费及运行维护费支出决算0万元，占0</w:t>
      </w:r>
      <w:r>
        <w:rPr>
          <w:rFonts w:ascii="宋体" w:hAnsi="宋体" w:eastAsia="宋体" w:cs="宋体"/>
          <w:sz w:val="32"/>
          <w:szCs w:val="32"/>
        </w:rPr>
        <w:t>%</w:t>
      </w:r>
      <w:r>
        <w:rPr>
          <w:rFonts w:hint="eastAsia" w:ascii="宋体" w:hAnsi="宋体" w:eastAsia="宋体" w:cs="宋体"/>
          <w:sz w:val="32"/>
          <w:szCs w:val="32"/>
        </w:rPr>
        <w:t>。其中：</w:t>
      </w:r>
    </w:p>
    <w:p>
      <w:pPr>
        <w:pStyle w:val="8"/>
        <w:ind w:firstLine="640" w:firstLineChars="200"/>
        <w:rPr>
          <w:rFonts w:ascii="宋体" w:hAnsi="宋体" w:eastAsia="宋体" w:cs="Times New Roman"/>
          <w:sz w:val="32"/>
          <w:szCs w:val="32"/>
        </w:rPr>
      </w:pPr>
      <w:r>
        <w:rPr>
          <w:rFonts w:ascii="宋体" w:hAnsi="宋体" w:eastAsia="宋体" w:cs="宋体"/>
          <w:sz w:val="32"/>
          <w:szCs w:val="32"/>
        </w:rPr>
        <w:t>1</w:t>
      </w:r>
      <w:r>
        <w:rPr>
          <w:rFonts w:hint="eastAsia" w:ascii="宋体" w:hAnsi="宋体" w:eastAsia="宋体" w:cs="宋体"/>
          <w:sz w:val="32"/>
          <w:szCs w:val="32"/>
        </w:rPr>
        <w:t>、因公出国（境）费支出决算为0万元，全年安排因公出国（境）团组0个，累计0人次。</w:t>
      </w:r>
    </w:p>
    <w:p>
      <w:pPr>
        <w:pStyle w:val="8"/>
        <w:ind w:firstLine="800" w:firstLineChars="250"/>
        <w:rPr>
          <w:rFonts w:ascii="宋体" w:hAnsi="宋体" w:eastAsia="宋体" w:cs="Times New Roman"/>
          <w:sz w:val="32"/>
          <w:szCs w:val="32"/>
        </w:rPr>
      </w:pPr>
      <w:r>
        <w:rPr>
          <w:rFonts w:ascii="宋体" w:hAnsi="宋体" w:eastAsia="宋体" w:cs="宋体"/>
          <w:sz w:val="32"/>
          <w:szCs w:val="32"/>
        </w:rPr>
        <w:t>2</w:t>
      </w:r>
      <w:r>
        <w:rPr>
          <w:rFonts w:hint="eastAsia" w:ascii="宋体" w:hAnsi="宋体" w:eastAsia="宋体" w:cs="宋体"/>
          <w:sz w:val="32"/>
          <w:szCs w:val="32"/>
        </w:rPr>
        <w:t>、公务接待费支出决算为0.47万元，全年共接待来访团组9个、来宾70人次，主要是防汛抗旱工作检查、调研发生的接待支出。</w:t>
      </w:r>
    </w:p>
    <w:p>
      <w:pPr>
        <w:ind w:firstLine="800" w:firstLineChars="250"/>
        <w:rPr>
          <w:rFonts w:ascii="宋体" w:cs="Times New Roman"/>
          <w:color w:val="000000"/>
          <w:kern w:val="0"/>
          <w:sz w:val="32"/>
          <w:szCs w:val="32"/>
        </w:rPr>
      </w:pPr>
      <w:r>
        <w:rPr>
          <w:rFonts w:ascii="宋体" w:hAnsi="宋体" w:cs="宋体"/>
          <w:sz w:val="32"/>
          <w:szCs w:val="32"/>
        </w:rPr>
        <w:t>3</w:t>
      </w:r>
      <w:r>
        <w:rPr>
          <w:rFonts w:hint="eastAsia" w:ascii="宋体" w:hAnsi="宋体" w:cs="宋体"/>
          <w:sz w:val="32"/>
          <w:szCs w:val="32"/>
        </w:rPr>
        <w:t>、公务用车购置费及运行维护费支出决算为0万元，其中：公务用车购置费0万元，0单位本级更新公务用车0辆</w:t>
      </w:r>
      <w:r>
        <w:rPr>
          <w:rFonts w:hint="eastAsia" w:ascii="宋体" w:hAnsi="宋体" w:cs="宋体"/>
          <w:color w:val="000000"/>
          <w:sz w:val="32"/>
          <w:szCs w:val="32"/>
        </w:rPr>
        <w:t>。</w:t>
      </w:r>
      <w:r>
        <w:rPr>
          <w:rFonts w:hint="eastAsia" w:ascii="宋体" w:hAnsi="宋体" w:cs="宋体"/>
          <w:sz w:val="32"/>
          <w:szCs w:val="32"/>
        </w:rPr>
        <w:t>公务用车运行维护费0万元，截止</w:t>
      </w:r>
      <w:r>
        <w:rPr>
          <w:rFonts w:ascii="宋体" w:hAnsi="宋体" w:cs="宋体"/>
          <w:sz w:val="32"/>
          <w:szCs w:val="32"/>
        </w:rPr>
        <w:t>2020</w:t>
      </w:r>
      <w:r>
        <w:rPr>
          <w:rFonts w:hint="eastAsia" w:ascii="宋体" w:hAnsi="宋体" w:cs="宋体"/>
          <w:sz w:val="32"/>
          <w:szCs w:val="32"/>
        </w:rPr>
        <w:t>年</w:t>
      </w:r>
      <w:r>
        <w:rPr>
          <w:rFonts w:ascii="宋体" w:hAnsi="宋体" w:cs="宋体"/>
          <w:sz w:val="32"/>
          <w:szCs w:val="32"/>
        </w:rPr>
        <w:t>12</w:t>
      </w:r>
      <w:r>
        <w:rPr>
          <w:rFonts w:hint="eastAsia" w:ascii="宋体" w:hAnsi="宋体" w:cs="宋体"/>
          <w:sz w:val="32"/>
          <w:szCs w:val="32"/>
        </w:rPr>
        <w:t>月</w:t>
      </w:r>
      <w:r>
        <w:rPr>
          <w:rFonts w:ascii="宋体" w:hAnsi="宋体" w:cs="宋体"/>
          <w:sz w:val="32"/>
          <w:szCs w:val="32"/>
        </w:rPr>
        <w:t>31</w:t>
      </w:r>
      <w:r>
        <w:rPr>
          <w:rFonts w:hint="eastAsia" w:ascii="宋体" w:hAnsi="宋体" w:cs="宋体"/>
          <w:sz w:val="32"/>
          <w:szCs w:val="32"/>
        </w:rPr>
        <w:t>日，我单位开支财政拨款的公务用车保有量为0辆。</w:t>
      </w:r>
    </w:p>
    <w:p>
      <w:pPr>
        <w:ind w:firstLine="640" w:firstLineChars="200"/>
        <w:jc w:val="left"/>
        <w:rPr>
          <w:rFonts w:ascii="黑体" w:hAnsi="黑体" w:eastAsia="黑体" w:cs="Times New Roman"/>
          <w:color w:val="000000"/>
          <w:kern w:val="0"/>
          <w:sz w:val="32"/>
          <w:szCs w:val="32"/>
        </w:rPr>
      </w:pPr>
      <w:r>
        <w:rPr>
          <w:rFonts w:hint="eastAsia" w:ascii="黑体" w:hAnsi="黑体" w:eastAsia="黑体" w:cs="Times New Roman"/>
          <w:color w:val="000000"/>
          <w:kern w:val="0"/>
          <w:sz w:val="32"/>
          <w:szCs w:val="32"/>
        </w:rPr>
        <w:t>三、部门绩效目标</w:t>
      </w:r>
    </w:p>
    <w:p>
      <w:pPr>
        <w:spacing w:line="560" w:lineRule="exact"/>
        <w:ind w:firstLine="640" w:firstLineChars="200"/>
        <w:rPr>
          <w:rFonts w:ascii="宋体" w:hAnsi="宋体"/>
          <w:color w:val="313131"/>
          <w:sz w:val="32"/>
          <w:szCs w:val="32"/>
        </w:rPr>
      </w:pPr>
      <w:r>
        <w:rPr>
          <w:rFonts w:hint="eastAsia" w:ascii="宋体" w:hAnsi="宋体"/>
          <w:sz w:val="32"/>
          <w:szCs w:val="32"/>
        </w:rPr>
        <w:t>1、保障干部职工生活待遇，保证日常工作正常运转</w:t>
      </w:r>
    </w:p>
    <w:p>
      <w:pPr>
        <w:ind w:firstLine="640" w:firstLineChars="200"/>
        <w:rPr>
          <w:rFonts w:ascii="宋体" w:hAnsi="宋体" w:cs="宋体"/>
          <w:color w:val="000000"/>
          <w:kern w:val="0"/>
          <w:sz w:val="32"/>
          <w:szCs w:val="32"/>
        </w:rPr>
      </w:pPr>
      <w:r>
        <w:rPr>
          <w:rFonts w:hint="eastAsia" w:ascii="宋体" w:hAnsi="宋体"/>
          <w:sz w:val="32"/>
          <w:szCs w:val="32"/>
        </w:rPr>
        <w:t>2、</w:t>
      </w:r>
      <w:r>
        <w:rPr>
          <w:rFonts w:hint="eastAsia"/>
          <w:sz w:val="20"/>
          <w:szCs w:val="20"/>
        </w:rPr>
        <w:t xml:space="preserve"> </w:t>
      </w:r>
      <w:r>
        <w:rPr>
          <w:rFonts w:hint="eastAsia" w:ascii="宋体" w:hAnsi="宋体" w:cs="宋体"/>
          <w:kern w:val="0"/>
          <w:sz w:val="32"/>
          <w:szCs w:val="32"/>
        </w:rPr>
        <w:t>保证维护资金的合理安排，机组维修保养能有效的实行，抗旱排涝能有序的开展。</w:t>
      </w:r>
      <w:r>
        <w:rPr>
          <w:rFonts w:hint="eastAsia" w:ascii="宋体" w:hAnsi="宋体" w:cs="宋体"/>
          <w:color w:val="000000"/>
          <w:kern w:val="0"/>
          <w:sz w:val="32"/>
          <w:szCs w:val="32"/>
        </w:rPr>
        <w:t>确保当地的耕地不受洪涝灾害,保证当地人民的财产安全,增强全县防汛功能，保障全县经济社会安全发展。对周边群众调查满意度达95%。</w:t>
      </w:r>
    </w:p>
    <w:p>
      <w:pPr>
        <w:ind w:firstLine="640" w:firstLineChars="200"/>
        <w:rPr>
          <w:rFonts w:ascii="宋体" w:hAnsi="宋体"/>
          <w:color w:val="313131"/>
          <w:sz w:val="32"/>
          <w:szCs w:val="32"/>
        </w:rPr>
      </w:pPr>
      <w:r>
        <w:rPr>
          <w:rFonts w:hint="eastAsia" w:ascii="宋体" w:hAnsi="宋体"/>
          <w:color w:val="313131"/>
          <w:sz w:val="32"/>
          <w:szCs w:val="32"/>
        </w:rPr>
        <w:t>3、</w:t>
      </w:r>
      <w:r>
        <w:rPr>
          <w:rFonts w:hint="eastAsia" w:ascii="宋体" w:hAnsi="宋体"/>
          <w:sz w:val="32"/>
          <w:szCs w:val="32"/>
        </w:rPr>
        <w:t>以局党组为核心，配合抓好局里各项中心工作，以服务强根本。</w:t>
      </w:r>
    </w:p>
    <w:p>
      <w:pPr>
        <w:ind w:firstLine="640" w:firstLineChars="200"/>
        <w:jc w:val="left"/>
        <w:rPr>
          <w:rFonts w:ascii="黑体" w:hAnsi="黑体" w:eastAsia="黑体" w:cs="Times New Roman"/>
          <w:color w:val="000000"/>
          <w:kern w:val="0"/>
          <w:sz w:val="32"/>
          <w:szCs w:val="32"/>
        </w:rPr>
      </w:pPr>
      <w:r>
        <w:rPr>
          <w:rFonts w:hint="eastAsia" w:ascii="黑体" w:hAnsi="黑体" w:eastAsia="黑体" w:cs="Times New Roman"/>
          <w:color w:val="000000"/>
          <w:kern w:val="0"/>
          <w:sz w:val="32"/>
          <w:szCs w:val="32"/>
        </w:rPr>
        <w:t>四、绩效评价工作情况</w:t>
      </w:r>
    </w:p>
    <w:p>
      <w:pPr>
        <w:ind w:firstLine="640" w:firstLineChars="200"/>
        <w:jc w:val="left"/>
        <w:rPr>
          <w:rFonts w:ascii="宋体" w:cs="Times New Roman"/>
          <w:color w:val="000000"/>
          <w:kern w:val="0"/>
          <w:sz w:val="32"/>
          <w:szCs w:val="32"/>
        </w:rPr>
      </w:pPr>
      <w:r>
        <w:rPr>
          <w:rFonts w:hint="eastAsia" w:ascii="宋体" w:cs="Times New Roman"/>
          <w:color w:val="000000"/>
          <w:kern w:val="0"/>
          <w:sz w:val="32"/>
          <w:szCs w:val="32"/>
        </w:rPr>
        <w:t>1、严格落实《预算法》及主管部门绩效管理的相关制度和规定，进一步规范和落实财政资金的专项管理，强化财政支出绩效理念，提高资金使用效益。</w:t>
      </w:r>
    </w:p>
    <w:p>
      <w:pPr>
        <w:ind w:firstLine="640" w:firstLineChars="200"/>
        <w:jc w:val="left"/>
        <w:rPr>
          <w:rFonts w:ascii="宋体" w:cs="Times New Roman"/>
          <w:color w:val="000000"/>
          <w:kern w:val="0"/>
          <w:sz w:val="32"/>
          <w:szCs w:val="32"/>
        </w:rPr>
      </w:pPr>
      <w:r>
        <w:rPr>
          <w:rFonts w:hint="eastAsia" w:ascii="宋体" w:cs="Times New Roman"/>
          <w:color w:val="000000"/>
          <w:kern w:val="0"/>
          <w:sz w:val="32"/>
          <w:szCs w:val="32"/>
        </w:rPr>
        <w:t>2、根据绩效评价的要求，我所领导高度重视，成立了自评工作领导小组，由单位领导任组长，相关股室为成员，积极开展绩效自评工作，按照绩效管理目标要求对照各实施项目的内容逐条逐项自评。在自评过程中，查找原因，及时纠正偏差，为下一步工作夯实基础。</w:t>
      </w:r>
    </w:p>
    <w:p>
      <w:pPr>
        <w:ind w:firstLine="640" w:firstLineChars="200"/>
        <w:jc w:val="left"/>
        <w:rPr>
          <w:rFonts w:ascii="黑体" w:hAnsi="黑体" w:eastAsia="黑体" w:cs="Times New Roman"/>
          <w:color w:val="000000"/>
          <w:kern w:val="0"/>
          <w:sz w:val="32"/>
          <w:szCs w:val="32"/>
        </w:rPr>
      </w:pPr>
      <w:r>
        <w:rPr>
          <w:rFonts w:hint="eastAsia" w:ascii="黑体" w:hAnsi="黑体" w:eastAsia="黑体" w:cs="Times New Roman"/>
          <w:color w:val="000000"/>
          <w:kern w:val="0"/>
          <w:sz w:val="32"/>
          <w:szCs w:val="32"/>
        </w:rPr>
        <w:t>五、综合评价结果</w:t>
      </w:r>
    </w:p>
    <w:p>
      <w:pPr>
        <w:spacing w:line="540" w:lineRule="exact"/>
        <w:ind w:firstLine="640" w:firstLineChars="200"/>
        <w:rPr>
          <w:rFonts w:ascii="宋体" w:hAnsi="宋体" w:cs="仿宋"/>
          <w:bCs/>
          <w:sz w:val="32"/>
          <w:szCs w:val="32"/>
        </w:rPr>
      </w:pPr>
      <w:r>
        <w:rPr>
          <w:rFonts w:hint="eastAsia" w:ascii="宋体" w:hAnsi="宋体" w:cs="仿宋"/>
          <w:bCs/>
          <w:sz w:val="32"/>
          <w:szCs w:val="32"/>
        </w:rPr>
        <w:t>1、精心组织，科学调度，排涝抗灾取得了决定性胜利</w:t>
      </w:r>
    </w:p>
    <w:p>
      <w:pPr>
        <w:spacing w:line="540" w:lineRule="exact"/>
        <w:ind w:firstLine="640" w:firstLineChars="200"/>
        <w:rPr>
          <w:rFonts w:ascii="宋体" w:hAnsi="宋体" w:cs="仿宋"/>
          <w:sz w:val="32"/>
          <w:szCs w:val="32"/>
        </w:rPr>
      </w:pPr>
      <w:r>
        <w:rPr>
          <w:rFonts w:hint="eastAsia" w:ascii="宋体" w:hAnsi="宋体" w:cs="仿宋"/>
          <w:sz w:val="32"/>
          <w:szCs w:val="32"/>
        </w:rPr>
        <w:t>排涝工作是我站工作的中心也是重心，年初详细制订了《青龙窖电排站排涝抗灾调度方案》（预案），并组织全站职工在疫情较严重的情况下，对8台机组、高配设备，三湖节制闸等全面检修，对2台1000KVA主变压器、高压电流互感器进行了更换，并对35KV排渍专用电线线路新装了一台真空断路器，对三处三湖节制闸启闭机进行了全面更新，对35KV排渍线路下一处违章建筑进行了强制拆除，为排涝抗灾供电安全提供有力保障。由于今年雨水大，外河水位高，我站从6月9日开机至10月21停机，全年机组历时运行134天，相继开车7865台时，单机达1705小时，用电116.4万度，排渍水33.9亿多立方，为排区的农业丰产增收提供有力保障，是全县排涝时间最长，负担量最大的泵站之一。</w:t>
      </w:r>
    </w:p>
    <w:p>
      <w:pPr>
        <w:spacing w:line="540" w:lineRule="exact"/>
        <w:ind w:firstLine="640" w:firstLineChars="200"/>
        <w:rPr>
          <w:rFonts w:ascii="宋体" w:hAnsi="宋体" w:cs="仿宋"/>
          <w:bCs/>
          <w:sz w:val="32"/>
          <w:szCs w:val="32"/>
        </w:rPr>
      </w:pPr>
      <w:r>
        <w:rPr>
          <w:rFonts w:hint="eastAsia" w:ascii="宋体" w:hAnsi="宋体" w:cs="仿宋"/>
          <w:bCs/>
          <w:sz w:val="32"/>
          <w:szCs w:val="32"/>
        </w:rPr>
        <w:t>2、明确责任，齐心协力，圆满完成机埠冬修任务</w:t>
      </w:r>
    </w:p>
    <w:p>
      <w:pPr>
        <w:spacing w:line="540" w:lineRule="exact"/>
        <w:ind w:firstLine="640" w:firstLineChars="200"/>
        <w:rPr>
          <w:rFonts w:ascii="宋体" w:hAnsi="宋体" w:cs="仿宋"/>
          <w:sz w:val="32"/>
          <w:szCs w:val="32"/>
        </w:rPr>
      </w:pPr>
      <w:r>
        <w:rPr>
          <w:rFonts w:hint="eastAsia" w:ascii="宋体" w:hAnsi="宋体" w:cs="仿宋"/>
          <w:sz w:val="32"/>
          <w:szCs w:val="32"/>
        </w:rPr>
        <w:t>由于今年开机时间长，机组及其附属设备设施损毁严重，我们通过各方筹措组织资金30余万元，于11月28日至12月25日历时27天，分别对8台机组及水下部分进行全面解体大修，对因李家门节制闸八字垮塌、机埠拦污栅毁损、抗旱闸漏水、机房场坪破损等附属设备设施进行了全面整修，为明年的排涝抗灾做好了充分准备。</w:t>
      </w:r>
    </w:p>
    <w:p>
      <w:pPr>
        <w:spacing w:line="540" w:lineRule="exact"/>
        <w:ind w:firstLine="640" w:firstLineChars="200"/>
        <w:rPr>
          <w:rFonts w:ascii="宋体" w:hAnsi="宋体" w:cs="仿宋"/>
          <w:bCs/>
          <w:sz w:val="32"/>
          <w:szCs w:val="32"/>
        </w:rPr>
      </w:pPr>
      <w:r>
        <w:rPr>
          <w:rFonts w:hint="eastAsia" w:ascii="宋体" w:hAnsi="宋体" w:cs="仿宋"/>
          <w:bCs/>
          <w:sz w:val="32"/>
          <w:szCs w:val="32"/>
        </w:rPr>
        <w:t>3、健全制度，多措并举，推动党建工作与实际工作深度融合</w:t>
      </w:r>
    </w:p>
    <w:p>
      <w:pPr>
        <w:spacing w:line="540" w:lineRule="exact"/>
        <w:ind w:firstLine="640" w:firstLineChars="200"/>
        <w:rPr>
          <w:rFonts w:cs="仿宋" w:asciiTheme="minorEastAsia" w:hAnsiTheme="minorEastAsia" w:eastAsiaTheme="minorEastAsia"/>
          <w:sz w:val="32"/>
          <w:szCs w:val="32"/>
        </w:rPr>
      </w:pPr>
      <w:r>
        <w:rPr>
          <w:rFonts w:hint="eastAsia" w:ascii="宋体" w:hAnsi="宋体" w:cs="仿宋"/>
          <w:sz w:val="32"/>
          <w:szCs w:val="32"/>
        </w:rPr>
        <w:t>2020年，我们按照县委组织部、县水利局党委统一安排，对党建工作进一步完善了各项制度，对党建办公室进行了重新布置。并规定每月最后一个星期五为主题教育活动日，全年开展支部书记</w:t>
      </w:r>
      <w:r>
        <w:rPr>
          <w:rFonts w:hint="eastAsia" w:cs="仿宋" w:asciiTheme="minorEastAsia" w:hAnsiTheme="minorEastAsia" w:eastAsiaTheme="minorEastAsia"/>
          <w:sz w:val="32"/>
          <w:szCs w:val="32"/>
        </w:rPr>
        <w:t>上党课2次，学习《习近平关于不“忘初心，牢记使命”论述选编》、</w:t>
      </w:r>
      <w:r>
        <w:rPr>
          <w:rFonts w:hint="eastAsia" w:cs="仿宋" w:asciiTheme="minorEastAsia" w:hAnsiTheme="minorEastAsia" w:eastAsiaTheme="minorEastAsia"/>
          <w:sz w:val="32"/>
          <w:szCs w:val="32"/>
          <w:lang w:val="en-US" w:eastAsia="zh-CN"/>
        </w:rPr>
        <w:t>党的</w:t>
      </w:r>
      <w:bookmarkStart w:id="0" w:name="_GoBack"/>
      <w:bookmarkEnd w:id="0"/>
      <w:r>
        <w:rPr>
          <w:rFonts w:hint="eastAsia" w:cs="仿宋" w:asciiTheme="minorEastAsia" w:hAnsiTheme="minorEastAsia" w:eastAsiaTheme="minorEastAsia"/>
          <w:sz w:val="32"/>
          <w:szCs w:val="32"/>
        </w:rPr>
        <w:t>十九大精神等规定篇目8次，组织全体党员参观十八洞村扶贫教育基地1次，提高了党员职工的爱国主义热情，丰富了主题党日活动内容，增强党员职工凝聚力，提高了党员职工的工作积极性。</w:t>
      </w:r>
    </w:p>
    <w:p>
      <w:pPr>
        <w:ind w:firstLine="640" w:firstLineChars="200"/>
        <w:jc w:val="left"/>
        <w:rPr>
          <w:rFonts w:ascii="宋体" w:cs="Times New Roman"/>
          <w:color w:val="000000"/>
          <w:kern w:val="0"/>
          <w:sz w:val="32"/>
          <w:szCs w:val="32"/>
        </w:rPr>
      </w:pPr>
      <w:r>
        <w:rPr>
          <w:rFonts w:hint="eastAsia" w:ascii="宋体" w:cs="Times New Roman"/>
          <w:color w:val="000000"/>
          <w:kern w:val="0"/>
          <w:sz w:val="32"/>
          <w:szCs w:val="32"/>
        </w:rPr>
        <w:t>根据对我单位2020年部门整体支出绩效评价指标体系和绩效情况的检查，2020年我单位整体绩效自评分为98.5分。</w:t>
      </w:r>
    </w:p>
    <w:p>
      <w:pPr>
        <w:ind w:firstLine="640" w:firstLineChars="200"/>
        <w:jc w:val="left"/>
        <w:rPr>
          <w:rFonts w:ascii="宋体" w:cs="Times New Roman"/>
          <w:color w:val="000000"/>
          <w:kern w:val="0"/>
          <w:sz w:val="32"/>
          <w:szCs w:val="32"/>
        </w:rPr>
      </w:pPr>
    </w:p>
    <w:p>
      <w:pPr>
        <w:ind w:firstLine="640" w:firstLineChars="200"/>
        <w:jc w:val="left"/>
        <w:rPr>
          <w:rFonts w:ascii="宋体" w:cs="Times New Roman"/>
          <w:color w:val="000000"/>
          <w:kern w:val="0"/>
          <w:sz w:val="32"/>
          <w:szCs w:val="32"/>
        </w:rPr>
      </w:pPr>
    </w:p>
    <w:p>
      <w:pPr>
        <w:ind w:firstLine="640" w:firstLineChars="200"/>
        <w:jc w:val="left"/>
        <w:rPr>
          <w:rFonts w:ascii="宋体" w:cs="Times New Roman"/>
          <w:color w:val="000000"/>
          <w:kern w:val="0"/>
          <w:sz w:val="32"/>
          <w:szCs w:val="32"/>
        </w:rPr>
      </w:pPr>
    </w:p>
    <w:p>
      <w:pPr>
        <w:ind w:firstLine="1928" w:firstLineChars="800"/>
        <w:jc w:val="left"/>
        <w:rPr>
          <w:rFonts w:ascii="宋体" w:cs="Times New Roman"/>
          <w:color w:val="000000"/>
          <w:kern w:val="0"/>
          <w:sz w:val="32"/>
          <w:szCs w:val="32"/>
        </w:rPr>
      </w:pPr>
      <w:r>
        <w:rPr>
          <w:rFonts w:hint="eastAsia" w:ascii="宋体" w:hAnsi="宋体" w:cs="宋体"/>
          <w:b/>
          <w:bCs/>
          <w:kern w:val="0"/>
          <w:sz w:val="24"/>
          <w:szCs w:val="24"/>
        </w:rPr>
        <w:t>部门整体支出绩效评价指标表</w:t>
      </w:r>
    </w:p>
    <w:p>
      <w:pPr>
        <w:spacing w:line="560" w:lineRule="exact"/>
        <w:jc w:val="center"/>
        <w:rPr>
          <w:rFonts w:ascii="宋体" w:cs="Times New Roman"/>
          <w:kern w:val="0"/>
          <w:sz w:val="24"/>
          <w:szCs w:val="24"/>
        </w:rPr>
      </w:pPr>
    </w:p>
    <w:tbl>
      <w:tblPr>
        <w:tblStyle w:val="4"/>
        <w:tblW w:w="10771" w:type="dxa"/>
        <w:jc w:val="center"/>
        <w:tblLayout w:type="fixed"/>
        <w:tblCellMar>
          <w:top w:w="0" w:type="dxa"/>
          <w:left w:w="108" w:type="dxa"/>
          <w:bottom w:w="0" w:type="dxa"/>
          <w:right w:w="108" w:type="dxa"/>
        </w:tblCellMar>
      </w:tblPr>
      <w:tblGrid>
        <w:gridCol w:w="678"/>
        <w:gridCol w:w="516"/>
        <w:gridCol w:w="659"/>
        <w:gridCol w:w="516"/>
        <w:gridCol w:w="1074"/>
        <w:gridCol w:w="516"/>
        <w:gridCol w:w="2878"/>
        <w:gridCol w:w="3239"/>
        <w:gridCol w:w="695"/>
      </w:tblGrid>
      <w:tr>
        <w:tblPrEx>
          <w:tblCellMar>
            <w:top w:w="0" w:type="dxa"/>
            <w:left w:w="108" w:type="dxa"/>
            <w:bottom w:w="0" w:type="dxa"/>
            <w:right w:w="108" w:type="dxa"/>
          </w:tblCellMar>
        </w:tblPrEx>
        <w:trPr>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分值</w:t>
            </w:r>
          </w:p>
        </w:tc>
        <w:tc>
          <w:tcPr>
            <w:tcW w:w="6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三级</w:t>
            </w:r>
          </w:p>
          <w:p>
            <w:pPr>
              <w:widowControl/>
              <w:spacing w:line="300" w:lineRule="exact"/>
              <w:jc w:val="center"/>
              <w:rPr>
                <w:rFonts w:ascii="宋体" w:cs="Times New Roman"/>
                <w:kern w:val="0"/>
                <w:sz w:val="24"/>
                <w:szCs w:val="24"/>
              </w:rPr>
            </w:pPr>
            <w:r>
              <w:rPr>
                <w:rFonts w:hint="eastAsia" w:ascii="宋体" w:hAnsi="宋体" w:cs="宋体"/>
                <w:kern w:val="0"/>
                <w:sz w:val="24"/>
                <w:szCs w:val="24"/>
              </w:rPr>
              <w:t>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评价标准</w:t>
            </w:r>
          </w:p>
        </w:tc>
        <w:tc>
          <w:tcPr>
            <w:tcW w:w="323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指标说明</w:t>
            </w:r>
          </w:p>
        </w:tc>
        <w:tc>
          <w:tcPr>
            <w:tcW w:w="6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得分</w:t>
            </w:r>
          </w:p>
        </w:tc>
      </w:tr>
      <w:tr>
        <w:tblPrEx>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ascii="宋体" w:hAnsi="宋体" w:cs="宋体"/>
                <w:kern w:val="0"/>
                <w:sz w:val="24"/>
                <w:szCs w:val="24"/>
              </w:rPr>
              <w:t>13</w:t>
            </w:r>
          </w:p>
        </w:tc>
        <w:tc>
          <w:tcPr>
            <w:tcW w:w="659" w:type="dxa"/>
            <w:vMerge w:val="restart"/>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ascii="宋体" w:hAnsi="宋体" w:cs="宋体"/>
                <w:kern w:val="0"/>
                <w:sz w:val="24"/>
                <w:szCs w:val="24"/>
              </w:rPr>
              <w:t>13</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在职人员控制率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ascii="宋体" w:hAnsi="宋体" w:cs="宋体"/>
                <w:kern w:val="0"/>
                <w:sz w:val="24"/>
                <w:szCs w:val="24"/>
              </w:rPr>
              <w:t>5</w:t>
            </w:r>
          </w:p>
        </w:tc>
        <w:tc>
          <w:tcPr>
            <w:tcW w:w="2878" w:type="dxa"/>
            <w:tcBorders>
              <w:top w:val="nil"/>
              <w:left w:val="nil"/>
              <w:bottom w:val="nil"/>
              <w:right w:val="nil"/>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以</w:t>
            </w:r>
            <w:r>
              <w:rPr>
                <w:rFonts w:ascii="宋体" w:hAnsi="宋体" w:cs="宋体"/>
                <w:kern w:val="0"/>
                <w:sz w:val="24"/>
                <w:szCs w:val="24"/>
              </w:rPr>
              <w:t>100%</w:t>
            </w:r>
            <w:r>
              <w:rPr>
                <w:rFonts w:hint="eastAsia" w:ascii="宋体" w:hAnsi="宋体" w:cs="宋体"/>
                <w:kern w:val="0"/>
                <w:sz w:val="24"/>
                <w:szCs w:val="24"/>
              </w:rPr>
              <w:t>为标准。在职人员控制率≦</w:t>
            </w:r>
            <w:r>
              <w:rPr>
                <w:rFonts w:ascii="宋体" w:hAnsi="宋体" w:cs="宋体"/>
                <w:kern w:val="0"/>
                <w:sz w:val="24"/>
                <w:szCs w:val="24"/>
              </w:rPr>
              <w:t>100%</w:t>
            </w:r>
            <w:r>
              <w:rPr>
                <w:rFonts w:hint="eastAsia" w:ascii="宋体" w:hAnsi="宋体" w:cs="宋体"/>
                <w:kern w:val="0"/>
                <w:sz w:val="24"/>
                <w:szCs w:val="24"/>
              </w:rPr>
              <w:t>，计</w:t>
            </w:r>
            <w:r>
              <w:rPr>
                <w:rFonts w:ascii="宋体" w:hAnsi="宋体" w:cs="宋体"/>
                <w:kern w:val="0"/>
                <w:sz w:val="24"/>
                <w:szCs w:val="24"/>
              </w:rPr>
              <w:t>5</w:t>
            </w:r>
            <w:r>
              <w:rPr>
                <w:rFonts w:hint="eastAsia" w:ascii="宋体" w:hAnsi="宋体" w:cs="宋体"/>
                <w:kern w:val="0"/>
                <w:sz w:val="24"/>
                <w:szCs w:val="24"/>
              </w:rPr>
              <w:t>分；每超过一个百分点扣</w:t>
            </w:r>
            <w:r>
              <w:rPr>
                <w:rFonts w:ascii="宋体" w:hAnsi="宋体" w:cs="宋体"/>
                <w:kern w:val="0"/>
                <w:sz w:val="24"/>
                <w:szCs w:val="24"/>
              </w:rPr>
              <w:t>0.5</w:t>
            </w:r>
            <w:r>
              <w:rPr>
                <w:rFonts w:hint="eastAsia" w:ascii="宋体" w:hAnsi="宋体" w:cs="宋体"/>
                <w:kern w:val="0"/>
                <w:sz w:val="24"/>
                <w:szCs w:val="24"/>
              </w:rPr>
              <w:t>分，扣完为止。</w:t>
            </w:r>
          </w:p>
        </w:tc>
        <w:tc>
          <w:tcPr>
            <w:tcW w:w="3239"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在职人员控制率</w:t>
            </w:r>
            <w:r>
              <w:rPr>
                <w:rFonts w:ascii="宋体" w:hAnsi="宋体" w:cs="宋体"/>
                <w:kern w:val="0"/>
                <w:sz w:val="24"/>
                <w:szCs w:val="24"/>
              </w:rPr>
              <w:t>=</w:t>
            </w:r>
            <w:r>
              <w:rPr>
                <w:rFonts w:hint="eastAsia" w:ascii="宋体" w:hAnsi="宋体" w:cs="宋体"/>
                <w:kern w:val="0"/>
                <w:sz w:val="24"/>
                <w:szCs w:val="24"/>
              </w:rPr>
              <w:t>（在职人员数</w:t>
            </w:r>
            <w:r>
              <w:rPr>
                <w:rFonts w:ascii="宋体" w:hAnsi="宋体" w:cs="宋体"/>
                <w:kern w:val="0"/>
                <w:sz w:val="24"/>
                <w:szCs w:val="24"/>
              </w:rPr>
              <w:t>/</w:t>
            </w:r>
            <w:r>
              <w:rPr>
                <w:rFonts w:hint="eastAsia" w:ascii="宋体" w:hAnsi="宋体" w:cs="宋体"/>
                <w:kern w:val="0"/>
                <w:sz w:val="24"/>
                <w:szCs w:val="24"/>
              </w:rPr>
              <w:t>编制数）×</w:t>
            </w:r>
            <w:r>
              <w:rPr>
                <w:rFonts w:ascii="宋体" w:hAnsi="宋体" w:cs="宋体"/>
                <w:kern w:val="0"/>
                <w:sz w:val="24"/>
                <w:szCs w:val="24"/>
              </w:rPr>
              <w:t>100%</w:t>
            </w:r>
            <w:r>
              <w:rPr>
                <w:rFonts w:hint="eastAsia" w:ascii="宋体" w:hAnsi="宋体" w:cs="宋体"/>
                <w:kern w:val="0"/>
                <w:sz w:val="24"/>
                <w:szCs w:val="24"/>
              </w:rPr>
              <w:t>，在职人员数：部门（单位）实际在职人数，以财政局确定的部门决算编制口径为准。</w:t>
            </w:r>
            <w:r>
              <w:rPr>
                <w:rFonts w:ascii="宋体" w:cs="Times New Roman"/>
                <w:kern w:val="0"/>
                <w:sz w:val="24"/>
                <w:szCs w:val="24"/>
              </w:rPr>
              <w:br w:type="textWrapping"/>
            </w:r>
            <w:r>
              <w:rPr>
                <w:rFonts w:hint="eastAsia" w:ascii="宋体" w:hAnsi="宋体" w:cs="宋体"/>
                <w:kern w:val="0"/>
                <w:sz w:val="24"/>
                <w:szCs w:val="24"/>
              </w:rPr>
              <w:t>编制数：机构编制部门核定批复的部门（单位）的人员编制数。</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5</w:t>
            </w:r>
          </w:p>
        </w:tc>
      </w:tr>
      <w:tr>
        <w:tblPrEx>
          <w:tblCellMar>
            <w:top w:w="0" w:type="dxa"/>
            <w:left w:w="108" w:type="dxa"/>
            <w:bottom w:w="0" w:type="dxa"/>
            <w:right w:w="108" w:type="dxa"/>
          </w:tblCellMar>
        </w:tblPrEx>
        <w:trPr>
          <w:trHeight w:val="141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“三公经费”变动率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ascii="宋体" w:hAnsi="宋体" w:cs="宋体"/>
                <w:kern w:val="0"/>
                <w:sz w:val="24"/>
                <w:szCs w:val="24"/>
              </w:rPr>
              <w:t>8</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“三公经费”变动率≦</w:t>
            </w:r>
            <w:r>
              <w:rPr>
                <w:rFonts w:ascii="宋体" w:cs="宋体"/>
                <w:kern w:val="0"/>
                <w:sz w:val="24"/>
                <w:szCs w:val="24"/>
              </w:rPr>
              <w:t>0,</w:t>
            </w:r>
            <w:r>
              <w:rPr>
                <w:rFonts w:hint="eastAsia" w:ascii="宋体" w:hAnsi="宋体" w:cs="宋体"/>
                <w:kern w:val="0"/>
                <w:sz w:val="24"/>
                <w:szCs w:val="24"/>
              </w:rPr>
              <w:t>计</w:t>
            </w:r>
            <w:r>
              <w:rPr>
                <w:rFonts w:ascii="宋体" w:hAnsi="宋体" w:cs="宋体"/>
                <w:kern w:val="0"/>
                <w:sz w:val="24"/>
                <w:szCs w:val="24"/>
              </w:rPr>
              <w:t>8</w:t>
            </w:r>
            <w:r>
              <w:rPr>
                <w:rFonts w:hint="eastAsia" w:ascii="宋体" w:hAnsi="宋体" w:cs="宋体"/>
                <w:kern w:val="0"/>
                <w:sz w:val="24"/>
                <w:szCs w:val="24"/>
              </w:rPr>
              <w:t>分；“三公经费”＞</w:t>
            </w:r>
            <w:r>
              <w:rPr>
                <w:rFonts w:ascii="宋体" w:cs="宋体"/>
                <w:kern w:val="0"/>
                <w:sz w:val="24"/>
                <w:szCs w:val="24"/>
              </w:rPr>
              <w:t>0</w:t>
            </w:r>
            <w:r>
              <w:rPr>
                <w:rFonts w:hint="eastAsia" w:ascii="宋体" w:hAnsi="宋体" w:cs="宋体"/>
                <w:kern w:val="0"/>
                <w:sz w:val="24"/>
                <w:szCs w:val="24"/>
              </w:rPr>
              <w:t>，每超过一个百分点扣</w:t>
            </w:r>
            <w:r>
              <w:rPr>
                <w:rFonts w:ascii="宋体" w:hAnsi="宋体" w:cs="宋体"/>
                <w:kern w:val="0"/>
                <w:sz w:val="24"/>
                <w:szCs w:val="24"/>
              </w:rPr>
              <w:t>0.8</w:t>
            </w:r>
            <w:r>
              <w:rPr>
                <w:rFonts w:hint="eastAsia" w:ascii="宋体" w:hAnsi="宋体" w:cs="宋体"/>
                <w:kern w:val="0"/>
                <w:sz w:val="24"/>
                <w:szCs w:val="24"/>
              </w:rPr>
              <w:t>分，扣完为止。</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“三公经费”变动率</w:t>
            </w:r>
            <w:r>
              <w:rPr>
                <w:rFonts w:ascii="宋体" w:hAnsi="宋体" w:cs="宋体"/>
                <w:kern w:val="0"/>
                <w:sz w:val="24"/>
                <w:szCs w:val="24"/>
              </w:rPr>
              <w:t>=[</w:t>
            </w:r>
            <w:r>
              <w:rPr>
                <w:rFonts w:hint="eastAsia" w:ascii="宋体" w:hAnsi="宋体" w:cs="宋体"/>
                <w:kern w:val="0"/>
                <w:sz w:val="24"/>
                <w:szCs w:val="24"/>
              </w:rPr>
              <w:t>（本年度“三公经费”预算数</w:t>
            </w:r>
            <w:r>
              <w:rPr>
                <w:rFonts w:ascii="宋体" w:cs="宋体"/>
                <w:kern w:val="0"/>
                <w:sz w:val="24"/>
                <w:szCs w:val="24"/>
              </w:rPr>
              <w:t>-</w:t>
            </w:r>
            <w:r>
              <w:rPr>
                <w:rFonts w:hint="eastAsia" w:ascii="宋体" w:hAnsi="宋体" w:cs="宋体"/>
                <w:kern w:val="0"/>
                <w:sz w:val="24"/>
                <w:szCs w:val="24"/>
              </w:rPr>
              <w:t>上年度“三公经费”预算数）</w:t>
            </w:r>
            <w:r>
              <w:rPr>
                <w:rFonts w:ascii="宋体" w:hAnsi="宋体" w:cs="宋体"/>
                <w:kern w:val="0"/>
                <w:sz w:val="24"/>
                <w:szCs w:val="24"/>
              </w:rPr>
              <w:t>/</w:t>
            </w:r>
            <w:r>
              <w:rPr>
                <w:rFonts w:hint="eastAsia" w:ascii="宋体" w:hAnsi="宋体" w:cs="宋体"/>
                <w:kern w:val="0"/>
                <w:sz w:val="24"/>
                <w:szCs w:val="24"/>
              </w:rPr>
              <w:t>上年度“三公经费”预算数</w:t>
            </w:r>
            <w:r>
              <w:rPr>
                <w:rFonts w:ascii="宋体" w:hAnsi="宋体" w:cs="宋体"/>
                <w:kern w:val="0"/>
                <w:sz w:val="24"/>
                <w:szCs w:val="24"/>
              </w:rPr>
              <w:t>]</w:t>
            </w:r>
            <w:r>
              <w:rPr>
                <w:rFonts w:hint="eastAsia" w:ascii="宋体" w:hAnsi="宋体" w:cs="宋体"/>
                <w:kern w:val="0"/>
                <w:sz w:val="24"/>
                <w:szCs w:val="24"/>
              </w:rPr>
              <w:t>×</w:t>
            </w:r>
            <w:r>
              <w:rPr>
                <w:rFonts w:ascii="宋体" w:hAnsi="宋体" w:cs="宋体"/>
                <w:kern w:val="0"/>
                <w:sz w:val="24"/>
                <w:szCs w:val="24"/>
              </w:rPr>
              <w:t>100%</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7</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过程</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ascii="宋体" w:hAnsi="宋体" w:cs="宋体"/>
                <w:kern w:val="0"/>
                <w:sz w:val="24"/>
                <w:szCs w:val="24"/>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ascii="宋体" w:hAnsi="宋体" w:cs="宋体"/>
                <w:kern w:val="0"/>
                <w:sz w:val="24"/>
                <w:szCs w:val="24"/>
              </w:rPr>
              <w:t>20</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预算完成率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ascii="宋体" w:hAnsi="宋体" w:cs="宋体"/>
                <w:kern w:val="0"/>
                <w:sz w:val="24"/>
                <w:szCs w:val="24"/>
              </w:rPr>
              <w:t>100%</w:t>
            </w:r>
            <w:r>
              <w:rPr>
                <w:rFonts w:hint="eastAsia" w:ascii="宋体" w:hAnsi="宋体" w:cs="宋体"/>
                <w:kern w:val="0"/>
                <w:sz w:val="24"/>
                <w:szCs w:val="24"/>
              </w:rPr>
              <w:t>计满分，每低于</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预算完成率</w:t>
            </w:r>
            <w:r>
              <w:rPr>
                <w:rFonts w:ascii="宋体" w:hAnsi="宋体" w:cs="宋体"/>
                <w:kern w:val="0"/>
                <w:sz w:val="24"/>
                <w:szCs w:val="24"/>
              </w:rPr>
              <w:t>=</w:t>
            </w:r>
            <w:r>
              <w:rPr>
                <w:rFonts w:hint="eastAsia" w:ascii="宋体" w:hAnsi="宋体" w:cs="宋体"/>
                <w:kern w:val="0"/>
                <w:sz w:val="24"/>
                <w:szCs w:val="24"/>
              </w:rPr>
              <w:t>（上年结转</w:t>
            </w:r>
            <w:r>
              <w:rPr>
                <w:rFonts w:ascii="宋体" w:hAnsi="宋体" w:cs="宋体"/>
                <w:kern w:val="0"/>
                <w:sz w:val="24"/>
                <w:szCs w:val="24"/>
              </w:rPr>
              <w:t>+</w:t>
            </w:r>
            <w:r>
              <w:rPr>
                <w:rFonts w:hint="eastAsia" w:ascii="宋体" w:hAnsi="宋体" w:cs="宋体"/>
                <w:kern w:val="0"/>
                <w:sz w:val="24"/>
                <w:szCs w:val="24"/>
              </w:rPr>
              <w:t>年初预算</w:t>
            </w:r>
            <w:r>
              <w:rPr>
                <w:rFonts w:ascii="宋体" w:hAnsi="宋体" w:cs="宋体"/>
                <w:kern w:val="0"/>
                <w:sz w:val="24"/>
                <w:szCs w:val="24"/>
              </w:rPr>
              <w:t>+</w:t>
            </w:r>
            <w:r>
              <w:rPr>
                <w:rFonts w:hint="eastAsia" w:ascii="宋体" w:hAnsi="宋体" w:cs="宋体"/>
                <w:kern w:val="0"/>
                <w:sz w:val="24"/>
                <w:szCs w:val="24"/>
              </w:rPr>
              <w:t>本年追加预算</w:t>
            </w:r>
            <w:r>
              <w:rPr>
                <w:rFonts w:ascii="宋体" w:cs="宋体"/>
                <w:kern w:val="0"/>
                <w:sz w:val="24"/>
                <w:szCs w:val="24"/>
              </w:rPr>
              <w:t>-</w:t>
            </w:r>
            <w:r>
              <w:rPr>
                <w:rFonts w:hint="eastAsia" w:ascii="宋体" w:hAnsi="宋体" w:cs="宋体"/>
                <w:kern w:val="0"/>
                <w:sz w:val="24"/>
                <w:szCs w:val="24"/>
              </w:rPr>
              <w:t>年末结余）</w:t>
            </w:r>
            <w:r>
              <w:rPr>
                <w:rFonts w:ascii="宋体" w:hAnsi="宋体" w:cs="宋体"/>
                <w:kern w:val="0"/>
                <w:sz w:val="24"/>
                <w:szCs w:val="24"/>
              </w:rPr>
              <w:t>/</w:t>
            </w:r>
            <w:r>
              <w:rPr>
                <w:rFonts w:hint="eastAsia" w:ascii="宋体" w:hAnsi="宋体" w:cs="宋体"/>
                <w:kern w:val="0"/>
                <w:sz w:val="24"/>
                <w:szCs w:val="24"/>
              </w:rPr>
              <w:t>（上年结转</w:t>
            </w:r>
            <w:r>
              <w:rPr>
                <w:rFonts w:ascii="宋体" w:hAnsi="宋体" w:cs="宋体"/>
                <w:kern w:val="0"/>
                <w:sz w:val="24"/>
                <w:szCs w:val="24"/>
              </w:rPr>
              <w:t>+</w:t>
            </w:r>
            <w:r>
              <w:rPr>
                <w:rFonts w:hint="eastAsia" w:ascii="宋体" w:hAnsi="宋体" w:cs="宋体"/>
                <w:kern w:val="0"/>
                <w:sz w:val="24"/>
                <w:szCs w:val="24"/>
              </w:rPr>
              <w:t>年初预算</w:t>
            </w:r>
            <w:r>
              <w:rPr>
                <w:rFonts w:ascii="宋体" w:hAnsi="宋体" w:cs="宋体"/>
                <w:kern w:val="0"/>
                <w:sz w:val="24"/>
                <w:szCs w:val="24"/>
              </w:rPr>
              <w:t>+</w:t>
            </w:r>
            <w:r>
              <w:rPr>
                <w:rFonts w:hint="eastAsia" w:ascii="宋体" w:hAnsi="宋体" w:cs="宋体"/>
                <w:kern w:val="0"/>
                <w:sz w:val="24"/>
                <w:szCs w:val="24"/>
              </w:rPr>
              <w:t>本年追加预算）×</w:t>
            </w:r>
            <w:r>
              <w:rPr>
                <w:rFonts w:ascii="宋体" w:hAnsi="宋体" w:cs="宋体"/>
                <w:kern w:val="0"/>
                <w:sz w:val="24"/>
                <w:szCs w:val="24"/>
              </w:rPr>
              <w:t>100%</w:t>
            </w:r>
            <w:r>
              <w:rPr>
                <w:rFonts w:hint="eastAsia" w:ascii="宋体" w:hAnsi="宋体" w:cs="宋体"/>
                <w:kern w:val="0"/>
                <w:sz w:val="24"/>
                <w:szCs w:val="24"/>
              </w:rPr>
              <w:t>。</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4.5</w:t>
            </w:r>
          </w:p>
        </w:tc>
      </w:tr>
      <w:tr>
        <w:tblPrEx>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预算控制率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预算控制率</w:t>
            </w:r>
            <w:r>
              <w:rPr>
                <w:rFonts w:ascii="宋体" w:hAnsi="宋体" w:cs="宋体"/>
                <w:kern w:val="0"/>
                <w:sz w:val="24"/>
                <w:szCs w:val="24"/>
              </w:rPr>
              <w:t>=0</w:t>
            </w:r>
            <w:r>
              <w:rPr>
                <w:rFonts w:hint="eastAsia" w:ascii="宋体" w:hAnsi="宋体" w:cs="宋体"/>
                <w:kern w:val="0"/>
                <w:sz w:val="24"/>
                <w:szCs w:val="24"/>
              </w:rPr>
              <w:t>，计</w:t>
            </w:r>
            <w:r>
              <w:rPr>
                <w:rFonts w:ascii="宋体" w:hAnsi="宋体" w:cs="宋体"/>
                <w:kern w:val="0"/>
                <w:sz w:val="24"/>
                <w:szCs w:val="24"/>
              </w:rPr>
              <w:t>5</w:t>
            </w:r>
            <w:r>
              <w:rPr>
                <w:rFonts w:hint="eastAsia" w:ascii="宋体" w:hAnsi="宋体" w:cs="宋体"/>
                <w:kern w:val="0"/>
                <w:sz w:val="24"/>
                <w:szCs w:val="24"/>
              </w:rPr>
              <w:t>分；</w:t>
            </w:r>
            <w:r>
              <w:rPr>
                <w:rFonts w:ascii="宋体" w:hAnsi="宋体" w:cs="宋体"/>
                <w:kern w:val="0"/>
                <w:sz w:val="24"/>
                <w:szCs w:val="24"/>
              </w:rPr>
              <w:t>0-10%</w:t>
            </w:r>
            <w:r>
              <w:rPr>
                <w:rFonts w:hint="eastAsia" w:ascii="宋体" w:hAnsi="宋体" w:cs="宋体"/>
                <w:kern w:val="0"/>
                <w:sz w:val="24"/>
                <w:szCs w:val="24"/>
              </w:rPr>
              <w:t>（含），计</w:t>
            </w:r>
            <w:r>
              <w:rPr>
                <w:rFonts w:ascii="宋体" w:hAnsi="宋体" w:cs="宋体"/>
                <w:kern w:val="0"/>
                <w:sz w:val="24"/>
                <w:szCs w:val="24"/>
              </w:rPr>
              <w:t>4</w:t>
            </w:r>
            <w:r>
              <w:rPr>
                <w:rFonts w:hint="eastAsia" w:ascii="宋体" w:hAnsi="宋体" w:cs="宋体"/>
                <w:kern w:val="0"/>
                <w:sz w:val="24"/>
                <w:szCs w:val="24"/>
              </w:rPr>
              <w:t>分；</w:t>
            </w:r>
            <w:r>
              <w:rPr>
                <w:rFonts w:ascii="宋体" w:hAnsi="宋体" w:cs="宋体"/>
                <w:kern w:val="0"/>
                <w:sz w:val="24"/>
                <w:szCs w:val="24"/>
              </w:rPr>
              <w:t>10-20%</w:t>
            </w:r>
            <w:r>
              <w:rPr>
                <w:rFonts w:hint="eastAsia" w:ascii="宋体" w:hAnsi="宋体" w:cs="宋体"/>
                <w:kern w:val="0"/>
                <w:sz w:val="24"/>
                <w:szCs w:val="24"/>
              </w:rPr>
              <w:t>（含），计</w:t>
            </w:r>
            <w:r>
              <w:rPr>
                <w:rFonts w:ascii="宋体" w:hAnsi="宋体" w:cs="宋体"/>
                <w:kern w:val="0"/>
                <w:sz w:val="24"/>
                <w:szCs w:val="24"/>
              </w:rPr>
              <w:t>3</w:t>
            </w:r>
            <w:r>
              <w:rPr>
                <w:rFonts w:hint="eastAsia" w:ascii="宋体" w:hAnsi="宋体" w:cs="宋体"/>
                <w:kern w:val="0"/>
                <w:sz w:val="24"/>
                <w:szCs w:val="24"/>
              </w:rPr>
              <w:t>分；</w:t>
            </w:r>
            <w:r>
              <w:rPr>
                <w:rFonts w:ascii="宋体" w:hAnsi="宋体" w:cs="宋体"/>
                <w:kern w:val="0"/>
                <w:sz w:val="24"/>
                <w:szCs w:val="24"/>
              </w:rPr>
              <w:t>20-30%</w:t>
            </w:r>
            <w:r>
              <w:rPr>
                <w:rFonts w:hint="eastAsia" w:ascii="宋体" w:hAnsi="宋体" w:cs="宋体"/>
                <w:kern w:val="0"/>
                <w:sz w:val="24"/>
                <w:szCs w:val="24"/>
              </w:rPr>
              <w:t>（含），计</w:t>
            </w:r>
            <w:r>
              <w:rPr>
                <w:rFonts w:ascii="宋体" w:hAnsi="宋体" w:cs="宋体"/>
                <w:kern w:val="0"/>
                <w:sz w:val="24"/>
                <w:szCs w:val="24"/>
              </w:rPr>
              <w:t>2</w:t>
            </w:r>
            <w:r>
              <w:rPr>
                <w:rFonts w:hint="eastAsia" w:ascii="宋体" w:hAnsi="宋体" w:cs="宋体"/>
                <w:kern w:val="0"/>
                <w:sz w:val="24"/>
                <w:szCs w:val="24"/>
              </w:rPr>
              <w:t>分；大于</w:t>
            </w:r>
            <w:r>
              <w:rPr>
                <w:rFonts w:ascii="宋体" w:hAnsi="宋体" w:cs="宋体"/>
                <w:kern w:val="0"/>
                <w:sz w:val="24"/>
                <w:szCs w:val="24"/>
              </w:rPr>
              <w:t>30%</w:t>
            </w:r>
            <w:r>
              <w:rPr>
                <w:rFonts w:hint="eastAsia" w:ascii="宋体" w:hAnsi="宋体" w:cs="宋体"/>
                <w:kern w:val="0"/>
                <w:sz w:val="24"/>
                <w:szCs w:val="24"/>
              </w:rPr>
              <w:t>不得分。</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预算控制率</w:t>
            </w:r>
            <w:r>
              <w:rPr>
                <w:rFonts w:ascii="宋体" w:hAnsi="宋体" w:cs="宋体"/>
                <w:kern w:val="0"/>
                <w:sz w:val="24"/>
                <w:szCs w:val="24"/>
              </w:rPr>
              <w:t>=</w:t>
            </w:r>
            <w:r>
              <w:rPr>
                <w:rFonts w:hint="eastAsia" w:ascii="宋体" w:hAnsi="宋体" w:cs="宋体"/>
                <w:kern w:val="0"/>
                <w:sz w:val="24"/>
                <w:szCs w:val="24"/>
              </w:rPr>
              <w:t>（本年追加预算</w:t>
            </w:r>
            <w:r>
              <w:rPr>
                <w:rFonts w:ascii="宋体" w:hAnsi="宋体" w:cs="宋体"/>
                <w:kern w:val="0"/>
                <w:sz w:val="24"/>
                <w:szCs w:val="24"/>
              </w:rPr>
              <w:t>/</w:t>
            </w:r>
            <w:r>
              <w:rPr>
                <w:rFonts w:hint="eastAsia" w:ascii="宋体" w:hAnsi="宋体" w:cs="宋体"/>
                <w:kern w:val="0"/>
                <w:sz w:val="24"/>
                <w:szCs w:val="24"/>
              </w:rPr>
              <w:t>年初预算）×</w:t>
            </w:r>
            <w:r>
              <w:rPr>
                <w:rFonts w:ascii="宋体" w:hAnsi="宋体" w:cs="宋体"/>
                <w:kern w:val="0"/>
                <w:sz w:val="24"/>
                <w:szCs w:val="24"/>
              </w:rPr>
              <w:t>100%</w:t>
            </w:r>
            <w:r>
              <w:rPr>
                <w:rFonts w:hint="eastAsia" w:ascii="宋体" w:hAnsi="宋体" w:cs="宋体"/>
                <w:kern w:val="0"/>
                <w:sz w:val="24"/>
                <w:szCs w:val="24"/>
              </w:rPr>
              <w:t>。</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4</w:t>
            </w:r>
          </w:p>
        </w:tc>
      </w:tr>
      <w:tr>
        <w:tblPrEx>
          <w:tblCellMar>
            <w:top w:w="0" w:type="dxa"/>
            <w:left w:w="108" w:type="dxa"/>
            <w:bottom w:w="0" w:type="dxa"/>
            <w:right w:w="108" w:type="dxa"/>
          </w:tblCellMar>
        </w:tblPrEx>
        <w:trPr>
          <w:trHeight w:val="1160"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新建楼堂馆所面积控制率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分，扣完为止。没有楼堂馆所项目的部门按满分计算。</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楼堂馆所面积控制率</w:t>
            </w:r>
            <w:r>
              <w:rPr>
                <w:rFonts w:ascii="宋体" w:hAnsi="宋体" w:cs="宋体"/>
                <w:kern w:val="0"/>
                <w:sz w:val="24"/>
                <w:szCs w:val="24"/>
              </w:rPr>
              <w:t>=</w:t>
            </w:r>
            <w:r>
              <w:rPr>
                <w:rFonts w:hint="eastAsia" w:ascii="宋体" w:hAnsi="宋体" w:cs="宋体"/>
                <w:kern w:val="0"/>
                <w:sz w:val="24"/>
                <w:szCs w:val="24"/>
              </w:rPr>
              <w:t>实际建设面积</w:t>
            </w:r>
            <w:r>
              <w:rPr>
                <w:rFonts w:ascii="宋体" w:hAnsi="宋体" w:cs="宋体"/>
                <w:kern w:val="0"/>
                <w:sz w:val="24"/>
                <w:szCs w:val="24"/>
              </w:rPr>
              <w:t>/</w:t>
            </w:r>
            <w:r>
              <w:rPr>
                <w:rFonts w:hint="eastAsia" w:ascii="宋体" w:hAnsi="宋体" w:cs="宋体"/>
                <w:kern w:val="0"/>
                <w:sz w:val="24"/>
                <w:szCs w:val="24"/>
              </w:rPr>
              <w:t>批准建设面积×</w:t>
            </w:r>
            <w:r>
              <w:rPr>
                <w:rFonts w:ascii="宋体" w:hAnsi="宋体" w:cs="宋体"/>
                <w:kern w:val="0"/>
                <w:sz w:val="24"/>
                <w:szCs w:val="24"/>
              </w:rPr>
              <w:t xml:space="preserve">100% </w:t>
            </w:r>
            <w:r>
              <w:rPr>
                <w:rFonts w:hint="eastAsia" w:ascii="宋体" w:hAnsi="宋体" w:cs="宋体"/>
                <w:kern w:val="0"/>
                <w:sz w:val="24"/>
                <w:szCs w:val="24"/>
              </w:rPr>
              <w:t>。</w:t>
            </w:r>
            <w:r>
              <w:rPr>
                <w:rFonts w:ascii="宋体" w:cs="Times New Roman"/>
                <w:kern w:val="0"/>
                <w:sz w:val="24"/>
                <w:szCs w:val="24"/>
              </w:rPr>
              <w:br w:type="textWrapping"/>
            </w:r>
            <w:r>
              <w:rPr>
                <w:rFonts w:hint="eastAsia" w:ascii="宋体" w:hAnsi="宋体" w:cs="宋体"/>
                <w:kern w:val="0"/>
                <w:sz w:val="24"/>
                <w:szCs w:val="24"/>
              </w:rPr>
              <w:t>该指标以</w:t>
            </w:r>
            <w:r>
              <w:rPr>
                <w:rFonts w:ascii="宋体" w:hAnsi="宋体" w:cs="宋体"/>
                <w:kern w:val="0"/>
                <w:sz w:val="24"/>
                <w:szCs w:val="24"/>
              </w:rPr>
              <w:t>2015</w:t>
            </w:r>
            <w:r>
              <w:rPr>
                <w:rFonts w:hint="eastAsia" w:ascii="宋体" w:hAnsi="宋体" w:cs="宋体"/>
                <w:kern w:val="0"/>
                <w:sz w:val="24"/>
                <w:szCs w:val="24"/>
              </w:rPr>
              <w:t>年完工的新建楼堂馆所为评价内容。</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w:t>
            </w:r>
            <w:r>
              <w:rPr>
                <w:rFonts w:ascii="宋体" w:hAnsi="宋体" w:cs="宋体"/>
                <w:kern w:val="0"/>
                <w:sz w:val="24"/>
                <w:szCs w:val="24"/>
              </w:rPr>
              <w:t>5</w:t>
            </w:r>
          </w:p>
        </w:tc>
      </w:tr>
      <w:tr>
        <w:tblPrEx>
          <w:tblCellMar>
            <w:top w:w="0" w:type="dxa"/>
            <w:left w:w="108" w:type="dxa"/>
            <w:bottom w:w="0" w:type="dxa"/>
            <w:right w:w="108" w:type="dxa"/>
          </w:tblCellMar>
        </w:tblPrEx>
        <w:trPr>
          <w:trHeight w:val="1306"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新建楼堂馆所投资概算控制率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楼堂馆所投资预算控制率</w:t>
            </w:r>
            <w:r>
              <w:rPr>
                <w:rFonts w:ascii="宋体" w:hAnsi="宋体" w:cs="宋体"/>
                <w:kern w:val="0"/>
                <w:sz w:val="24"/>
                <w:szCs w:val="24"/>
              </w:rPr>
              <w:t>=</w:t>
            </w:r>
            <w:r>
              <w:rPr>
                <w:rFonts w:hint="eastAsia" w:ascii="宋体" w:hAnsi="宋体" w:cs="宋体"/>
                <w:kern w:val="0"/>
                <w:sz w:val="24"/>
                <w:szCs w:val="24"/>
              </w:rPr>
              <w:t>实际投资金额</w:t>
            </w:r>
            <w:r>
              <w:rPr>
                <w:rFonts w:ascii="宋体" w:hAnsi="宋体" w:cs="宋体"/>
                <w:kern w:val="0"/>
                <w:sz w:val="24"/>
                <w:szCs w:val="24"/>
              </w:rPr>
              <w:t>/</w:t>
            </w:r>
            <w:r>
              <w:rPr>
                <w:rFonts w:hint="eastAsia" w:ascii="宋体" w:hAnsi="宋体" w:cs="宋体"/>
                <w:kern w:val="0"/>
                <w:sz w:val="24"/>
                <w:szCs w:val="24"/>
              </w:rPr>
              <w:t>批准投资金额×</w:t>
            </w:r>
            <w:r>
              <w:rPr>
                <w:rFonts w:ascii="宋体" w:hAnsi="宋体" w:cs="宋体"/>
                <w:kern w:val="0"/>
                <w:sz w:val="24"/>
                <w:szCs w:val="24"/>
              </w:rPr>
              <w:t xml:space="preserve">100% </w:t>
            </w:r>
            <w:r>
              <w:rPr>
                <w:rFonts w:hint="eastAsia" w:ascii="宋体" w:hAnsi="宋体" w:cs="宋体"/>
                <w:kern w:val="0"/>
                <w:sz w:val="24"/>
                <w:szCs w:val="24"/>
              </w:rPr>
              <w:t>。</w:t>
            </w:r>
            <w:r>
              <w:rPr>
                <w:rFonts w:ascii="宋体" w:cs="Times New Roman"/>
                <w:kern w:val="0"/>
                <w:sz w:val="24"/>
                <w:szCs w:val="24"/>
              </w:rPr>
              <w:br w:type="textWrapping"/>
            </w:r>
            <w:r>
              <w:rPr>
                <w:rFonts w:hint="eastAsia" w:ascii="宋体" w:hAnsi="宋体" w:cs="宋体"/>
                <w:kern w:val="0"/>
                <w:sz w:val="24"/>
                <w:szCs w:val="24"/>
              </w:rPr>
              <w:t>该指标以</w:t>
            </w:r>
            <w:r>
              <w:rPr>
                <w:rFonts w:ascii="宋体" w:hAnsi="宋体" w:cs="宋体"/>
                <w:kern w:val="0"/>
                <w:sz w:val="24"/>
                <w:szCs w:val="24"/>
              </w:rPr>
              <w:t>2015</w:t>
            </w:r>
            <w:r>
              <w:rPr>
                <w:rFonts w:hint="eastAsia" w:ascii="宋体" w:hAnsi="宋体" w:cs="宋体"/>
                <w:kern w:val="0"/>
                <w:sz w:val="24"/>
                <w:szCs w:val="24"/>
              </w:rPr>
              <w:t>年完工的新建楼堂馆所为评价内容。</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w:t>
            </w:r>
            <w:r>
              <w:rPr>
                <w:rFonts w:ascii="宋体" w:hAnsi="宋体" w:cs="宋体"/>
                <w:kern w:val="0"/>
                <w:sz w:val="24"/>
                <w:szCs w:val="24"/>
              </w:rPr>
              <w:t>5</w:t>
            </w:r>
          </w:p>
        </w:tc>
      </w:tr>
      <w:tr>
        <w:tblPrEx>
          <w:tblCellMar>
            <w:top w:w="0" w:type="dxa"/>
            <w:left w:w="108" w:type="dxa"/>
            <w:bottom w:w="0" w:type="dxa"/>
            <w:right w:w="108" w:type="dxa"/>
          </w:tblCellMar>
        </w:tblPrEx>
        <w:trPr>
          <w:trHeight w:val="1672"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ascii="宋体" w:hAnsi="宋体" w:cs="宋体"/>
                <w:kern w:val="0"/>
                <w:sz w:val="24"/>
                <w:szCs w:val="24"/>
              </w:rPr>
              <w:t>41</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公用经费控制率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1%</w:t>
            </w:r>
            <w:r>
              <w:rPr>
                <w:rFonts w:hint="eastAsia" w:ascii="宋体" w:hAnsi="宋体" w:cs="宋体"/>
                <w:kern w:val="0"/>
                <w:sz w:val="24"/>
                <w:szCs w:val="24"/>
              </w:rPr>
              <w:t>扣</w:t>
            </w:r>
            <w:r>
              <w:rPr>
                <w:rFonts w:ascii="宋体" w:hAnsi="宋体" w:cs="宋体"/>
                <w:kern w:val="0"/>
                <w:sz w:val="24"/>
                <w:szCs w:val="24"/>
              </w:rPr>
              <w:t>1</w:t>
            </w:r>
            <w:r>
              <w:rPr>
                <w:rFonts w:hint="eastAsia" w:ascii="宋体" w:hAnsi="宋体" w:cs="宋体"/>
                <w:kern w:val="0"/>
                <w:sz w:val="24"/>
                <w:szCs w:val="24"/>
              </w:rPr>
              <w:t>分，扣完为止。</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公用经费控制率</w:t>
            </w:r>
            <w:r>
              <w:rPr>
                <w:rFonts w:ascii="宋体" w:hAnsi="宋体" w:cs="宋体"/>
                <w:kern w:val="0"/>
                <w:sz w:val="24"/>
                <w:szCs w:val="24"/>
              </w:rPr>
              <w:t>=</w:t>
            </w:r>
            <w:r>
              <w:rPr>
                <w:rFonts w:hint="eastAsia" w:ascii="宋体" w:hAnsi="宋体" w:cs="宋体"/>
                <w:kern w:val="0"/>
                <w:sz w:val="24"/>
                <w:szCs w:val="24"/>
              </w:rPr>
              <w:t>（实际支出公用经费总额</w:t>
            </w:r>
            <w:r>
              <w:rPr>
                <w:rFonts w:ascii="宋体" w:hAnsi="宋体" w:cs="宋体"/>
                <w:kern w:val="0"/>
                <w:sz w:val="24"/>
                <w:szCs w:val="24"/>
              </w:rPr>
              <w:t>/</w:t>
            </w:r>
            <w:r>
              <w:rPr>
                <w:rFonts w:hint="eastAsia" w:ascii="宋体" w:hAnsi="宋体" w:cs="宋体"/>
                <w:kern w:val="0"/>
                <w:sz w:val="24"/>
                <w:szCs w:val="24"/>
              </w:rPr>
              <w:t>预算安排公用经费总额）×</w:t>
            </w:r>
            <w:r>
              <w:rPr>
                <w:rFonts w:ascii="宋体" w:hAnsi="宋体" w:cs="宋体"/>
                <w:kern w:val="0"/>
                <w:sz w:val="24"/>
                <w:szCs w:val="24"/>
              </w:rPr>
              <w:t>100%</w:t>
            </w:r>
            <w:r>
              <w:rPr>
                <w:rFonts w:hint="eastAsia" w:ascii="宋体" w:hAnsi="宋体" w:cs="宋体"/>
                <w:kern w:val="0"/>
                <w:sz w:val="24"/>
                <w:szCs w:val="24"/>
              </w:rPr>
              <w:t>。</w:t>
            </w:r>
            <w:r>
              <w:rPr>
                <w:rFonts w:ascii="宋体" w:cs="Times New Roman"/>
                <w:kern w:val="0"/>
                <w:sz w:val="24"/>
                <w:szCs w:val="24"/>
              </w:rPr>
              <w:br w:type="textWrapping"/>
            </w:r>
            <w:r>
              <w:rPr>
                <w:rFonts w:hint="eastAsia" w:ascii="宋体" w:hAnsi="宋体" w:cs="宋体"/>
                <w:kern w:val="0"/>
                <w:sz w:val="24"/>
                <w:szCs w:val="24"/>
              </w:rPr>
              <w:t>公用经费支出是指部门基本支出中的一般商品和服务支出。</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“三公经费”控制率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1%</w:t>
            </w:r>
            <w:r>
              <w:rPr>
                <w:rFonts w:hint="eastAsia" w:ascii="宋体" w:hAnsi="宋体" w:cs="宋体"/>
                <w:kern w:val="0"/>
                <w:sz w:val="24"/>
                <w:szCs w:val="24"/>
              </w:rPr>
              <w:t>扣</w:t>
            </w:r>
            <w:r>
              <w:rPr>
                <w:rFonts w:ascii="宋体" w:hAnsi="宋体" w:cs="宋体"/>
                <w:kern w:val="0"/>
                <w:sz w:val="24"/>
                <w:szCs w:val="24"/>
              </w:rPr>
              <w:t>1</w:t>
            </w:r>
            <w:r>
              <w:rPr>
                <w:rFonts w:hint="eastAsia" w:ascii="宋体" w:hAnsi="宋体" w:cs="宋体"/>
                <w:kern w:val="0"/>
                <w:sz w:val="24"/>
                <w:szCs w:val="24"/>
              </w:rPr>
              <w:t>分，扣完为止。</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“三公经费”控制率</w:t>
            </w:r>
            <w:r>
              <w:rPr>
                <w:rFonts w:ascii="宋体" w:cs="宋体"/>
                <w:kern w:val="0"/>
                <w:sz w:val="24"/>
                <w:szCs w:val="24"/>
              </w:rPr>
              <w:t>-</w:t>
            </w:r>
            <w:r>
              <w:rPr>
                <w:rFonts w:hint="eastAsia" w:ascii="宋体" w:hAnsi="宋体" w:cs="宋体"/>
                <w:kern w:val="0"/>
                <w:sz w:val="24"/>
                <w:szCs w:val="24"/>
              </w:rPr>
              <w:t>（“三公经费”实际支出数</w:t>
            </w:r>
            <w:r>
              <w:rPr>
                <w:rFonts w:ascii="宋体" w:hAnsi="宋体" w:cs="宋体"/>
                <w:kern w:val="0"/>
                <w:sz w:val="24"/>
                <w:szCs w:val="24"/>
              </w:rPr>
              <w:t>/</w:t>
            </w:r>
            <w:r>
              <w:rPr>
                <w:rFonts w:hint="eastAsia" w:ascii="宋体" w:hAnsi="宋体" w:cs="宋体"/>
                <w:kern w:val="0"/>
                <w:sz w:val="24"/>
                <w:szCs w:val="24"/>
              </w:rPr>
              <w:t>“三公经费”预算安排数）×</w:t>
            </w:r>
            <w:r>
              <w:rPr>
                <w:rFonts w:ascii="宋体" w:hAnsi="宋体" w:cs="宋体"/>
                <w:kern w:val="0"/>
                <w:sz w:val="24"/>
                <w:szCs w:val="24"/>
              </w:rPr>
              <w:t>100%</w:t>
            </w:r>
            <w:r>
              <w:rPr>
                <w:rFonts w:hint="eastAsia" w:ascii="宋体" w:hAnsi="宋体" w:cs="宋体"/>
                <w:kern w:val="0"/>
                <w:sz w:val="24"/>
                <w:szCs w:val="24"/>
              </w:rPr>
              <w:t>。</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CellMar>
            <w:top w:w="0" w:type="dxa"/>
            <w:left w:w="108" w:type="dxa"/>
            <w:bottom w:w="0" w:type="dxa"/>
            <w:right w:w="108" w:type="dxa"/>
          </w:tblCellMar>
        </w:tblPrEx>
        <w:trPr>
          <w:trHeight w:val="1085"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政府采购执行率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ascii="宋体" w:hAnsi="宋体" w:cs="宋体"/>
                <w:kern w:val="0"/>
                <w:sz w:val="24"/>
                <w:szCs w:val="24"/>
              </w:rPr>
              <w:t>100%</w:t>
            </w:r>
            <w:r>
              <w:rPr>
                <w:rFonts w:hint="eastAsia" w:ascii="宋体" w:hAnsi="宋体" w:cs="宋体"/>
                <w:kern w:val="0"/>
                <w:sz w:val="24"/>
                <w:szCs w:val="24"/>
              </w:rPr>
              <w:t>计满分，每超过（降低）</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政府采购执行率</w:t>
            </w:r>
            <w:r>
              <w:rPr>
                <w:rFonts w:ascii="宋体" w:hAnsi="宋体" w:cs="宋体"/>
                <w:kern w:val="0"/>
                <w:sz w:val="24"/>
                <w:szCs w:val="24"/>
              </w:rPr>
              <w:t>=</w:t>
            </w:r>
            <w:r>
              <w:rPr>
                <w:rFonts w:hint="eastAsia" w:ascii="宋体" w:hAnsi="宋体" w:cs="宋体"/>
                <w:kern w:val="0"/>
                <w:sz w:val="24"/>
                <w:szCs w:val="24"/>
              </w:rPr>
              <w:t>（实际政府采购金额</w:t>
            </w:r>
            <w:r>
              <w:rPr>
                <w:rFonts w:ascii="宋体" w:hAnsi="宋体" w:cs="宋体"/>
                <w:kern w:val="0"/>
                <w:sz w:val="24"/>
                <w:szCs w:val="24"/>
              </w:rPr>
              <w:t>/</w:t>
            </w:r>
            <w:r>
              <w:rPr>
                <w:rFonts w:hint="eastAsia" w:ascii="宋体" w:hAnsi="宋体" w:cs="宋体"/>
                <w:kern w:val="0"/>
                <w:sz w:val="24"/>
                <w:szCs w:val="24"/>
              </w:rPr>
              <w:t>政府采购预算数）×</w:t>
            </w:r>
            <w:r>
              <w:rPr>
                <w:rFonts w:ascii="宋体" w:hAnsi="宋体" w:cs="宋体"/>
                <w:kern w:val="0"/>
                <w:sz w:val="24"/>
                <w:szCs w:val="24"/>
              </w:rPr>
              <w:t>100%</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5</w:t>
            </w:r>
          </w:p>
        </w:tc>
      </w:tr>
      <w:tr>
        <w:tblPrEx>
          <w:tblCellMar>
            <w:top w:w="0" w:type="dxa"/>
            <w:left w:w="108" w:type="dxa"/>
            <w:bottom w:w="0" w:type="dxa"/>
            <w:right w:w="108" w:type="dxa"/>
          </w:tblCellMar>
        </w:tblPrEx>
        <w:trPr>
          <w:jc w:val="center"/>
        </w:trPr>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宋体" w:cs="Times New Roman"/>
                <w:kern w:val="0"/>
                <w:sz w:val="24"/>
                <w:szCs w:val="24"/>
              </w:rPr>
            </w:pPr>
            <w:r>
              <w:rPr>
                <w:rFonts w:hint="eastAsia" w:ascii="宋体" w:hAnsi="宋体" w:cs="宋体"/>
                <w:kern w:val="0"/>
                <w:sz w:val="24"/>
                <w:szCs w:val="24"/>
              </w:rPr>
              <w:t>过程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宋体" w:cs="Times New Roman"/>
                <w:kern w:val="0"/>
                <w:sz w:val="24"/>
                <w:szCs w:val="24"/>
              </w:rPr>
            </w:pPr>
            <w:r>
              <w:rPr>
                <w:rFonts w:ascii="宋体" w:hAnsi="宋体" w:cs="宋体"/>
                <w:kern w:val="0"/>
                <w:sz w:val="24"/>
                <w:szCs w:val="24"/>
              </w:rPr>
              <w:t>61</w:t>
            </w:r>
          </w:p>
        </w:tc>
        <w:tc>
          <w:tcPr>
            <w:tcW w:w="659" w:type="dxa"/>
            <w:vMerge w:val="restart"/>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管理制度健全性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①有内部财务管理制度、会计核算制度等管理制度，</w:t>
            </w:r>
            <w:r>
              <w:rPr>
                <w:rFonts w:ascii="宋体" w:hAnsi="宋体" w:cs="宋体"/>
                <w:kern w:val="0"/>
                <w:sz w:val="24"/>
                <w:szCs w:val="24"/>
              </w:rPr>
              <w:t>2</w:t>
            </w:r>
            <w:r>
              <w:rPr>
                <w:rFonts w:hint="eastAsia" w:ascii="宋体" w:hAnsi="宋体" w:cs="宋体"/>
                <w:kern w:val="0"/>
                <w:sz w:val="24"/>
                <w:szCs w:val="24"/>
              </w:rPr>
              <w:t>分；</w:t>
            </w:r>
            <w:r>
              <w:rPr>
                <w:rFonts w:ascii="宋体" w:cs="Times New Roman"/>
                <w:kern w:val="0"/>
                <w:sz w:val="24"/>
                <w:szCs w:val="24"/>
              </w:rPr>
              <w:br w:type="textWrapping"/>
            </w:r>
            <w:r>
              <w:rPr>
                <w:rFonts w:hint="eastAsia" w:ascii="宋体" w:hAnsi="宋体" w:cs="宋体"/>
                <w:kern w:val="0"/>
                <w:sz w:val="24"/>
                <w:szCs w:val="24"/>
              </w:rPr>
              <w:t>②有本部门厉行节约制度</w:t>
            </w:r>
            <w:r>
              <w:rPr>
                <w:rFonts w:ascii="宋体" w:hAnsi="宋体" w:cs="宋体"/>
                <w:kern w:val="0"/>
                <w:sz w:val="24"/>
                <w:szCs w:val="24"/>
              </w:rPr>
              <w:t>,2</w:t>
            </w:r>
            <w:r>
              <w:rPr>
                <w:rFonts w:hint="eastAsia" w:ascii="宋体" w:hAnsi="宋体" w:cs="宋体"/>
                <w:kern w:val="0"/>
                <w:sz w:val="24"/>
                <w:szCs w:val="24"/>
              </w:rPr>
              <w:t>分；</w:t>
            </w:r>
            <w:r>
              <w:rPr>
                <w:rFonts w:ascii="宋体" w:cs="Times New Roman"/>
                <w:kern w:val="0"/>
                <w:sz w:val="24"/>
                <w:szCs w:val="24"/>
              </w:rPr>
              <w:br w:type="textWrapping"/>
            </w:r>
            <w:r>
              <w:rPr>
                <w:rFonts w:hint="eastAsia" w:ascii="宋体" w:hAnsi="宋体" w:cs="宋体"/>
                <w:kern w:val="0"/>
                <w:sz w:val="24"/>
                <w:szCs w:val="24"/>
              </w:rPr>
              <w:t>③相关管理制度合法、合规、完整，</w:t>
            </w:r>
            <w:r>
              <w:rPr>
                <w:rFonts w:ascii="宋体" w:hAnsi="宋体" w:cs="宋体"/>
                <w:kern w:val="0"/>
                <w:sz w:val="24"/>
                <w:szCs w:val="24"/>
              </w:rPr>
              <w:t>2</w:t>
            </w:r>
            <w:r>
              <w:rPr>
                <w:rFonts w:hint="eastAsia" w:ascii="宋体" w:hAnsi="宋体" w:cs="宋体"/>
                <w:kern w:val="0"/>
                <w:sz w:val="24"/>
                <w:szCs w:val="24"/>
              </w:rPr>
              <w:t>分；④相关管理制度得到有效执行，</w:t>
            </w:r>
            <w:r>
              <w:rPr>
                <w:rFonts w:ascii="宋体" w:hAnsi="宋体" w:cs="宋体"/>
                <w:kern w:val="0"/>
                <w:sz w:val="24"/>
                <w:szCs w:val="24"/>
              </w:rPr>
              <w:t>2</w:t>
            </w:r>
            <w:r>
              <w:rPr>
                <w:rFonts w:hint="eastAsia" w:ascii="宋体" w:hAnsi="宋体" w:cs="宋体"/>
                <w:kern w:val="0"/>
                <w:sz w:val="24"/>
                <w:szCs w:val="24"/>
              </w:rPr>
              <w:t>分。</w:t>
            </w:r>
          </w:p>
        </w:tc>
        <w:tc>
          <w:tcPr>
            <w:tcW w:w="3239"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　</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ascii="宋体" w:hAnsi="宋体" w:cs="宋体"/>
                <w:kern w:val="0"/>
                <w:sz w:val="24"/>
                <w:szCs w:val="24"/>
              </w:rPr>
              <w:t>8</w:t>
            </w:r>
            <w:r>
              <w:rPr>
                <w:rFonts w:hint="eastAsia" w:ascii="宋体" w:hAnsi="宋体" w:cs="宋体"/>
                <w:kern w:val="0"/>
                <w:sz w:val="24"/>
                <w:szCs w:val="24"/>
              </w:rPr>
              <w:t>　</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资金使用合规性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宋体" w:cs="Times New Roman"/>
                <w:kern w:val="0"/>
                <w:sz w:val="24"/>
                <w:szCs w:val="24"/>
              </w:rPr>
              <w:br w:type="textWrapping"/>
            </w:r>
            <w:r>
              <w:rPr>
                <w:rFonts w:hint="eastAsia" w:ascii="宋体" w:hAnsi="宋体" w:cs="宋体"/>
                <w:kern w:val="0"/>
                <w:sz w:val="24"/>
                <w:szCs w:val="24"/>
              </w:rPr>
              <w:t>以上情况每出现一例不符合要求的扣</w:t>
            </w:r>
            <w:r>
              <w:rPr>
                <w:rFonts w:ascii="宋体" w:hAnsi="宋体" w:cs="宋体"/>
                <w:kern w:val="0"/>
                <w:sz w:val="24"/>
                <w:szCs w:val="24"/>
              </w:rPr>
              <w:t>1</w:t>
            </w:r>
            <w:r>
              <w:rPr>
                <w:rFonts w:hint="eastAsia" w:ascii="宋体" w:hAnsi="宋体" w:cs="宋体"/>
                <w:kern w:val="0"/>
                <w:sz w:val="24"/>
                <w:szCs w:val="24"/>
              </w:rPr>
              <w:t>分，扣完为止。</w:t>
            </w:r>
          </w:p>
        </w:tc>
        <w:tc>
          <w:tcPr>
            <w:tcW w:w="3239"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　</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5</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预决算信息公开性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①按规定内容公开预决算信息，</w:t>
            </w:r>
            <w:r>
              <w:rPr>
                <w:rFonts w:ascii="宋体" w:hAnsi="宋体" w:cs="宋体"/>
                <w:kern w:val="0"/>
                <w:sz w:val="24"/>
                <w:szCs w:val="24"/>
              </w:rPr>
              <w:t>1</w:t>
            </w:r>
            <w:r>
              <w:rPr>
                <w:rFonts w:hint="eastAsia" w:ascii="宋体" w:hAnsi="宋体" w:cs="宋体"/>
                <w:kern w:val="0"/>
                <w:sz w:val="24"/>
                <w:szCs w:val="24"/>
              </w:rPr>
              <w:t>分；②按规定时限公开预决算信息，</w:t>
            </w:r>
            <w:r>
              <w:rPr>
                <w:rFonts w:ascii="宋体" w:hAnsi="宋体" w:cs="宋体"/>
                <w:kern w:val="0"/>
                <w:sz w:val="24"/>
                <w:szCs w:val="24"/>
              </w:rPr>
              <w:t>1</w:t>
            </w:r>
            <w:r>
              <w:rPr>
                <w:rFonts w:hint="eastAsia" w:ascii="宋体" w:hAnsi="宋体" w:cs="宋体"/>
                <w:kern w:val="0"/>
                <w:sz w:val="24"/>
                <w:szCs w:val="24"/>
              </w:rPr>
              <w:t>分；③基础数据信息和会计信息资料真实，</w:t>
            </w:r>
            <w:r>
              <w:rPr>
                <w:rFonts w:ascii="宋体" w:hAnsi="宋体" w:cs="宋体"/>
                <w:kern w:val="0"/>
                <w:sz w:val="24"/>
                <w:szCs w:val="24"/>
              </w:rPr>
              <w:t>1</w:t>
            </w:r>
            <w:r>
              <w:rPr>
                <w:rFonts w:hint="eastAsia" w:ascii="宋体" w:hAnsi="宋体" w:cs="宋体"/>
                <w:kern w:val="0"/>
                <w:sz w:val="24"/>
                <w:szCs w:val="24"/>
              </w:rPr>
              <w:t>分；④基础数据信息和会计信息资料完整，</w:t>
            </w:r>
            <w:r>
              <w:rPr>
                <w:rFonts w:ascii="宋体" w:hAnsi="宋体" w:cs="宋体"/>
                <w:kern w:val="0"/>
                <w:sz w:val="24"/>
                <w:szCs w:val="24"/>
              </w:rPr>
              <w:t>1</w:t>
            </w:r>
            <w:r>
              <w:rPr>
                <w:rFonts w:hint="eastAsia" w:ascii="宋体" w:hAnsi="宋体" w:cs="宋体"/>
                <w:kern w:val="0"/>
                <w:sz w:val="24"/>
                <w:szCs w:val="24"/>
              </w:rPr>
              <w:t>分；⑤基础数据信息和汇集信息资料准确，</w:t>
            </w:r>
            <w:r>
              <w:rPr>
                <w:rFonts w:ascii="宋体" w:hAnsi="宋体" w:cs="宋体"/>
                <w:kern w:val="0"/>
                <w:sz w:val="24"/>
                <w:szCs w:val="24"/>
              </w:rPr>
              <w:t>1</w:t>
            </w:r>
            <w:r>
              <w:rPr>
                <w:rFonts w:hint="eastAsia" w:ascii="宋体" w:hAnsi="宋体" w:cs="宋体"/>
                <w:kern w:val="0"/>
                <w:sz w:val="24"/>
                <w:szCs w:val="24"/>
              </w:rPr>
              <w:t>分。</w:t>
            </w:r>
          </w:p>
        </w:tc>
        <w:tc>
          <w:tcPr>
            <w:tcW w:w="3239"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预决算信息是指与部门预算、执行、决算、监督、绩效等管理相关的信息。</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w:t>
            </w:r>
            <w:r>
              <w:rPr>
                <w:rFonts w:ascii="宋体" w:hAnsi="宋体" w:cs="宋体"/>
                <w:kern w:val="0"/>
                <w:sz w:val="24"/>
                <w:szCs w:val="24"/>
              </w:rPr>
              <w:t>5</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产出及效率</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cs="Times New Roman"/>
                <w:kern w:val="0"/>
                <w:sz w:val="24"/>
                <w:szCs w:val="24"/>
              </w:rPr>
            </w:pPr>
            <w:r>
              <w:rPr>
                <w:rFonts w:ascii="宋体" w:hAnsi="宋体" w:cs="宋体"/>
                <w:kern w:val="0"/>
                <w:sz w:val="24"/>
                <w:szCs w:val="24"/>
              </w:rPr>
              <w:t>26</w:t>
            </w:r>
          </w:p>
        </w:tc>
        <w:tc>
          <w:tcPr>
            <w:tcW w:w="659"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职责履行</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ascii="宋体" w:hAnsi="宋体" w:cs="宋体"/>
                <w:kern w:val="0"/>
                <w:sz w:val="24"/>
                <w:szCs w:val="24"/>
              </w:rPr>
              <w:t>8</w:t>
            </w:r>
          </w:p>
        </w:tc>
        <w:tc>
          <w:tcPr>
            <w:tcW w:w="1074" w:type="dxa"/>
            <w:tcBorders>
              <w:top w:val="nil"/>
              <w:left w:val="nil"/>
              <w:bottom w:val="nil"/>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重点工作实际完成率</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根据绩效办</w:t>
            </w:r>
            <w:r>
              <w:rPr>
                <w:rFonts w:ascii="宋体" w:hAnsi="宋体" w:cs="宋体"/>
                <w:kern w:val="0"/>
                <w:sz w:val="24"/>
                <w:szCs w:val="24"/>
              </w:rPr>
              <w:t>2015</w:t>
            </w:r>
            <w:r>
              <w:rPr>
                <w:rFonts w:hint="eastAsia" w:ascii="宋体" w:hAnsi="宋体" w:cs="宋体"/>
                <w:kern w:val="0"/>
                <w:sz w:val="24"/>
                <w:szCs w:val="24"/>
              </w:rPr>
              <w:t>年对各部门为民办实事和部门重点工程与重点工作考核</w:t>
            </w:r>
          </w:p>
        </w:tc>
        <w:tc>
          <w:tcPr>
            <w:tcW w:w="3239"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　</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履职效益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cs="Times New Roman"/>
                <w:kern w:val="0"/>
                <w:sz w:val="24"/>
                <w:szCs w:val="24"/>
              </w:rPr>
            </w:pPr>
            <w:r>
              <w:rPr>
                <w:rFonts w:ascii="宋体" w:hAnsi="宋体" w:cs="宋体"/>
                <w:kern w:val="0"/>
                <w:sz w:val="24"/>
                <w:szCs w:val="24"/>
              </w:rPr>
              <w:t>6</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经济效益</w:t>
            </w:r>
          </w:p>
        </w:tc>
        <w:tc>
          <w:tcPr>
            <w:tcW w:w="516" w:type="dxa"/>
            <w:vMerge w:val="restart"/>
            <w:tcBorders>
              <w:top w:val="nil"/>
              <w:left w:val="single" w:color="auto" w:sz="4" w:space="0"/>
              <w:bottom w:val="nil"/>
              <w:right w:val="single" w:color="auto" w:sz="4" w:space="0"/>
            </w:tcBorders>
            <w:vAlign w:val="center"/>
          </w:tcPr>
          <w:p>
            <w:pPr>
              <w:widowControl/>
              <w:spacing w:line="280" w:lineRule="exact"/>
              <w:jc w:val="center"/>
              <w:rPr>
                <w:rFonts w:ascii="宋体" w:cs="Times New Roman"/>
                <w:kern w:val="0"/>
                <w:sz w:val="24"/>
                <w:szCs w:val="24"/>
              </w:rPr>
            </w:pPr>
            <w:r>
              <w:rPr>
                <w:rFonts w:ascii="宋体" w:hAnsi="宋体" w:cs="宋体"/>
                <w:kern w:val="0"/>
                <w:sz w:val="24"/>
                <w:szCs w:val="24"/>
              </w:rPr>
              <w:t>6</w:t>
            </w:r>
          </w:p>
        </w:tc>
        <w:tc>
          <w:tcPr>
            <w:tcW w:w="6117"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此两项指标为设置部门整体支出绩效评价指标时必须考虑的共性要素，可根据部门实际情况有选择的进行设置，并将其细化为相应的个性化指标。</w:t>
            </w:r>
          </w:p>
        </w:tc>
        <w:tc>
          <w:tcPr>
            <w:tcW w:w="695" w:type="dxa"/>
            <w:tcBorders>
              <w:top w:val="nil"/>
              <w:left w:val="nil"/>
              <w:bottom w:val="nil"/>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w:t>
            </w:r>
            <w:r>
              <w:rPr>
                <w:rFonts w:ascii="宋体" w:hAnsi="宋体" w:cs="宋体"/>
                <w:kern w:val="0"/>
                <w:sz w:val="24"/>
                <w:szCs w:val="24"/>
              </w:rPr>
              <w:t>3</w:t>
            </w:r>
          </w:p>
        </w:tc>
      </w:tr>
      <w:tr>
        <w:tblPrEx>
          <w:tblCellMar>
            <w:top w:w="0" w:type="dxa"/>
            <w:left w:w="108" w:type="dxa"/>
            <w:bottom w:w="0" w:type="dxa"/>
            <w:right w:w="108" w:type="dxa"/>
          </w:tblCellMar>
        </w:tblPrEx>
        <w:trPr>
          <w:trHeight w:val="758"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社会效益</w:t>
            </w:r>
          </w:p>
        </w:tc>
        <w:tc>
          <w:tcPr>
            <w:tcW w:w="516" w:type="dxa"/>
            <w:vMerge w:val="continue"/>
            <w:tcBorders>
              <w:top w:val="nil"/>
              <w:left w:val="single" w:color="auto" w:sz="4" w:space="0"/>
              <w:bottom w:val="nil"/>
              <w:right w:val="single" w:color="auto" w:sz="4" w:space="0"/>
            </w:tcBorders>
            <w:vAlign w:val="center"/>
          </w:tcPr>
          <w:p>
            <w:pPr>
              <w:widowControl/>
              <w:spacing w:line="280" w:lineRule="exact"/>
              <w:jc w:val="left"/>
              <w:rPr>
                <w:rFonts w:ascii="宋体" w:cs="Times New Roman"/>
                <w:kern w:val="0"/>
                <w:sz w:val="24"/>
                <w:szCs w:val="24"/>
              </w:rPr>
            </w:pPr>
          </w:p>
        </w:tc>
        <w:tc>
          <w:tcPr>
            <w:tcW w:w="6117" w:type="dxa"/>
            <w:gridSpan w:val="2"/>
            <w:vMerge w:val="continue"/>
            <w:tcBorders>
              <w:top w:val="single" w:color="auto" w:sz="4" w:space="0"/>
              <w:left w:val="single" w:color="auto" w:sz="4" w:space="0"/>
              <w:bottom w:val="nil"/>
              <w:right w:val="single" w:color="000000" w:sz="4" w:space="0"/>
            </w:tcBorders>
            <w:vAlign w:val="center"/>
          </w:tcPr>
          <w:p>
            <w:pPr>
              <w:widowControl/>
              <w:spacing w:line="280" w:lineRule="exact"/>
              <w:jc w:val="left"/>
              <w:rPr>
                <w:rFonts w:ascii="宋体" w:cs="Times New Roman"/>
                <w:kern w:val="0"/>
                <w:sz w:val="24"/>
                <w:szCs w:val="24"/>
              </w:rPr>
            </w:pPr>
          </w:p>
        </w:tc>
        <w:tc>
          <w:tcPr>
            <w:tcW w:w="695" w:type="dxa"/>
            <w:tcBorders>
              <w:top w:val="nil"/>
              <w:left w:val="nil"/>
              <w:bottom w:val="nil"/>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w:t>
            </w:r>
            <w:r>
              <w:rPr>
                <w:rFonts w:ascii="宋体" w:hAnsi="宋体" w:cs="宋体"/>
                <w:kern w:val="0"/>
                <w:sz w:val="24"/>
                <w:szCs w:val="24"/>
              </w:rPr>
              <w:t>3</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cs="Times New Roman"/>
                <w:kern w:val="0"/>
                <w:sz w:val="24"/>
                <w:szCs w:val="24"/>
              </w:rPr>
            </w:pPr>
            <w:r>
              <w:rPr>
                <w:rFonts w:ascii="宋体" w:hAnsi="宋体" w:cs="宋体"/>
                <w:kern w:val="0"/>
                <w:sz w:val="24"/>
                <w:szCs w:val="24"/>
              </w:rPr>
              <w:t>12</w:t>
            </w: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ascii="宋体" w:hAnsi="宋体" w:cs="宋体"/>
                <w:kern w:val="0"/>
                <w:sz w:val="24"/>
                <w:szCs w:val="24"/>
              </w:rPr>
              <w:t>6</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促进部门改进文风会风，加强经费及资产管理，推动网上办事，提高行政效率，降低行政成本效果较好的计</w:t>
            </w:r>
            <w:r>
              <w:rPr>
                <w:rFonts w:ascii="宋体" w:hAnsi="宋体" w:cs="宋体"/>
                <w:kern w:val="0"/>
                <w:sz w:val="24"/>
                <w:szCs w:val="24"/>
              </w:rPr>
              <w:t>6</w:t>
            </w:r>
            <w:r>
              <w:rPr>
                <w:rFonts w:hint="eastAsia" w:ascii="宋体" w:hAnsi="宋体" w:cs="宋体"/>
                <w:kern w:val="0"/>
                <w:sz w:val="24"/>
                <w:szCs w:val="24"/>
              </w:rPr>
              <w:t>分；一般</w:t>
            </w:r>
            <w:r>
              <w:rPr>
                <w:rFonts w:ascii="宋体" w:hAnsi="宋体" w:cs="宋体"/>
                <w:kern w:val="0"/>
                <w:sz w:val="24"/>
                <w:szCs w:val="24"/>
              </w:rPr>
              <w:t>3</w:t>
            </w:r>
            <w:r>
              <w:rPr>
                <w:rFonts w:hint="eastAsia" w:ascii="宋体" w:hAnsi="宋体" w:cs="宋体"/>
                <w:kern w:val="0"/>
                <w:sz w:val="24"/>
                <w:szCs w:val="24"/>
              </w:rPr>
              <w:t>分；无效果或者效果不明显</w:t>
            </w:r>
            <w:r>
              <w:rPr>
                <w:rFonts w:ascii="宋体" w:cs="宋体"/>
                <w:kern w:val="0"/>
                <w:sz w:val="24"/>
                <w:szCs w:val="24"/>
              </w:rPr>
              <w:t>0</w:t>
            </w:r>
            <w:r>
              <w:rPr>
                <w:rFonts w:hint="eastAsia" w:ascii="宋体" w:hAnsi="宋体" w:cs="宋体"/>
                <w:kern w:val="0"/>
                <w:sz w:val="24"/>
                <w:szCs w:val="24"/>
              </w:rPr>
              <w:t>分。</w:t>
            </w:r>
          </w:p>
        </w:tc>
        <w:tc>
          <w:tcPr>
            <w:tcW w:w="3239"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根据部门自评材料评定。</w:t>
            </w:r>
          </w:p>
        </w:tc>
        <w:tc>
          <w:tcPr>
            <w:tcW w:w="695"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ascii="宋体" w:hAnsi="宋体" w:cs="宋体"/>
                <w:kern w:val="0"/>
                <w:sz w:val="24"/>
                <w:szCs w:val="24"/>
              </w:rPr>
              <w:t>90%</w:t>
            </w:r>
            <w:r>
              <w:rPr>
                <w:rFonts w:hint="eastAsia" w:ascii="宋体" w:hAnsi="宋体" w:cs="宋体"/>
                <w:kern w:val="0"/>
                <w:sz w:val="24"/>
                <w:szCs w:val="24"/>
              </w:rPr>
              <w:t>（含）以上计</w:t>
            </w:r>
            <w:r>
              <w:rPr>
                <w:rFonts w:ascii="宋体" w:hAnsi="宋体" w:cs="宋体"/>
                <w:kern w:val="0"/>
                <w:sz w:val="24"/>
                <w:szCs w:val="24"/>
              </w:rPr>
              <w:t>6</w:t>
            </w:r>
            <w:r>
              <w:rPr>
                <w:rFonts w:hint="eastAsia" w:ascii="宋体" w:hAnsi="宋体" w:cs="宋体"/>
                <w:kern w:val="0"/>
                <w:sz w:val="24"/>
                <w:szCs w:val="24"/>
              </w:rPr>
              <w:t>分；</w:t>
            </w:r>
            <w:r>
              <w:rPr>
                <w:rFonts w:ascii="宋体" w:cs="Times New Roman"/>
                <w:kern w:val="0"/>
                <w:sz w:val="24"/>
                <w:szCs w:val="24"/>
              </w:rPr>
              <w:br w:type="textWrapping"/>
            </w:r>
            <w:r>
              <w:rPr>
                <w:rFonts w:ascii="宋体" w:hAnsi="宋体" w:cs="宋体"/>
                <w:kern w:val="0"/>
                <w:sz w:val="24"/>
                <w:szCs w:val="24"/>
              </w:rPr>
              <w:t>80%</w:t>
            </w:r>
            <w:r>
              <w:rPr>
                <w:rFonts w:hint="eastAsia" w:ascii="宋体" w:hAnsi="宋体" w:cs="宋体"/>
                <w:kern w:val="0"/>
                <w:sz w:val="24"/>
                <w:szCs w:val="24"/>
              </w:rPr>
              <w:t>（含）</w:t>
            </w:r>
            <w:r>
              <w:rPr>
                <w:rFonts w:ascii="宋体" w:hAnsi="宋体" w:cs="宋体"/>
                <w:kern w:val="0"/>
                <w:sz w:val="24"/>
                <w:szCs w:val="24"/>
              </w:rPr>
              <w:t>-90%</w:t>
            </w:r>
            <w:r>
              <w:rPr>
                <w:rFonts w:hint="eastAsia" w:ascii="宋体" w:hAnsi="宋体" w:cs="宋体"/>
                <w:kern w:val="0"/>
                <w:sz w:val="24"/>
                <w:szCs w:val="24"/>
              </w:rPr>
              <w:t>，计</w:t>
            </w:r>
            <w:r>
              <w:rPr>
                <w:rFonts w:ascii="宋体" w:hAnsi="宋体" w:cs="宋体"/>
                <w:kern w:val="0"/>
                <w:sz w:val="24"/>
                <w:szCs w:val="24"/>
              </w:rPr>
              <w:t>4</w:t>
            </w:r>
            <w:r>
              <w:rPr>
                <w:rFonts w:hint="eastAsia" w:ascii="宋体" w:hAnsi="宋体" w:cs="宋体"/>
                <w:kern w:val="0"/>
                <w:sz w:val="24"/>
                <w:szCs w:val="24"/>
              </w:rPr>
              <w:t>分；</w:t>
            </w:r>
            <w:r>
              <w:rPr>
                <w:rFonts w:ascii="宋体" w:cs="Times New Roman"/>
                <w:kern w:val="0"/>
                <w:sz w:val="24"/>
                <w:szCs w:val="24"/>
              </w:rPr>
              <w:br w:type="textWrapping"/>
            </w:r>
            <w:r>
              <w:rPr>
                <w:rFonts w:ascii="宋体" w:hAnsi="宋体" w:cs="宋体"/>
                <w:kern w:val="0"/>
                <w:sz w:val="24"/>
                <w:szCs w:val="24"/>
              </w:rPr>
              <w:t>70%</w:t>
            </w:r>
            <w:r>
              <w:rPr>
                <w:rFonts w:hint="eastAsia" w:ascii="宋体" w:hAnsi="宋体" w:cs="宋体"/>
                <w:kern w:val="0"/>
                <w:sz w:val="24"/>
                <w:szCs w:val="24"/>
              </w:rPr>
              <w:t>（含）</w:t>
            </w:r>
            <w:r>
              <w:rPr>
                <w:rFonts w:ascii="宋体" w:hAnsi="宋体" w:cs="宋体"/>
                <w:kern w:val="0"/>
                <w:sz w:val="24"/>
                <w:szCs w:val="24"/>
              </w:rPr>
              <w:t>-80%</w:t>
            </w:r>
            <w:r>
              <w:rPr>
                <w:rFonts w:hint="eastAsia" w:ascii="宋体" w:hAnsi="宋体" w:cs="宋体"/>
                <w:kern w:val="0"/>
                <w:sz w:val="24"/>
                <w:szCs w:val="24"/>
              </w:rPr>
              <w:t>，计</w:t>
            </w:r>
            <w:r>
              <w:rPr>
                <w:rFonts w:ascii="宋体" w:hAnsi="宋体" w:cs="宋体"/>
                <w:kern w:val="0"/>
                <w:sz w:val="24"/>
                <w:szCs w:val="24"/>
              </w:rPr>
              <w:t>2</w:t>
            </w:r>
            <w:r>
              <w:rPr>
                <w:rFonts w:hint="eastAsia" w:ascii="宋体" w:hAnsi="宋体" w:cs="宋体"/>
                <w:kern w:val="0"/>
                <w:sz w:val="24"/>
                <w:szCs w:val="24"/>
              </w:rPr>
              <w:t>分；</w:t>
            </w:r>
            <w:r>
              <w:rPr>
                <w:rFonts w:ascii="宋体" w:cs="Times New Roman"/>
                <w:kern w:val="0"/>
                <w:sz w:val="24"/>
                <w:szCs w:val="24"/>
              </w:rPr>
              <w:br w:type="textWrapping"/>
            </w:r>
            <w:r>
              <w:rPr>
                <w:rFonts w:hint="eastAsia" w:ascii="宋体" w:hAnsi="宋体" w:cs="宋体"/>
                <w:kern w:val="0"/>
                <w:sz w:val="24"/>
                <w:szCs w:val="24"/>
              </w:rPr>
              <w:t>低于</w:t>
            </w:r>
            <w:r>
              <w:rPr>
                <w:rFonts w:ascii="宋体" w:hAnsi="宋体" w:cs="宋体"/>
                <w:kern w:val="0"/>
                <w:sz w:val="24"/>
                <w:szCs w:val="24"/>
              </w:rPr>
              <w:t>70%</w:t>
            </w:r>
            <w:r>
              <w:rPr>
                <w:rFonts w:hint="eastAsia" w:ascii="宋体" w:hAnsi="宋体" w:cs="宋体"/>
                <w:kern w:val="0"/>
                <w:sz w:val="24"/>
                <w:szCs w:val="24"/>
              </w:rPr>
              <w:t>计</w:t>
            </w:r>
            <w:r>
              <w:rPr>
                <w:rFonts w:ascii="宋体" w:cs="宋体"/>
                <w:kern w:val="0"/>
                <w:sz w:val="24"/>
                <w:szCs w:val="24"/>
              </w:rPr>
              <w:t>0</w:t>
            </w:r>
            <w:r>
              <w:rPr>
                <w:rFonts w:hint="eastAsia" w:ascii="宋体" w:hAnsi="宋体" w:cs="宋体"/>
                <w:kern w:val="0"/>
                <w:sz w:val="24"/>
                <w:szCs w:val="24"/>
              </w:rPr>
              <w:t>分。</w:t>
            </w:r>
          </w:p>
        </w:tc>
        <w:tc>
          <w:tcPr>
            <w:tcW w:w="3239"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社会公众或服务对象是指部门（单位）履行职责而影响到的部门、群体或个人，一般采取社会调查的方式。</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cs="Times New Roman"/>
                <w:kern w:val="0"/>
                <w:sz w:val="18"/>
                <w:szCs w:val="18"/>
              </w:rPr>
            </w:pPr>
            <w:r>
              <w:rPr>
                <w:rFonts w:ascii="宋体" w:hAnsi="宋体" w:cs="宋体"/>
                <w:kern w:val="0"/>
                <w:sz w:val="18"/>
                <w:szCs w:val="18"/>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cs="Times New Roman"/>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cs="Times New Roman"/>
                <w:kern w:val="0"/>
                <w:sz w:val="18"/>
                <w:szCs w:val="18"/>
              </w:rPr>
            </w:pPr>
            <w:r>
              <w:rPr>
                <w:rFonts w:ascii="宋体" w:hAnsi="宋体" w:cs="宋体"/>
                <w:kern w:val="0"/>
                <w:sz w:val="18"/>
                <w:szCs w:val="18"/>
              </w:rPr>
              <w:t>100</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cs="Times New Roman"/>
                <w:kern w:val="0"/>
                <w:sz w:val="18"/>
                <w:szCs w:val="18"/>
              </w:rPr>
            </w:pP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cs="Times New Roman"/>
                <w:kern w:val="0"/>
                <w:sz w:val="18"/>
                <w:szCs w:val="18"/>
              </w:rPr>
            </w:pPr>
            <w:r>
              <w:rPr>
                <w:rFonts w:ascii="宋体" w:hAnsi="宋体" w:cs="宋体"/>
                <w:kern w:val="0"/>
                <w:sz w:val="18"/>
                <w:szCs w:val="18"/>
              </w:rPr>
              <w:t>100</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p>
        </w:tc>
        <w:tc>
          <w:tcPr>
            <w:tcW w:w="3239"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p>
        </w:tc>
        <w:tc>
          <w:tcPr>
            <w:tcW w:w="695"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cs="Times New Roman"/>
                <w:kern w:val="0"/>
              </w:rPr>
            </w:pPr>
            <w:r>
              <w:rPr>
                <w:rFonts w:ascii="宋体" w:hAnsi="宋体" w:cs="宋体"/>
                <w:kern w:val="0"/>
              </w:rPr>
              <w:t>9</w:t>
            </w:r>
            <w:r>
              <w:rPr>
                <w:rFonts w:hint="eastAsia" w:ascii="宋体" w:hAnsi="宋体" w:cs="宋体"/>
                <w:kern w:val="0"/>
              </w:rPr>
              <w:t>8.5</w:t>
            </w:r>
          </w:p>
        </w:tc>
      </w:tr>
    </w:tbl>
    <w:p>
      <w:pPr>
        <w:spacing w:line="560" w:lineRule="exact"/>
        <w:jc w:val="center"/>
        <w:rPr>
          <w:rFonts w:ascii="宋体" w:cs="Times New Roman"/>
          <w:b/>
          <w:bCs/>
          <w:kern w:val="0"/>
          <w:sz w:val="30"/>
          <w:szCs w:val="30"/>
        </w:rPr>
      </w:pPr>
    </w:p>
    <w:p>
      <w:pPr>
        <w:spacing w:line="560" w:lineRule="exact"/>
        <w:jc w:val="center"/>
        <w:rPr>
          <w:rFonts w:ascii="宋体" w:cs="Times New Roman"/>
          <w:b/>
          <w:bCs/>
          <w:kern w:val="0"/>
          <w:sz w:val="30"/>
          <w:szCs w:val="30"/>
        </w:rPr>
      </w:pPr>
    </w:p>
    <w:p>
      <w:pPr>
        <w:spacing w:line="560" w:lineRule="exact"/>
        <w:jc w:val="center"/>
        <w:rPr>
          <w:rFonts w:ascii="宋体" w:cs="Times New Roman"/>
          <w:b/>
          <w:bCs/>
          <w:kern w:val="0"/>
          <w:sz w:val="30"/>
          <w:szCs w:val="30"/>
        </w:rPr>
      </w:pPr>
    </w:p>
    <w:p>
      <w:pPr>
        <w:spacing w:line="560" w:lineRule="exact"/>
        <w:jc w:val="center"/>
        <w:rPr>
          <w:rFonts w:ascii="宋体" w:cs="Times New Roman"/>
          <w:b/>
          <w:bCs/>
          <w:kern w:val="0"/>
          <w:sz w:val="30"/>
          <w:szCs w:val="30"/>
        </w:rPr>
      </w:pPr>
    </w:p>
    <w:p>
      <w:pPr>
        <w:spacing w:line="560" w:lineRule="exact"/>
        <w:jc w:val="center"/>
        <w:rPr>
          <w:rFonts w:ascii="宋体" w:cs="Times New Roman"/>
          <w:b/>
          <w:bCs/>
          <w:kern w:val="0"/>
          <w:sz w:val="30"/>
          <w:szCs w:val="30"/>
        </w:rPr>
      </w:pPr>
    </w:p>
    <w:p>
      <w:pPr>
        <w:spacing w:line="560" w:lineRule="exact"/>
        <w:jc w:val="center"/>
        <w:rPr>
          <w:rFonts w:ascii="宋体" w:cs="Times New Roman"/>
          <w:b/>
          <w:bCs/>
          <w:kern w:val="0"/>
          <w:sz w:val="30"/>
          <w:szCs w:val="30"/>
        </w:rPr>
      </w:pPr>
    </w:p>
    <w:p>
      <w:pPr>
        <w:spacing w:line="560" w:lineRule="exact"/>
        <w:jc w:val="center"/>
        <w:rPr>
          <w:rFonts w:ascii="宋体" w:cs="Times New Roman"/>
          <w:b/>
          <w:bCs/>
          <w:kern w:val="0"/>
          <w:sz w:val="30"/>
          <w:szCs w:val="30"/>
        </w:rPr>
      </w:pPr>
    </w:p>
    <w:p>
      <w:pPr>
        <w:spacing w:line="560" w:lineRule="exact"/>
        <w:jc w:val="center"/>
        <w:rPr>
          <w:rFonts w:ascii="宋体"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ind w:firstLine="640" w:firstLineChars="200"/>
        <w:jc w:val="left"/>
        <w:rPr>
          <w:rFonts w:ascii="宋体" w:cs="Times New Roman"/>
          <w:color w:val="000000"/>
          <w:kern w:val="0"/>
          <w:sz w:val="32"/>
          <w:szCs w:val="32"/>
        </w:rPr>
      </w:pPr>
    </w:p>
    <w:p>
      <w:pPr>
        <w:ind w:firstLine="640" w:firstLineChars="200"/>
        <w:jc w:val="left"/>
        <w:rPr>
          <w:rFonts w:ascii="宋体" w:cs="Times New Roman"/>
          <w:color w:val="000000"/>
          <w:kern w:val="0"/>
          <w:sz w:val="32"/>
          <w:szCs w:val="32"/>
        </w:rPr>
      </w:pPr>
    </w:p>
    <w:p>
      <w:pPr>
        <w:ind w:firstLine="640" w:firstLineChars="200"/>
        <w:jc w:val="left"/>
        <w:rPr>
          <w:rFonts w:ascii="宋体" w:cs="Times New Roman"/>
          <w:color w:val="000000"/>
          <w:kern w:val="0"/>
          <w:sz w:val="32"/>
          <w:szCs w:val="32"/>
        </w:rPr>
      </w:pPr>
    </w:p>
    <w:p>
      <w:pPr>
        <w:ind w:firstLine="640" w:firstLineChars="200"/>
        <w:jc w:val="left"/>
        <w:rPr>
          <w:rFonts w:ascii="宋体" w:cs="Times New Roman"/>
          <w:color w:val="000000"/>
          <w:kern w:val="0"/>
          <w:sz w:val="32"/>
          <w:szCs w:val="32"/>
        </w:rPr>
      </w:pPr>
    </w:p>
    <w:p>
      <w:pPr>
        <w:ind w:firstLine="640" w:firstLineChars="200"/>
        <w:jc w:val="left"/>
        <w:rPr>
          <w:rFonts w:ascii="宋体" w:cs="Times New Roman"/>
          <w:color w:val="000000"/>
          <w:kern w:val="0"/>
          <w:sz w:val="32"/>
          <w:szCs w:val="32"/>
        </w:rPr>
      </w:pPr>
    </w:p>
    <w:p>
      <w:pPr>
        <w:ind w:firstLine="640" w:firstLineChars="200"/>
        <w:jc w:val="left"/>
        <w:rPr>
          <w:rFonts w:ascii="宋体" w:cs="Times New Roman"/>
          <w:color w:val="000000"/>
          <w:kern w:val="0"/>
          <w:sz w:val="32"/>
          <w:szCs w:val="32"/>
        </w:rPr>
      </w:pPr>
    </w:p>
    <w:p>
      <w:pPr>
        <w:ind w:firstLine="640" w:firstLineChars="200"/>
        <w:jc w:val="left"/>
        <w:rPr>
          <w:rFonts w:ascii="宋体" w:cs="Times New Roman"/>
          <w:color w:val="00000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ZkY2IxY2U3NzVjM2I5YTZkNWI5MmM0OGU0MjY1YmIifQ=="/>
  </w:docVars>
  <w:rsids>
    <w:rsidRoot w:val="009672B9"/>
    <w:rsid w:val="000C58AD"/>
    <w:rsid w:val="00135680"/>
    <w:rsid w:val="002A0AB4"/>
    <w:rsid w:val="002D3951"/>
    <w:rsid w:val="002D3E70"/>
    <w:rsid w:val="00432E90"/>
    <w:rsid w:val="00443DEF"/>
    <w:rsid w:val="004B5CD1"/>
    <w:rsid w:val="00507D6A"/>
    <w:rsid w:val="005E486B"/>
    <w:rsid w:val="006957B0"/>
    <w:rsid w:val="006C0126"/>
    <w:rsid w:val="00780891"/>
    <w:rsid w:val="008A5F0D"/>
    <w:rsid w:val="008B516A"/>
    <w:rsid w:val="00940255"/>
    <w:rsid w:val="009672B9"/>
    <w:rsid w:val="00983553"/>
    <w:rsid w:val="009901E8"/>
    <w:rsid w:val="009D6811"/>
    <w:rsid w:val="009E12FC"/>
    <w:rsid w:val="00A002A1"/>
    <w:rsid w:val="00A60E66"/>
    <w:rsid w:val="00AC6559"/>
    <w:rsid w:val="00AD514D"/>
    <w:rsid w:val="00BA6C9E"/>
    <w:rsid w:val="00D0035D"/>
    <w:rsid w:val="00D64060"/>
    <w:rsid w:val="00E21741"/>
    <w:rsid w:val="00E341D8"/>
    <w:rsid w:val="00F97BE9"/>
    <w:rsid w:val="00FC18EF"/>
    <w:rsid w:val="504D7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Calibri"/>
      <w:sz w:val="18"/>
      <w:szCs w:val="18"/>
    </w:rPr>
  </w:style>
  <w:style w:type="character" w:customStyle="1" w:styleId="7">
    <w:name w:val="页脚 Char"/>
    <w:basedOn w:val="5"/>
    <w:link w:val="2"/>
    <w:semiHidden/>
    <w:qFormat/>
    <w:uiPriority w:val="99"/>
    <w:rPr>
      <w:rFonts w:ascii="Calibri" w:hAnsi="Calibri" w:eastAsia="宋体" w:cs="Calibri"/>
      <w:sz w:val="18"/>
      <w:szCs w:val="18"/>
    </w:rPr>
  </w:style>
  <w:style w:type="paragraph" w:customStyle="1" w:styleId="8">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customStyle="1" w:styleId="9">
    <w:name w:val="正文2"/>
    <w:basedOn w:val="1"/>
    <w:qFormat/>
    <w:uiPriority w:val="0"/>
    <w:rPr>
      <w:rFonts w:ascii="Times New Roman" w:hAnsi="Times New Roman" w:eastAsia="仿宋_GB2312" w:cs="Times New Roman"/>
      <w:sz w:val="3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3351</Words>
  <Characters>3629</Characters>
  <Lines>27</Lines>
  <Paragraphs>7</Paragraphs>
  <TotalTime>38</TotalTime>
  <ScaleCrop>false</ScaleCrop>
  <LinksUpToDate>false</LinksUpToDate>
  <CharactersWithSpaces>3654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2021-08-12T14:16:00Z</dcterms:created>
  <dc:creator>LXLJ169</dc:creator>
  <cp:lastModifiedBy>陈木沐</cp:lastModifiedBy>
  <dcterms:modified xsi:type="dcterms:W3CDTF">2023-05-31T07:04:30Z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CD486936C9234322ADE551C4965766FF_12</vt:lpwstr>
  </property>
</Properties>
</file>