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rPr>
        <w:t>澧县民政局</w:t>
      </w:r>
      <w:r>
        <w:rPr>
          <w:rFonts w:ascii="Times New Roman" w:hAnsi="Times New Roman" w:eastAsiaTheme="majorEastAsia"/>
          <w:b/>
          <w:kern w:val="0"/>
          <w:sz w:val="44"/>
          <w:szCs w:val="44"/>
        </w:rPr>
        <w:t>部门整体支出绩效报告</w:t>
      </w:r>
    </w:p>
    <w:p>
      <w:pPr>
        <w:widowControl/>
        <w:spacing w:line="700" w:lineRule="exact"/>
        <w:ind w:firstLine="640"/>
        <w:rPr>
          <w:rFonts w:ascii="Times New Roman" w:hAnsi="Times New Roman" w:eastAsia="仿宋_GB2312"/>
          <w:color w:val="222222"/>
          <w:kern w:val="0"/>
          <w:sz w:val="32"/>
          <w:szCs w:val="32"/>
        </w:rPr>
      </w:pPr>
    </w:p>
    <w:p>
      <w:pPr>
        <w:widowControl/>
        <w:spacing w:line="700" w:lineRule="exact"/>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numPr>
          <w:ilvl w:val="0"/>
          <w:numId w:val="1"/>
        </w:numPr>
        <w:spacing w:line="700" w:lineRule="exact"/>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机构、人员构成</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我单位是归属财政社保口的独立核算一级预算单位，执行行政会计制度，行政编制</w:t>
      </w:r>
      <w:r>
        <w:rPr>
          <w:rFonts w:hint="eastAsia" w:ascii="仿宋_GB2312" w:eastAsia="仿宋_GB2312"/>
          <w:color w:val="000000" w:themeColor="text1"/>
          <w:sz w:val="32"/>
          <w:szCs w:val="32"/>
          <w:lang w:val="en-US" w:eastAsia="zh-CN"/>
        </w:rPr>
        <w:t>14</w:t>
      </w:r>
      <w:r>
        <w:rPr>
          <w:rFonts w:hint="eastAsia" w:ascii="仿宋_GB2312" w:eastAsia="仿宋_GB2312"/>
          <w:color w:val="000000" w:themeColor="text1"/>
          <w:sz w:val="32"/>
          <w:szCs w:val="32"/>
        </w:rPr>
        <w:t>个，在职</w:t>
      </w:r>
      <w:r>
        <w:rPr>
          <w:rFonts w:hint="eastAsia" w:ascii="仿宋_GB2312" w:eastAsia="仿宋_GB2312"/>
          <w:color w:val="000000" w:themeColor="text1"/>
          <w:sz w:val="32"/>
          <w:szCs w:val="32"/>
          <w:lang w:val="en-US" w:eastAsia="zh-CN"/>
        </w:rPr>
        <w:t>25</w:t>
      </w:r>
      <w:r>
        <w:rPr>
          <w:rFonts w:hint="eastAsia" w:ascii="仿宋_GB2312" w:eastAsia="仿宋_GB2312"/>
          <w:color w:val="000000" w:themeColor="text1"/>
          <w:sz w:val="32"/>
          <w:szCs w:val="32"/>
        </w:rPr>
        <w:t>人，下设民政局二级机构以及下属单位</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个</w:t>
      </w:r>
      <w:r>
        <w:rPr>
          <w:rFonts w:hint="eastAsia" w:ascii="仿宋_GB2312" w:eastAsia="仿宋_GB2312"/>
          <w:color w:val="000000" w:themeColor="text1"/>
          <w:sz w:val="32"/>
          <w:szCs w:val="32"/>
          <w:lang w:val="en-US" w:eastAsia="zh-CN"/>
        </w:rPr>
        <w:t>,</w:t>
      </w:r>
      <w:r>
        <w:rPr>
          <w:rFonts w:hint="eastAsia" w:eastAsia="仿宋_GB2312" w:cs="仿宋_GB2312"/>
          <w:color w:val="auto"/>
          <w:sz w:val="32"/>
          <w:szCs w:val="32"/>
        </w:rPr>
        <w:t>即：澧县民政局（二级机构）、澧县殡葬管理所、澧县福利院、澧县社会救助事务管理中心、澧县殡仪馆。澧县民政局二级机构现有人员编制</w:t>
      </w:r>
      <w:r>
        <w:rPr>
          <w:rFonts w:eastAsia="仿宋_GB2312"/>
          <w:color w:val="auto"/>
          <w:sz w:val="32"/>
          <w:szCs w:val="32"/>
        </w:rPr>
        <w:t xml:space="preserve">17 </w:t>
      </w:r>
      <w:r>
        <w:rPr>
          <w:rFonts w:hint="eastAsia" w:eastAsia="仿宋_GB2312" w:cs="仿宋_GB2312"/>
          <w:color w:val="auto"/>
          <w:sz w:val="32"/>
          <w:szCs w:val="32"/>
        </w:rPr>
        <w:t>名，实有在职人员</w:t>
      </w:r>
      <w:r>
        <w:rPr>
          <w:rFonts w:eastAsia="仿宋_GB2312"/>
          <w:color w:val="auto"/>
          <w:sz w:val="32"/>
          <w:szCs w:val="32"/>
        </w:rPr>
        <w:t>19</w:t>
      </w:r>
      <w:r>
        <w:rPr>
          <w:rFonts w:hint="eastAsia" w:eastAsia="仿宋_GB2312" w:cs="仿宋_GB2312"/>
          <w:color w:val="auto"/>
          <w:sz w:val="32"/>
          <w:szCs w:val="32"/>
        </w:rPr>
        <w:t>人。澧县殡葬管理所现有人员编制</w:t>
      </w:r>
      <w:r>
        <w:rPr>
          <w:rFonts w:eastAsia="仿宋_GB2312"/>
          <w:color w:val="auto"/>
          <w:sz w:val="32"/>
          <w:szCs w:val="32"/>
        </w:rPr>
        <w:t xml:space="preserve">11 </w:t>
      </w:r>
      <w:r>
        <w:rPr>
          <w:rFonts w:hint="eastAsia" w:eastAsia="仿宋_GB2312" w:cs="仿宋_GB2312"/>
          <w:color w:val="auto"/>
          <w:sz w:val="32"/>
          <w:szCs w:val="32"/>
        </w:rPr>
        <w:t>名，实有在职人员</w:t>
      </w:r>
      <w:r>
        <w:rPr>
          <w:rFonts w:hint="eastAsia" w:eastAsia="仿宋_GB2312"/>
          <w:color w:val="auto"/>
          <w:sz w:val="32"/>
          <w:szCs w:val="32"/>
          <w:lang w:val="en-US" w:eastAsia="zh-CN"/>
        </w:rPr>
        <w:t>11</w:t>
      </w:r>
      <w:r>
        <w:rPr>
          <w:rFonts w:hint="eastAsia" w:eastAsia="仿宋_GB2312" w:cs="仿宋_GB2312"/>
          <w:color w:val="auto"/>
          <w:sz w:val="32"/>
          <w:szCs w:val="32"/>
        </w:rPr>
        <w:t>人，车辆编制</w:t>
      </w:r>
      <w:r>
        <w:rPr>
          <w:rFonts w:eastAsia="仿宋_GB2312"/>
          <w:color w:val="auto"/>
          <w:sz w:val="32"/>
          <w:szCs w:val="32"/>
        </w:rPr>
        <w:t xml:space="preserve">1 </w:t>
      </w:r>
      <w:r>
        <w:rPr>
          <w:rFonts w:hint="eastAsia" w:eastAsia="仿宋_GB2312" w:cs="仿宋_GB2312"/>
          <w:color w:val="auto"/>
          <w:sz w:val="32"/>
          <w:szCs w:val="32"/>
        </w:rPr>
        <w:t>台。澧县福利院现有人员编制</w:t>
      </w:r>
      <w:r>
        <w:rPr>
          <w:rFonts w:eastAsia="仿宋_GB2312"/>
          <w:color w:val="auto"/>
          <w:sz w:val="32"/>
          <w:szCs w:val="32"/>
        </w:rPr>
        <w:t>6</w:t>
      </w:r>
      <w:r>
        <w:rPr>
          <w:rFonts w:hint="eastAsia" w:eastAsia="仿宋_GB2312" w:cs="仿宋_GB2312"/>
          <w:color w:val="auto"/>
          <w:sz w:val="32"/>
          <w:szCs w:val="32"/>
        </w:rPr>
        <w:t>名，实有在职人员</w:t>
      </w:r>
      <w:r>
        <w:rPr>
          <w:rFonts w:eastAsia="仿宋_GB2312"/>
          <w:color w:val="auto"/>
          <w:sz w:val="32"/>
          <w:szCs w:val="32"/>
        </w:rPr>
        <w:t>8</w:t>
      </w:r>
      <w:r>
        <w:rPr>
          <w:rFonts w:hint="eastAsia" w:eastAsia="仿宋_GB2312" w:cs="仿宋_GB2312"/>
          <w:color w:val="auto"/>
          <w:sz w:val="32"/>
          <w:szCs w:val="32"/>
        </w:rPr>
        <w:t>人。澧县社会救助事务中心现有人员编制</w:t>
      </w:r>
      <w:r>
        <w:rPr>
          <w:rFonts w:hint="eastAsia" w:eastAsia="仿宋_GB2312"/>
          <w:color w:val="auto"/>
          <w:sz w:val="32"/>
          <w:szCs w:val="32"/>
          <w:lang w:val="en-US" w:eastAsia="zh-CN"/>
        </w:rPr>
        <w:t>11</w:t>
      </w:r>
      <w:r>
        <w:rPr>
          <w:rFonts w:hint="eastAsia" w:eastAsia="仿宋_GB2312" w:cs="仿宋_GB2312"/>
          <w:color w:val="auto"/>
          <w:sz w:val="32"/>
          <w:szCs w:val="32"/>
        </w:rPr>
        <w:t>名，实有在职人员</w:t>
      </w:r>
      <w:r>
        <w:rPr>
          <w:rFonts w:eastAsia="仿宋_GB2312"/>
          <w:color w:val="auto"/>
          <w:sz w:val="32"/>
          <w:szCs w:val="32"/>
        </w:rPr>
        <w:t xml:space="preserve"> </w:t>
      </w:r>
      <w:r>
        <w:rPr>
          <w:rFonts w:hint="eastAsia" w:eastAsia="仿宋_GB2312"/>
          <w:color w:val="auto"/>
          <w:sz w:val="32"/>
          <w:szCs w:val="32"/>
          <w:lang w:val="en-US" w:eastAsia="zh-CN"/>
        </w:rPr>
        <w:t>11</w:t>
      </w:r>
      <w:r>
        <w:rPr>
          <w:rFonts w:hint="eastAsia" w:eastAsia="仿宋_GB2312" w:cs="仿宋_GB2312"/>
          <w:color w:val="auto"/>
          <w:sz w:val="32"/>
          <w:szCs w:val="32"/>
        </w:rPr>
        <w:t>人。澧县殡仪馆现有人员编制</w:t>
      </w:r>
      <w:r>
        <w:rPr>
          <w:rFonts w:hint="eastAsia" w:eastAsia="仿宋_GB2312"/>
          <w:color w:val="auto"/>
          <w:sz w:val="32"/>
          <w:szCs w:val="32"/>
          <w:lang w:val="en-US" w:eastAsia="zh-CN"/>
        </w:rPr>
        <w:t>11</w:t>
      </w:r>
      <w:r>
        <w:rPr>
          <w:rFonts w:hint="eastAsia" w:eastAsia="仿宋_GB2312" w:cs="仿宋_GB2312"/>
          <w:color w:val="auto"/>
          <w:sz w:val="32"/>
          <w:szCs w:val="32"/>
        </w:rPr>
        <w:t>名，实有在职人员</w:t>
      </w:r>
      <w:r>
        <w:rPr>
          <w:rFonts w:eastAsia="仿宋_GB2312"/>
          <w:color w:val="auto"/>
          <w:sz w:val="32"/>
          <w:szCs w:val="32"/>
        </w:rPr>
        <w:t xml:space="preserve"> 8</w:t>
      </w:r>
      <w:r>
        <w:rPr>
          <w:rFonts w:hint="eastAsia" w:eastAsia="仿宋_GB2312" w:cs="仿宋_GB2312"/>
          <w:color w:val="auto"/>
          <w:sz w:val="32"/>
          <w:szCs w:val="32"/>
        </w:rPr>
        <w:t>人</w:t>
      </w:r>
      <w:r>
        <w:rPr>
          <w:rFonts w:hint="eastAsia" w:eastAsia="仿宋_GB2312" w:cs="仿宋_GB2312"/>
          <w:color w:val="auto"/>
          <w:sz w:val="32"/>
          <w:szCs w:val="32"/>
          <w:lang w:eastAsia="zh-CN"/>
        </w:rPr>
        <w:t>。</w:t>
      </w:r>
    </w:p>
    <w:p>
      <w:pPr>
        <w:snapToGrid w:val="0"/>
        <w:spacing w:line="360" w:lineRule="auto"/>
        <w:ind w:firstLine="640" w:firstLineChars="200"/>
        <w:rPr>
          <w:rFonts w:ascii="黑体" w:hAnsi="黑体" w:eastAsia="黑体"/>
          <w:color w:val="000000" w:themeColor="text1"/>
          <w:kern w:val="0"/>
          <w:sz w:val="32"/>
          <w:szCs w:val="32"/>
        </w:rPr>
      </w:pPr>
      <w:r>
        <w:rPr>
          <w:rFonts w:hint="eastAsia" w:ascii="黑体" w:hAnsi="黑体" w:eastAsia="黑体" w:cs="黑体"/>
          <w:color w:val="000000" w:themeColor="text1"/>
          <w:kern w:val="0"/>
          <w:sz w:val="32"/>
          <w:szCs w:val="32"/>
        </w:rPr>
        <w:t>二、</w:t>
      </w:r>
      <w:r>
        <w:rPr>
          <w:rFonts w:ascii="黑体" w:hAnsi="黑体" w:eastAsia="黑体"/>
          <w:color w:val="000000" w:themeColor="text1"/>
          <w:kern w:val="0"/>
          <w:sz w:val="32"/>
          <w:szCs w:val="32"/>
        </w:rPr>
        <w:t>单位主要职责</w:t>
      </w:r>
    </w:p>
    <w:p>
      <w:pPr>
        <w:snapToGrid w:val="0"/>
        <w:spacing w:line="360" w:lineRule="auto"/>
        <w:ind w:firstLine="600" w:firstLineChars="200"/>
        <w:rPr>
          <w:rFonts w:ascii="仿宋" w:hAnsi="仿宋" w:eastAsia="仿宋"/>
          <w:sz w:val="32"/>
        </w:rPr>
      </w:pPr>
      <w:r>
        <w:rPr>
          <w:rFonts w:hint="eastAsia" w:ascii="仿宋" w:hAnsi="仿宋" w:eastAsia="仿宋"/>
          <w:sz w:val="30"/>
          <w:szCs w:val="32"/>
        </w:rPr>
        <w:t>民政局为县人民政府组成部门，依法履行以下职责：</w:t>
      </w:r>
    </w:p>
    <w:p>
      <w:pPr>
        <w:snapToGrid w:val="0"/>
        <w:spacing w:line="360" w:lineRule="auto"/>
        <w:ind w:firstLine="480" w:firstLineChars="150"/>
        <w:rPr>
          <w:rFonts w:ascii="仿宋" w:hAnsi="仿宋" w:eastAsia="仿宋"/>
          <w:sz w:val="32"/>
        </w:rPr>
      </w:pPr>
      <w:r>
        <w:rPr>
          <w:rFonts w:hint="eastAsia" w:ascii="仿宋_GB2312" w:eastAsia="仿宋_GB2312"/>
          <w:sz w:val="32"/>
          <w:szCs w:val="32"/>
        </w:rPr>
        <w:t>（一）贯彻执行党和国家关于民政工作的法律、法规、规章和方针、政策；制订全县民政事业中、长期发展规划和年度计划，并负责组织实施和监督检查。</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（二）承担全县性社会团体、民办非企业单位登记管理和年检工作。监督管理社会组织开展活动，查处社团组织和民办非企业单位的违法行为。负责社会组织党建工作。</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（三）实施城市、农村居民最低生活保障制度，负责城乡困难居民医疗救助、临时救助；负责五保供养和敬老院建设与管理工作；主管城乡社会救助体系建设工作；管理发放省厅下拨和县本级的专项救助资金。</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（四）指导、组织、推动城乡社区建设和服务管理工作；指导村（居）民委员会民主选举、民主决策、民主管理和民主监督工作，推动村（居）务公开和基层民主政治建设。</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（五）拟订全县行政区划总体规划，负责乡镇的设立、撤销、调整、更名和行政区域界线变更的审核、报批工作；承办与相邻县市边界的勘界和边界纠纷的调处工作。</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（六）承办规定权限内地名命名、更名的审核报批等事项，规范全县地名标志的设置和管理；组织建立和管理地名资料档案。</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七）拟订全县社会福利事业发展规划；指导社会福利机构的建设和管理；指导老年人、孤儿和残疾人等特殊群体的权益保障工作；拟订、落实全县社会福利企业的扶持政策，负责社会福利企业的审核、呈报、管理工作。组织拟订促进慈善事业发展政策、规划；组织、指导社会捐助工作；组织指导发行福利彩票；管理本级福利彩票公益金；监督全县福利资金的管理使用。</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（八）贯彻执行国家的婚姻登记、殡葬管理和儿童收养法律、法规、规章和政策并组织实施；推进婚俗和殡葬改革。</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w:t>
      </w:r>
      <w:r>
        <w:rPr>
          <w:rFonts w:hint="eastAsia" w:ascii="仿宋_GB2312" w:eastAsia="仿宋_GB2312"/>
          <w:sz w:val="32"/>
          <w:szCs w:val="32"/>
        </w:rPr>
        <w:t>负责城市生活无着的流浪乞讨人员救助管理工作；协调跨周边县(市、区)流浪乞讨人员的救助管理和流浪未成年人的救助保护工作。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(十)会同有关部门按规定拟订全县社会工作发展规划，推进社会工作人才队伍建设。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(十一)负责全县民政事业经费的管理和使用；负责民政事业经费的内部审计和监督；负责民政统计工作。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(十二)协调老龄工作法律法规和方针政策的贯彻执行，拟订本县老龄工作相关政策，编制全县老龄事业发展规划并组织实施和监督检查。承担县老龄工作委员会的日常工作。</w:t>
      </w:r>
    </w:p>
    <w:p>
      <w:pPr>
        <w:spacing w:line="580" w:lineRule="exact"/>
        <w:ind w:firstLine="640" w:firstLineChars="200"/>
        <w:rPr>
          <w:rFonts w:ascii="仿宋_GB2312" w:hAnsi="仿宋" w:eastAsia="仿宋_GB2312"/>
          <w:color w:val="FF0000"/>
          <w:sz w:val="32"/>
          <w:szCs w:val="32"/>
        </w:rPr>
      </w:pPr>
      <w:r>
        <w:rPr>
          <w:rFonts w:hint="eastAsia" w:ascii="仿宋_GB2312" w:eastAsia="仿宋_GB2312"/>
          <w:sz w:val="32"/>
          <w:szCs w:val="32"/>
        </w:rPr>
        <w:t>(十三)承办县委、县人民政府交办的其他事项。</w:t>
      </w:r>
    </w:p>
    <w:p>
      <w:pPr>
        <w:widowControl/>
        <w:spacing w:line="700" w:lineRule="exact"/>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spacing w:line="700" w:lineRule="exact"/>
        <w:ind w:firstLine="640" w:firstLineChars="200"/>
        <w:rPr>
          <w:rFonts w:eastAsia="仿宋_GB2312"/>
          <w:sz w:val="32"/>
          <w:szCs w:val="32"/>
        </w:rPr>
      </w:pPr>
      <w:r>
        <w:rPr>
          <w:rFonts w:ascii="Times New Roman" w:hAnsi="Times New Roman" w:eastAsia="仿宋_GB2312"/>
          <w:color w:val="222222"/>
          <w:kern w:val="0"/>
          <w:sz w:val="32"/>
          <w:szCs w:val="32"/>
        </w:rPr>
        <w:t>（一）</w:t>
      </w:r>
      <w:r>
        <w:rPr>
          <w:rFonts w:hint="eastAsia" w:eastAsia="仿宋_GB2312"/>
          <w:sz w:val="32"/>
          <w:szCs w:val="32"/>
        </w:rPr>
        <w:t>澧县民政局</w:t>
      </w:r>
      <w:r>
        <w:rPr>
          <w:rFonts w:eastAsia="仿宋_GB2312"/>
          <w:sz w:val="32"/>
          <w:szCs w:val="32"/>
        </w:rPr>
        <w:t>作为一级部门预算单位，收入包括一般公共预算和上级补助收入，支出包括保障机关单位基本运行经费以及</w:t>
      </w:r>
      <w:r>
        <w:rPr>
          <w:rFonts w:hint="eastAsia" w:eastAsia="仿宋_GB2312"/>
          <w:sz w:val="32"/>
          <w:szCs w:val="32"/>
        </w:rPr>
        <w:t>专项服务商品和保障支出</w:t>
      </w:r>
      <w:r>
        <w:rPr>
          <w:rFonts w:eastAsia="仿宋_GB2312"/>
          <w:sz w:val="32"/>
          <w:szCs w:val="32"/>
        </w:rPr>
        <w:t>。</w:t>
      </w:r>
    </w:p>
    <w:p>
      <w:pPr>
        <w:spacing w:line="700" w:lineRule="exact"/>
        <w:ind w:firstLine="640" w:firstLineChars="200"/>
        <w:rPr>
          <w:rFonts w:eastAsia="仿宋_GB2312"/>
          <w:color w:val="000000" w:themeColor="text1"/>
          <w:sz w:val="32"/>
          <w:szCs w:val="32"/>
        </w:rPr>
      </w:pPr>
      <w:r>
        <w:rPr>
          <w:rFonts w:eastAsia="仿宋_GB2312"/>
          <w:color w:val="000000" w:themeColor="text1"/>
          <w:sz w:val="32"/>
          <w:szCs w:val="32"/>
        </w:rPr>
        <w:t>（</w:t>
      </w:r>
      <w:r>
        <w:rPr>
          <w:rFonts w:hint="eastAsia" w:eastAsia="仿宋_GB2312"/>
          <w:color w:val="000000" w:themeColor="text1"/>
          <w:sz w:val="32"/>
          <w:szCs w:val="32"/>
        </w:rPr>
        <w:t>二</w:t>
      </w:r>
      <w:r>
        <w:rPr>
          <w:rFonts w:eastAsia="仿宋_GB2312"/>
          <w:color w:val="000000" w:themeColor="text1"/>
          <w:sz w:val="32"/>
          <w:szCs w:val="32"/>
        </w:rPr>
        <w:t>）收入</w:t>
      </w:r>
      <w:r>
        <w:rPr>
          <w:rFonts w:hint="eastAsia" w:eastAsia="仿宋_GB2312"/>
          <w:color w:val="000000" w:themeColor="text1"/>
          <w:sz w:val="32"/>
          <w:szCs w:val="32"/>
        </w:rPr>
        <w:t>预</w:t>
      </w:r>
      <w:r>
        <w:rPr>
          <w:rFonts w:eastAsia="仿宋_GB2312"/>
          <w:color w:val="000000" w:themeColor="text1"/>
          <w:sz w:val="32"/>
          <w:szCs w:val="32"/>
        </w:rPr>
        <w:t>算：20</w:t>
      </w:r>
      <w:r>
        <w:rPr>
          <w:rFonts w:hint="eastAsia" w:eastAsia="仿宋_GB2312"/>
          <w:color w:val="000000" w:themeColor="text1"/>
          <w:sz w:val="32"/>
          <w:szCs w:val="32"/>
        </w:rPr>
        <w:t>20年</w:t>
      </w:r>
      <w:r>
        <w:rPr>
          <w:rFonts w:eastAsia="仿宋_GB2312"/>
          <w:color w:val="000000" w:themeColor="text1"/>
          <w:sz w:val="32"/>
          <w:szCs w:val="32"/>
        </w:rPr>
        <w:t>一般公共预算</w:t>
      </w:r>
      <w:r>
        <w:rPr>
          <w:rFonts w:hint="eastAsia" w:eastAsia="仿宋_GB2312"/>
          <w:color w:val="000000" w:themeColor="text1"/>
          <w:sz w:val="32"/>
          <w:szCs w:val="32"/>
        </w:rPr>
        <w:t>财政</w:t>
      </w:r>
      <w:r>
        <w:rPr>
          <w:rFonts w:eastAsia="仿宋_GB2312"/>
          <w:color w:val="000000" w:themeColor="text1"/>
          <w:sz w:val="32"/>
          <w:szCs w:val="32"/>
        </w:rPr>
        <w:t>拨款</w:t>
      </w:r>
      <w:r>
        <w:rPr>
          <w:rFonts w:hint="eastAsia" w:eastAsia="仿宋_GB2312"/>
          <w:color w:val="000000" w:themeColor="text1"/>
          <w:sz w:val="32"/>
          <w:szCs w:val="32"/>
          <w:lang w:val="en-US" w:eastAsia="zh-CN"/>
        </w:rPr>
        <w:t>707.38</w:t>
      </w:r>
      <w:r>
        <w:rPr>
          <w:rFonts w:eastAsia="仿宋_GB2312"/>
          <w:color w:val="000000" w:themeColor="text1"/>
          <w:sz w:val="32"/>
          <w:szCs w:val="32"/>
        </w:rPr>
        <w:t>万元</w:t>
      </w:r>
      <w:r>
        <w:rPr>
          <w:rFonts w:hint="eastAsia" w:eastAsia="仿宋_GB2312"/>
          <w:color w:val="000000" w:themeColor="text1"/>
          <w:sz w:val="32"/>
          <w:szCs w:val="32"/>
        </w:rPr>
        <w:t>。</w:t>
      </w:r>
    </w:p>
    <w:p>
      <w:pPr>
        <w:spacing w:line="700" w:lineRule="exact"/>
        <w:ind w:firstLine="640" w:firstLineChars="200"/>
        <w:rPr>
          <w:rFonts w:eastAsia="仿宋_GB2312"/>
          <w:color w:val="000000" w:themeColor="text1"/>
          <w:sz w:val="32"/>
          <w:szCs w:val="32"/>
        </w:rPr>
      </w:pPr>
      <w:r>
        <w:rPr>
          <w:rFonts w:eastAsia="仿宋_GB2312"/>
          <w:color w:val="000000" w:themeColor="text1"/>
          <w:sz w:val="32"/>
          <w:szCs w:val="32"/>
        </w:rPr>
        <w:t>（</w:t>
      </w:r>
      <w:r>
        <w:rPr>
          <w:rFonts w:hint="eastAsia" w:eastAsia="仿宋_GB2312"/>
          <w:color w:val="000000" w:themeColor="text1"/>
          <w:sz w:val="32"/>
          <w:szCs w:val="32"/>
        </w:rPr>
        <w:t>三</w:t>
      </w:r>
      <w:r>
        <w:rPr>
          <w:rFonts w:eastAsia="仿宋_GB2312"/>
          <w:color w:val="000000" w:themeColor="text1"/>
          <w:sz w:val="32"/>
          <w:szCs w:val="32"/>
        </w:rPr>
        <w:t>）支出</w:t>
      </w:r>
      <w:r>
        <w:rPr>
          <w:rFonts w:hint="eastAsia" w:eastAsia="仿宋_GB2312"/>
          <w:color w:val="000000" w:themeColor="text1"/>
          <w:sz w:val="32"/>
          <w:szCs w:val="32"/>
        </w:rPr>
        <w:t>预</w:t>
      </w:r>
      <w:r>
        <w:rPr>
          <w:rFonts w:eastAsia="仿宋_GB2312"/>
          <w:color w:val="000000" w:themeColor="text1"/>
          <w:sz w:val="32"/>
          <w:szCs w:val="32"/>
        </w:rPr>
        <w:t>算：20</w:t>
      </w:r>
      <w:r>
        <w:rPr>
          <w:rFonts w:hint="eastAsia" w:eastAsia="仿宋_GB2312"/>
          <w:color w:val="000000" w:themeColor="text1"/>
          <w:sz w:val="32"/>
          <w:szCs w:val="32"/>
        </w:rPr>
        <w:t>20</w:t>
      </w:r>
      <w:r>
        <w:rPr>
          <w:rFonts w:eastAsia="仿宋_GB2312"/>
          <w:color w:val="000000" w:themeColor="text1"/>
          <w:sz w:val="32"/>
          <w:szCs w:val="32"/>
        </w:rPr>
        <w:t>年一般公共服务支出</w:t>
      </w:r>
      <w:r>
        <w:rPr>
          <w:rFonts w:hint="eastAsia" w:eastAsia="仿宋_GB2312"/>
          <w:color w:val="000000" w:themeColor="text1"/>
          <w:sz w:val="32"/>
          <w:szCs w:val="32"/>
          <w:lang w:val="en-US" w:eastAsia="zh-CN"/>
        </w:rPr>
        <w:t>707.38</w:t>
      </w:r>
      <w:r>
        <w:rPr>
          <w:rFonts w:eastAsia="仿宋_GB2312"/>
          <w:color w:val="000000" w:themeColor="text1"/>
          <w:sz w:val="32"/>
          <w:szCs w:val="32"/>
        </w:rPr>
        <w:t>万元</w:t>
      </w:r>
      <w:r>
        <w:rPr>
          <w:rFonts w:hint="eastAsia" w:eastAsia="仿宋_GB2312"/>
          <w:color w:val="000000" w:themeColor="text1"/>
          <w:sz w:val="32"/>
          <w:szCs w:val="32"/>
        </w:rPr>
        <w:t>。</w:t>
      </w:r>
    </w:p>
    <w:p>
      <w:pPr>
        <w:spacing w:line="700" w:lineRule="exact"/>
        <w:ind w:left="105" w:leftChars="50" w:firstLine="480" w:firstLineChars="150"/>
        <w:rPr>
          <w:rFonts w:hint="eastAsia" w:eastAsia="仿宋_GB2312"/>
          <w:color w:val="000000" w:themeColor="text1"/>
          <w:sz w:val="32"/>
          <w:szCs w:val="32"/>
          <w:lang w:val="en-US" w:eastAsia="zh-CN"/>
        </w:rPr>
      </w:pPr>
      <w:r>
        <w:rPr>
          <w:rFonts w:hint="eastAsia" w:eastAsia="仿宋_GB2312"/>
          <w:color w:val="000000" w:themeColor="text1"/>
          <w:sz w:val="32"/>
          <w:szCs w:val="32"/>
        </w:rPr>
        <w:t>（四）</w:t>
      </w:r>
      <w:r>
        <w:rPr>
          <w:rFonts w:eastAsia="仿宋_GB2312"/>
          <w:color w:val="000000" w:themeColor="text1"/>
          <w:sz w:val="32"/>
          <w:szCs w:val="32"/>
        </w:rPr>
        <w:t>20</w:t>
      </w:r>
      <w:r>
        <w:rPr>
          <w:rFonts w:hint="eastAsia" w:eastAsia="仿宋_GB2312"/>
          <w:color w:val="000000" w:themeColor="text1"/>
          <w:sz w:val="32"/>
          <w:szCs w:val="32"/>
        </w:rPr>
        <w:t>20</w:t>
      </w:r>
      <w:r>
        <w:rPr>
          <w:rFonts w:eastAsia="仿宋_GB2312"/>
          <w:color w:val="000000" w:themeColor="text1"/>
          <w:sz w:val="32"/>
          <w:szCs w:val="32"/>
        </w:rPr>
        <w:t>年“三公”经费</w:t>
      </w:r>
      <w:r>
        <w:rPr>
          <w:rFonts w:hint="eastAsia" w:eastAsia="仿宋_GB2312"/>
          <w:color w:val="000000" w:themeColor="text1"/>
          <w:sz w:val="32"/>
          <w:szCs w:val="32"/>
        </w:rPr>
        <w:t>预计支出</w:t>
      </w:r>
      <w:r>
        <w:rPr>
          <w:rFonts w:hint="eastAsia" w:eastAsia="仿宋_GB2312"/>
          <w:color w:val="000000" w:themeColor="text1"/>
          <w:sz w:val="32"/>
          <w:szCs w:val="32"/>
          <w:lang w:val="en-US" w:eastAsia="zh-CN"/>
        </w:rPr>
        <w:t>7.28</w:t>
      </w:r>
      <w:r>
        <w:rPr>
          <w:rFonts w:eastAsia="仿宋_GB2312"/>
          <w:color w:val="000000" w:themeColor="text1"/>
          <w:sz w:val="32"/>
          <w:szCs w:val="32"/>
        </w:rPr>
        <w:t>万元</w:t>
      </w:r>
      <w:r>
        <w:rPr>
          <w:rFonts w:hint="eastAsia" w:eastAsia="仿宋_GB2312"/>
          <w:color w:val="000000" w:themeColor="text1"/>
          <w:sz w:val="32"/>
          <w:szCs w:val="32"/>
          <w:lang w:eastAsia="zh-CN"/>
        </w:rPr>
        <w:t>。</w:t>
      </w:r>
    </w:p>
    <w:p>
      <w:pPr>
        <w:widowControl/>
        <w:spacing w:line="700" w:lineRule="exact"/>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spacing w:line="700" w:lineRule="exact"/>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（一）部门绩效总目标</w:t>
      </w:r>
    </w:p>
    <w:p>
      <w:pPr>
        <w:spacing w:line="700" w:lineRule="exact"/>
        <w:ind w:firstLine="800" w:firstLineChars="250"/>
        <w:rPr>
          <w:rFonts w:ascii="Times New Roman" w:hAnsi="Times New Roman" w:eastAsia="仿宋_GB2312"/>
          <w:color w:val="222222"/>
          <w:kern w:val="0"/>
          <w:sz w:val="32"/>
          <w:szCs w:val="32"/>
        </w:rPr>
      </w:pPr>
      <w:r>
        <w:rPr>
          <w:rFonts w:eastAsia="仿宋_GB2312"/>
          <w:sz w:val="32"/>
          <w:szCs w:val="32"/>
        </w:rPr>
        <w:t>保障</w:t>
      </w:r>
      <w:r>
        <w:rPr>
          <w:rFonts w:hint="eastAsia" w:eastAsia="仿宋_GB2312"/>
          <w:sz w:val="32"/>
          <w:szCs w:val="32"/>
        </w:rPr>
        <w:t>机关正常运转</w:t>
      </w:r>
      <w:r>
        <w:rPr>
          <w:rFonts w:eastAsia="仿宋_GB2312"/>
          <w:sz w:val="32"/>
          <w:szCs w:val="32"/>
        </w:rPr>
        <w:t>，</w:t>
      </w:r>
      <w:r>
        <w:rPr>
          <w:rFonts w:hint="eastAsia" w:eastAsia="仿宋_GB2312"/>
          <w:sz w:val="32"/>
          <w:szCs w:val="32"/>
        </w:rPr>
        <w:t>完成民政服务管理职能</w:t>
      </w:r>
      <w:r>
        <w:rPr>
          <w:rFonts w:eastAsia="仿宋_GB2312"/>
          <w:sz w:val="32"/>
          <w:szCs w:val="32"/>
        </w:rPr>
        <w:t>。</w:t>
      </w:r>
    </w:p>
    <w:p>
      <w:pPr>
        <w:widowControl/>
        <w:spacing w:line="700" w:lineRule="exact"/>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（二）20</w:t>
      </w:r>
      <w:r>
        <w:rPr>
          <w:rFonts w:hint="eastAsia" w:ascii="Times New Roman" w:hAnsi="Times New Roman" w:eastAsia="仿宋_GB2312"/>
          <w:color w:val="222222"/>
          <w:kern w:val="0"/>
          <w:sz w:val="32"/>
          <w:szCs w:val="32"/>
        </w:rPr>
        <w:t>20</w:t>
      </w:r>
      <w:r>
        <w:rPr>
          <w:rFonts w:ascii="Times New Roman" w:hAnsi="Times New Roman" w:eastAsia="仿宋_GB2312"/>
          <w:color w:val="222222"/>
          <w:kern w:val="0"/>
          <w:sz w:val="32"/>
          <w:szCs w:val="32"/>
        </w:rPr>
        <w:t>年度部门绩效目标</w:t>
      </w:r>
    </w:p>
    <w:p>
      <w:pPr>
        <w:widowControl/>
        <w:spacing w:line="700" w:lineRule="exact"/>
        <w:ind w:left="315" w:leftChars="150" w:firstLine="160" w:firstLineChars="5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 xml:space="preserve">  保障社会弱势群体的基本生活，体现社会主义优越性，维护社会稳定。</w:t>
      </w:r>
    </w:p>
    <w:p>
      <w:pPr>
        <w:widowControl/>
        <w:spacing w:line="700" w:lineRule="exact"/>
        <w:ind w:firstLine="800" w:firstLineChars="250"/>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spacing w:line="700" w:lineRule="exact"/>
        <w:ind w:firstLine="800" w:firstLineChars="250"/>
        <w:rPr>
          <w:rFonts w:eastAsia="仿宋_GB2312"/>
          <w:sz w:val="32"/>
          <w:szCs w:val="32"/>
        </w:rPr>
      </w:pPr>
      <w:r>
        <w:rPr>
          <w:rFonts w:hint="eastAsia" w:eastAsia="仿宋_GB2312"/>
          <w:sz w:val="32"/>
          <w:szCs w:val="32"/>
        </w:rPr>
        <w:t>较好地完成了预算工作安排，确保民政</w:t>
      </w:r>
      <w:r>
        <w:rPr>
          <w:rFonts w:hint="eastAsia" w:eastAsia="仿宋_GB2312"/>
          <w:sz w:val="32"/>
          <w:szCs w:val="32"/>
          <w:lang w:eastAsia="zh-CN"/>
        </w:rPr>
        <w:t>系统</w:t>
      </w:r>
      <w:r>
        <w:rPr>
          <w:rFonts w:hint="eastAsia" w:eastAsia="仿宋_GB2312"/>
          <w:sz w:val="32"/>
          <w:szCs w:val="32"/>
        </w:rPr>
        <w:t>工作的正常开展。</w:t>
      </w:r>
    </w:p>
    <w:p>
      <w:pPr>
        <w:widowControl/>
        <w:spacing w:line="700" w:lineRule="exact"/>
        <w:ind w:left="420" w:leftChars="200" w:firstLine="320" w:firstLineChars="100"/>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spacing w:line="700" w:lineRule="exact"/>
        <w:ind w:firstLine="640" w:firstLineChars="200"/>
        <w:rPr>
          <w:rFonts w:eastAsia="仿宋_GB2312"/>
          <w:sz w:val="32"/>
          <w:szCs w:val="32"/>
        </w:rPr>
      </w:pPr>
      <w:r>
        <w:rPr>
          <w:rFonts w:hint="eastAsia" w:eastAsia="仿宋_GB2312"/>
          <w:sz w:val="32"/>
          <w:szCs w:val="32"/>
        </w:rPr>
        <w:t>为服务对象提供了优质的服务，得到了服务对象的好评。</w:t>
      </w:r>
    </w:p>
    <w:p>
      <w:pPr>
        <w:widowControl/>
        <w:numPr>
          <w:ilvl w:val="0"/>
          <w:numId w:val="2"/>
        </w:numPr>
        <w:spacing w:line="700" w:lineRule="exact"/>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 xml:space="preserve">部门整体支出绩效情况 </w:t>
      </w:r>
    </w:p>
    <w:p>
      <w:pPr>
        <w:spacing w:line="700" w:lineRule="exact"/>
        <w:ind w:firstLine="640" w:firstLineChars="200"/>
        <w:rPr>
          <w:rFonts w:eastAsia="仿宋_GB2312"/>
          <w:sz w:val="32"/>
          <w:szCs w:val="32"/>
        </w:rPr>
      </w:pPr>
      <w:r>
        <w:rPr>
          <w:rFonts w:hint="eastAsia" w:eastAsia="仿宋_GB2312"/>
          <w:sz w:val="32"/>
          <w:szCs w:val="32"/>
        </w:rPr>
        <w:t>2020年，我会部门整体支出绩效评价作为财政预算资金使用管理的一项重要工作，切实加强预算收支管理，全面梳理内部管理流程，建立健全内部管理制度，有效提升了部门整体支出管理水平。根据部门整体支出绩效评价指标体系，我会2020年度自评综合得分为98.5分，评价等级为“优”。部门整体支出绩效情况如下：</w:t>
      </w:r>
    </w:p>
    <w:p>
      <w:pPr>
        <w:widowControl/>
        <w:shd w:val="clear" w:color="auto" w:fill="FFFFFF"/>
        <w:spacing w:line="700" w:lineRule="exact"/>
        <w:ind w:firstLine="643"/>
        <w:jc w:val="left"/>
        <w:rPr>
          <w:rFonts w:ascii="微软雅黑" w:hAnsi="微软雅黑" w:eastAsia="微软雅黑" w:cs="微软雅黑"/>
          <w:color w:val="000000"/>
          <w:szCs w:val="21"/>
        </w:rPr>
      </w:pPr>
      <w:r>
        <w:rPr>
          <w:rFonts w:hint="eastAsia" w:ascii="宋体" w:hAnsi="宋体" w:cs="宋体"/>
          <w:b/>
          <w:color w:val="000000"/>
          <w:kern w:val="0"/>
          <w:sz w:val="32"/>
          <w:szCs w:val="32"/>
          <w:shd w:val="clear" w:color="auto" w:fill="FFFFFF"/>
        </w:rPr>
        <w:t>（一）预算配置方面</w:t>
      </w:r>
    </w:p>
    <w:p>
      <w:pPr>
        <w:spacing w:line="700" w:lineRule="exact"/>
        <w:ind w:firstLine="640" w:firstLineChars="200"/>
        <w:rPr>
          <w:rFonts w:eastAsia="仿宋_GB2312"/>
          <w:sz w:val="32"/>
          <w:szCs w:val="32"/>
        </w:rPr>
      </w:pPr>
      <w:r>
        <w:rPr>
          <w:rFonts w:hint="eastAsia" w:eastAsia="仿宋_GB2312"/>
          <w:sz w:val="32"/>
          <w:szCs w:val="32"/>
        </w:rPr>
        <w:t>财政供养人员控制在预算编制以内，编制内在职人员控制率小于100%，人员控制非常好，“三公”经费预算较上年有所增加。</w:t>
      </w:r>
    </w:p>
    <w:p>
      <w:pPr>
        <w:widowControl/>
        <w:shd w:val="clear" w:color="auto" w:fill="FFFFFF"/>
        <w:spacing w:line="700" w:lineRule="exact"/>
        <w:ind w:firstLine="643"/>
        <w:jc w:val="left"/>
        <w:rPr>
          <w:rFonts w:ascii="微软雅黑" w:hAnsi="微软雅黑" w:eastAsia="微软雅黑" w:cs="微软雅黑"/>
          <w:color w:val="000000"/>
          <w:szCs w:val="21"/>
        </w:rPr>
      </w:pPr>
      <w:r>
        <w:rPr>
          <w:rFonts w:hint="eastAsia" w:ascii="宋体" w:hAnsi="宋体" w:cs="宋体"/>
          <w:b/>
          <w:color w:val="000000"/>
          <w:kern w:val="0"/>
          <w:sz w:val="32"/>
          <w:szCs w:val="32"/>
          <w:shd w:val="clear" w:color="auto" w:fill="FFFFFF"/>
        </w:rPr>
        <w:t>（二）预算执行方面</w:t>
      </w:r>
    </w:p>
    <w:p>
      <w:pPr>
        <w:spacing w:line="700" w:lineRule="exact"/>
        <w:ind w:firstLine="640" w:firstLineChars="200"/>
        <w:rPr>
          <w:rFonts w:eastAsia="仿宋_GB2312"/>
          <w:sz w:val="32"/>
          <w:szCs w:val="32"/>
        </w:rPr>
      </w:pPr>
      <w:r>
        <w:rPr>
          <w:rFonts w:hint="eastAsia" w:eastAsia="仿宋_GB2312"/>
          <w:sz w:val="32"/>
          <w:szCs w:val="32"/>
        </w:rPr>
        <w:t>支出总额控制在预算总额以内，除专项预算的追加和政策性工资绩效预算的追加外，本年部门预算未进行相关事项的调整。不存在截留或滞留专项资金情况。我会预算内专项资金在取得财政批复时随批复一同下达，投入进度正常。</w:t>
      </w:r>
    </w:p>
    <w:p>
      <w:pPr>
        <w:widowControl/>
        <w:shd w:val="clear" w:color="auto" w:fill="FFFFFF"/>
        <w:spacing w:line="700" w:lineRule="exact"/>
        <w:ind w:firstLine="643"/>
        <w:jc w:val="left"/>
        <w:rPr>
          <w:rFonts w:ascii="微软雅黑" w:hAnsi="微软雅黑" w:eastAsia="微软雅黑" w:cs="微软雅黑"/>
          <w:color w:val="000000"/>
          <w:szCs w:val="21"/>
        </w:rPr>
      </w:pPr>
      <w:r>
        <w:rPr>
          <w:rFonts w:hint="eastAsia" w:ascii="宋体" w:hAnsi="宋体" w:cs="宋体"/>
          <w:b/>
          <w:color w:val="000000"/>
          <w:kern w:val="0"/>
          <w:sz w:val="32"/>
          <w:szCs w:val="32"/>
          <w:shd w:val="clear" w:color="auto" w:fill="FFFFFF"/>
        </w:rPr>
        <w:t>（三）预算管理方面</w:t>
      </w:r>
    </w:p>
    <w:p>
      <w:pPr>
        <w:spacing w:line="700" w:lineRule="exact"/>
        <w:ind w:firstLine="640" w:firstLineChars="200"/>
        <w:rPr>
          <w:rFonts w:eastAsia="仿宋_GB2312"/>
          <w:sz w:val="32"/>
          <w:szCs w:val="32"/>
        </w:rPr>
      </w:pPr>
      <w:r>
        <w:rPr>
          <w:rFonts w:hint="eastAsia" w:eastAsia="仿宋_GB2312"/>
          <w:sz w:val="32"/>
          <w:szCs w:val="32"/>
        </w:rPr>
        <w:t>我会2020年度公用经费控制率100%，“三公”经费控制率为100%，政府采购执行率为100%，资金拨付严格按照审批程序和手续，预决算信息及时进行公开，对预算实行动态管理，整体预算管理符合相关标准和要求。制度建设比较健全，先后制定了《预算管理内部控制操作规程》、《收支管理操作规程》、《采购管理操作规程》、《项目建设操作流程》、《合同管理操作流程》、《机关财务管理办法》、《改进作风厉行节约十条规定》等相关制度，各类专项资金均明确相应管理办法，严格执行预算安排，合理使用预算资金，达到年初预算目标。</w:t>
      </w:r>
    </w:p>
    <w:p>
      <w:pPr>
        <w:widowControl/>
        <w:numPr>
          <w:ilvl w:val="0"/>
          <w:numId w:val="3"/>
        </w:numPr>
        <w:spacing w:line="700" w:lineRule="exact"/>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存在的主要问题</w:t>
      </w:r>
    </w:p>
    <w:p>
      <w:pPr>
        <w:pStyle w:val="125"/>
        <w:widowControl/>
        <w:spacing w:line="700" w:lineRule="exact"/>
        <w:ind w:left="160" w:firstLine="640"/>
        <w:rPr>
          <w:rFonts w:hint="eastAsia" w:ascii="Calibri" w:hAnsi="Calibri" w:eastAsia="仿宋_GB2312" w:cs="Times New Roman"/>
          <w:color w:val="auto"/>
          <w:kern w:val="2"/>
          <w:sz w:val="32"/>
          <w:szCs w:val="32"/>
          <w:lang w:val="en-US" w:eastAsia="zh-CN" w:bidi="ar-SA"/>
        </w:rPr>
      </w:pPr>
      <w:r>
        <w:rPr>
          <w:rFonts w:hint="eastAsia" w:ascii="Calibri" w:hAnsi="Calibri" w:eastAsia="仿宋_GB2312" w:cs="Times New Roman"/>
          <w:color w:val="auto"/>
          <w:kern w:val="2"/>
          <w:sz w:val="32"/>
          <w:szCs w:val="32"/>
          <w:lang w:val="en-US" w:eastAsia="zh-CN" w:bidi="ar-SA"/>
        </w:rPr>
        <w:t>1、财政配套力度不够。由于机构改革老龄办职能虽已划分至卫生健康局，但资金依然由我局发放，年发放金额约为350万元，希望财政加大此项资金的配套力度，确保高龄老人补贴按时发放。</w:t>
      </w:r>
    </w:p>
    <w:p>
      <w:pPr>
        <w:pStyle w:val="127"/>
        <w:ind w:firstLine="800" w:firstLineChars="250"/>
        <w:rPr>
          <w:rFonts w:hint="eastAsia" w:ascii="Calibri" w:hAnsi="Calibri" w:eastAsia="仿宋_GB2312" w:cs="Times New Roman"/>
          <w:color w:val="auto"/>
          <w:kern w:val="2"/>
          <w:sz w:val="32"/>
          <w:szCs w:val="32"/>
          <w:lang w:val="en-US" w:eastAsia="zh-CN" w:bidi="ar-SA"/>
        </w:rPr>
      </w:pPr>
      <w:r>
        <w:rPr>
          <w:rFonts w:hint="eastAsia" w:ascii="Calibri" w:hAnsi="Calibri" w:eastAsia="仿宋_GB2312" w:cs="Times New Roman"/>
          <w:color w:val="auto"/>
          <w:kern w:val="2"/>
          <w:sz w:val="32"/>
          <w:szCs w:val="32"/>
          <w:lang w:val="en-US" w:eastAsia="zh-CN" w:bidi="ar-SA"/>
        </w:rPr>
        <w:t>2、政策调整较为滞后；</w:t>
      </w:r>
    </w:p>
    <w:p>
      <w:pPr>
        <w:pStyle w:val="127"/>
        <w:ind w:firstLine="800" w:firstLineChars="250"/>
        <w:rPr>
          <w:rFonts w:hint="eastAsia" w:ascii="Calibri" w:hAnsi="Calibri" w:eastAsia="仿宋_GB2312" w:cs="Times New Roman"/>
          <w:color w:val="auto"/>
          <w:kern w:val="2"/>
          <w:sz w:val="32"/>
          <w:szCs w:val="32"/>
          <w:lang w:val="en-US" w:eastAsia="zh-CN" w:bidi="ar-SA"/>
        </w:rPr>
      </w:pPr>
      <w:r>
        <w:rPr>
          <w:rFonts w:hint="eastAsia" w:ascii="Calibri" w:hAnsi="Calibri" w:eastAsia="仿宋_GB2312" w:cs="Times New Roman"/>
          <w:color w:val="auto"/>
          <w:kern w:val="2"/>
          <w:sz w:val="32"/>
          <w:szCs w:val="32"/>
          <w:lang w:val="en-US" w:eastAsia="zh-CN" w:bidi="ar-SA"/>
        </w:rPr>
        <w:t>3、遗体火化率达不到省定目标；</w:t>
      </w:r>
    </w:p>
    <w:p>
      <w:pPr>
        <w:pStyle w:val="127"/>
        <w:ind w:firstLine="800" w:firstLineChars="250"/>
        <w:rPr>
          <w:rFonts w:hint="eastAsia" w:ascii="Calibri" w:hAnsi="Calibri" w:eastAsia="仿宋_GB2312" w:cs="Times New Roman"/>
          <w:color w:val="auto"/>
          <w:kern w:val="2"/>
          <w:sz w:val="32"/>
          <w:szCs w:val="32"/>
          <w:lang w:val="en-US" w:eastAsia="zh-CN" w:bidi="ar-SA"/>
        </w:rPr>
      </w:pPr>
      <w:r>
        <w:rPr>
          <w:rFonts w:hint="eastAsia" w:ascii="Calibri" w:hAnsi="Calibri" w:eastAsia="仿宋_GB2312" w:cs="Times New Roman"/>
          <w:color w:val="auto"/>
          <w:kern w:val="2"/>
          <w:sz w:val="32"/>
          <w:szCs w:val="32"/>
          <w:lang w:val="en-US" w:eastAsia="zh-CN" w:bidi="ar-SA"/>
        </w:rPr>
        <w:t>4、乱埋乱葬现象依然存在；</w:t>
      </w:r>
    </w:p>
    <w:p>
      <w:pPr>
        <w:pStyle w:val="127"/>
        <w:ind w:firstLine="800" w:firstLineChars="250"/>
        <w:rPr>
          <w:rFonts w:hint="eastAsia" w:ascii="Calibri" w:hAnsi="Calibri" w:eastAsia="仿宋_GB2312" w:cs="Times New Roman"/>
          <w:color w:val="auto"/>
          <w:kern w:val="2"/>
          <w:sz w:val="32"/>
          <w:szCs w:val="32"/>
          <w:lang w:val="en-US" w:eastAsia="zh-CN" w:bidi="ar-SA"/>
        </w:rPr>
      </w:pPr>
      <w:r>
        <w:rPr>
          <w:rFonts w:hint="eastAsia" w:ascii="Calibri" w:hAnsi="Calibri" w:eastAsia="仿宋_GB2312" w:cs="Times New Roman"/>
          <w:color w:val="auto"/>
          <w:kern w:val="2"/>
          <w:sz w:val="32"/>
          <w:szCs w:val="32"/>
          <w:lang w:val="en-US" w:eastAsia="zh-CN" w:bidi="ar-SA"/>
        </w:rPr>
        <w:t>5、农村公益性公墓建设滞后。</w:t>
      </w:r>
    </w:p>
    <w:p>
      <w:pPr>
        <w:pStyle w:val="127"/>
        <w:ind w:firstLine="800" w:firstLineChars="250"/>
        <w:rPr>
          <w:rFonts w:hint="eastAsia" w:ascii="Calibri" w:hAnsi="Calibri" w:eastAsia="仿宋_GB2312" w:cs="Times New Roman"/>
          <w:color w:val="auto"/>
          <w:kern w:val="2"/>
          <w:sz w:val="32"/>
          <w:szCs w:val="32"/>
          <w:lang w:val="en-US" w:eastAsia="zh-CN" w:bidi="ar-SA"/>
        </w:rPr>
      </w:pPr>
      <w:r>
        <w:rPr>
          <w:rFonts w:hint="eastAsia" w:ascii="Calibri" w:hAnsi="Calibri" w:eastAsia="仿宋_GB2312" w:cs="Times New Roman"/>
          <w:color w:val="auto"/>
          <w:kern w:val="2"/>
          <w:sz w:val="32"/>
          <w:szCs w:val="32"/>
          <w:lang w:val="en-US" w:eastAsia="zh-CN" w:bidi="ar-SA"/>
        </w:rPr>
        <w:t>6、流浪乞讨救助服务主动上还有欠缺，需要全面的提升救助服务。</w:t>
      </w:r>
    </w:p>
    <w:p>
      <w:pPr>
        <w:pStyle w:val="125"/>
        <w:widowControl/>
        <w:spacing w:line="700" w:lineRule="exact"/>
        <w:ind w:left="0" w:leftChars="0" w:firstLine="0" w:firstLineChars="0"/>
        <w:rPr>
          <w:rFonts w:ascii="黑体" w:hAnsi="黑体" w:eastAsia="黑体" w:cs="黑体"/>
          <w:color w:val="000000"/>
          <w:sz w:val="32"/>
          <w:szCs w:val="32"/>
        </w:rPr>
      </w:pPr>
      <w:r>
        <w:rPr>
          <w:rFonts w:hint="eastAsia" w:eastAsia="仿宋_GB2312"/>
          <w:b/>
          <w:sz w:val="32"/>
          <w:szCs w:val="32"/>
        </w:rPr>
        <w:t>（八）</w:t>
      </w:r>
      <w:r>
        <w:rPr>
          <w:rFonts w:hint="eastAsia" w:ascii="黑体" w:hAnsi="黑体" w:eastAsia="黑体" w:cs="黑体"/>
          <w:color w:val="000000"/>
          <w:sz w:val="32"/>
          <w:szCs w:val="32"/>
        </w:rPr>
        <w:t>有关建议</w:t>
      </w:r>
    </w:p>
    <w:p>
      <w:pPr>
        <w:spacing w:line="700" w:lineRule="exact"/>
        <w:ind w:firstLine="640" w:firstLineChars="200"/>
        <w:rPr>
          <w:rFonts w:hint="eastAsia" w:eastAsia="仿宋_GB2312"/>
          <w:sz w:val="32"/>
          <w:szCs w:val="32"/>
          <w:lang w:eastAsia="zh-CN"/>
        </w:rPr>
      </w:pPr>
      <w:r>
        <w:rPr>
          <w:rFonts w:hint="eastAsia" w:eastAsia="仿宋_GB2312"/>
          <w:sz w:val="32"/>
          <w:szCs w:val="32"/>
        </w:rPr>
        <w:t>加大专项资金以及民政工作经费投入力度</w:t>
      </w:r>
      <w:r>
        <w:rPr>
          <w:rFonts w:hint="eastAsia" w:eastAsia="仿宋_GB2312"/>
          <w:sz w:val="32"/>
          <w:szCs w:val="32"/>
          <w:lang w:eastAsia="zh-CN"/>
        </w:rPr>
        <w:t>，加强民政工作服务力度，提高民政服务能力，提升服务水平</w:t>
      </w:r>
      <w:bookmarkStart w:id="0" w:name="_GoBack"/>
      <w:bookmarkEnd w:id="0"/>
      <w:r>
        <w:rPr>
          <w:rFonts w:hint="eastAsia" w:eastAsia="仿宋_GB2312"/>
          <w:sz w:val="32"/>
          <w:szCs w:val="32"/>
          <w:lang w:eastAsia="zh-CN"/>
        </w:rPr>
        <w:t>。</w:t>
      </w:r>
    </w:p>
    <w:p>
      <w:pPr>
        <w:spacing w:line="560" w:lineRule="exact"/>
        <w:jc w:val="both"/>
        <w:rPr>
          <w:rFonts w:asciiTheme="majorEastAsia" w:hAnsiTheme="majorEastAsia" w:eastAsiaTheme="majorEastAsia" w:cstheme="majorEastAsia"/>
          <w:b/>
          <w:bCs/>
          <w:kern w:val="0"/>
          <w:sz w:val="36"/>
          <w:szCs w:val="36"/>
        </w:rPr>
      </w:pPr>
    </w:p>
    <w:p>
      <w:pPr>
        <w:spacing w:line="560" w:lineRule="exact"/>
        <w:jc w:val="center"/>
        <w:rPr>
          <w:rFonts w:asciiTheme="majorEastAsia" w:hAnsiTheme="majorEastAsia" w:eastAsiaTheme="majorEastAsia" w:cstheme="majorEastAsia"/>
          <w:b/>
          <w:bCs/>
          <w:kern w:val="0"/>
          <w:sz w:val="36"/>
          <w:szCs w:val="36"/>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6</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837CE"/>
    <w:multiLevelType w:val="multilevel"/>
    <w:tmpl w:val="56F837CE"/>
    <w:lvl w:ilvl="0" w:tentative="0">
      <w:start w:val="1"/>
      <w:numFmt w:val="japaneseCounting"/>
      <w:lvlText w:val="（%1）"/>
      <w:lvlJc w:val="left"/>
      <w:pPr>
        <w:ind w:left="1789"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AF2ADFD"/>
    <w:multiLevelType w:val="singleLevel"/>
    <w:tmpl w:val="5AF2ADFD"/>
    <w:lvl w:ilvl="0" w:tentative="0">
      <w:start w:val="7"/>
      <w:numFmt w:val="chineseCounting"/>
      <w:suff w:val="nothing"/>
      <w:lvlText w:val="%1、"/>
      <w:lvlJc w:val="left"/>
    </w:lvl>
  </w:abstractNum>
  <w:abstractNum w:abstractNumId="2">
    <w:nsid w:val="5AF3A6BC"/>
    <w:multiLevelType w:val="singleLevel"/>
    <w:tmpl w:val="5AF3A6BC"/>
    <w:lvl w:ilvl="0" w:tentative="0">
      <w:start w:val="6"/>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0CBF"/>
    <w:rsid w:val="0016425E"/>
    <w:rsid w:val="00167BE7"/>
    <w:rsid w:val="00180DA0"/>
    <w:rsid w:val="00181657"/>
    <w:rsid w:val="00182289"/>
    <w:rsid w:val="00183968"/>
    <w:rsid w:val="00190805"/>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46C1"/>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55B03"/>
    <w:rsid w:val="00261A82"/>
    <w:rsid w:val="0026227A"/>
    <w:rsid w:val="0027221E"/>
    <w:rsid w:val="00273F87"/>
    <w:rsid w:val="00286A75"/>
    <w:rsid w:val="00291511"/>
    <w:rsid w:val="00292E06"/>
    <w:rsid w:val="002A1611"/>
    <w:rsid w:val="002A336C"/>
    <w:rsid w:val="002A3ED2"/>
    <w:rsid w:val="002A4788"/>
    <w:rsid w:val="002B1E16"/>
    <w:rsid w:val="002B2BEF"/>
    <w:rsid w:val="002B778F"/>
    <w:rsid w:val="002C064D"/>
    <w:rsid w:val="002D6D4A"/>
    <w:rsid w:val="002E1DF4"/>
    <w:rsid w:val="002F13F7"/>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103"/>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A3424"/>
    <w:rsid w:val="005A662C"/>
    <w:rsid w:val="005A6E3C"/>
    <w:rsid w:val="005B70C2"/>
    <w:rsid w:val="005C488D"/>
    <w:rsid w:val="005C60E3"/>
    <w:rsid w:val="005C6D48"/>
    <w:rsid w:val="005C778B"/>
    <w:rsid w:val="005D0765"/>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1284"/>
    <w:rsid w:val="00784182"/>
    <w:rsid w:val="00786728"/>
    <w:rsid w:val="00793BCC"/>
    <w:rsid w:val="007974AB"/>
    <w:rsid w:val="007A0762"/>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353AA"/>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1C0B"/>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80A71"/>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EE052D"/>
    <w:rsid w:val="00F0324A"/>
    <w:rsid w:val="00F033A8"/>
    <w:rsid w:val="00F07FD8"/>
    <w:rsid w:val="00F15C5B"/>
    <w:rsid w:val="00F204D5"/>
    <w:rsid w:val="00F20863"/>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4766C12"/>
    <w:rsid w:val="08B24A29"/>
    <w:rsid w:val="0B5B5A73"/>
    <w:rsid w:val="12E37C78"/>
    <w:rsid w:val="17203872"/>
    <w:rsid w:val="1B0111E6"/>
    <w:rsid w:val="1D1C2307"/>
    <w:rsid w:val="20B56690"/>
    <w:rsid w:val="20C51591"/>
    <w:rsid w:val="2D3F43B7"/>
    <w:rsid w:val="31EE36C8"/>
    <w:rsid w:val="38371E26"/>
    <w:rsid w:val="3C4B1819"/>
    <w:rsid w:val="4A940803"/>
    <w:rsid w:val="4C9A3004"/>
    <w:rsid w:val="540C7E1D"/>
    <w:rsid w:val="545753DF"/>
    <w:rsid w:val="57E714CD"/>
    <w:rsid w:val="5E6F4D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qFormat/>
    <w:uiPriority w:val="99"/>
    <w:rPr>
      <w:rFonts w:cs="Times New Roman"/>
      <w:shd w:val="clear" w:color="auto" w:fill="auto"/>
    </w:rPr>
  </w:style>
  <w:style w:type="paragraph" w:customStyle="1" w:styleId="120">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10</Pages>
  <Words>787</Words>
  <Characters>4488</Characters>
  <Lines>37</Lines>
  <Paragraphs>10</Paragraphs>
  <TotalTime>3</TotalTime>
  <ScaleCrop>false</ScaleCrop>
  <LinksUpToDate>false</LinksUpToDate>
  <CharactersWithSpaces>5265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2019-07-02T04:08:00Z</dcterms:created>
  <dc:creator>ASUS</dc:creator>
  <cp:lastModifiedBy>LX</cp:lastModifiedBy>
  <cp:lastPrinted>2018-04-16T00:45:00Z</cp:lastPrinted>
  <dcterms:modified xsi:type="dcterms:W3CDTF">2021-08-17T00:41:28Z</dcterms:modified>
  <dc:title>2014年度常德市社会劳动保险处</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17550C24E8BE46EF8B2D142851D1B89C</vt:lpwstr>
  </property>
</Properties>
</file>