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69" w:rsidRDefault="00037B69" w:rsidP="00037B69">
      <w:pPr>
        <w:widowControl/>
        <w:spacing w:line="560" w:lineRule="exact"/>
        <w:rPr>
          <w:rFonts w:ascii="Times New Roman" w:hAnsi="Times New Roman"/>
          <w:b/>
          <w:color w:val="222222"/>
          <w:kern w:val="0"/>
          <w:sz w:val="44"/>
          <w:szCs w:val="44"/>
        </w:rPr>
      </w:pPr>
    </w:p>
    <w:p w:rsidR="00037B69" w:rsidRDefault="00037B69" w:rsidP="00037B69">
      <w:pPr>
        <w:spacing w:line="560" w:lineRule="exact"/>
        <w:jc w:val="center"/>
        <w:rPr>
          <w:rFonts w:ascii="Times New Roman" w:eastAsia="方正小标宋_GBK" w:hAnsi="Times New Roman"/>
          <w:b/>
          <w:kern w:val="0"/>
          <w:sz w:val="36"/>
          <w:szCs w:val="36"/>
        </w:rPr>
      </w:pPr>
    </w:p>
    <w:p w:rsidR="00037B69" w:rsidRDefault="00037B69" w:rsidP="00037B69">
      <w:pPr>
        <w:spacing w:line="560" w:lineRule="exact"/>
        <w:jc w:val="center"/>
        <w:rPr>
          <w:rFonts w:ascii="Times New Roman" w:hAnsi="Times New Roman"/>
          <w:b/>
          <w:kern w:val="0"/>
          <w:sz w:val="44"/>
          <w:szCs w:val="44"/>
        </w:rPr>
      </w:pPr>
      <w:r>
        <w:rPr>
          <w:rFonts w:ascii="Times New Roman" w:hAnsi="Times New Roman"/>
          <w:b/>
          <w:kern w:val="0"/>
          <w:sz w:val="44"/>
          <w:szCs w:val="44"/>
        </w:rPr>
        <w:t>20</w:t>
      </w:r>
      <w:r>
        <w:rPr>
          <w:rFonts w:ascii="Times New Roman" w:hAnsi="Times New Roman" w:hint="eastAsia"/>
          <w:b/>
          <w:kern w:val="0"/>
          <w:sz w:val="44"/>
          <w:szCs w:val="44"/>
        </w:rPr>
        <w:t>20</w:t>
      </w:r>
      <w:r>
        <w:rPr>
          <w:rFonts w:ascii="Times New Roman" w:hAnsi="Times New Roman" w:hint="eastAsia"/>
          <w:b/>
          <w:kern w:val="0"/>
          <w:sz w:val="44"/>
          <w:szCs w:val="44"/>
        </w:rPr>
        <w:t>年度澧县人力资源和社会保障局（本级）</w:t>
      </w:r>
    </w:p>
    <w:p w:rsidR="00037B69" w:rsidRDefault="00037B69" w:rsidP="00037B69">
      <w:pPr>
        <w:spacing w:line="560" w:lineRule="exact"/>
        <w:jc w:val="center"/>
        <w:rPr>
          <w:rFonts w:ascii="Times New Roman" w:hAnsi="Times New Roman"/>
          <w:b/>
          <w:kern w:val="0"/>
          <w:sz w:val="44"/>
          <w:szCs w:val="44"/>
        </w:rPr>
      </w:pPr>
      <w:r>
        <w:rPr>
          <w:rFonts w:ascii="Times New Roman" w:hAnsi="Times New Roman" w:hint="eastAsia"/>
          <w:b/>
          <w:kern w:val="0"/>
          <w:sz w:val="44"/>
          <w:szCs w:val="44"/>
        </w:rPr>
        <w:t>部门整体支出绩效报告</w:t>
      </w:r>
    </w:p>
    <w:p w:rsidR="00037B69" w:rsidRDefault="00037B69" w:rsidP="00037B69">
      <w:pPr>
        <w:widowControl/>
        <w:spacing w:line="560" w:lineRule="exact"/>
        <w:ind w:firstLine="640"/>
        <w:rPr>
          <w:rFonts w:ascii="Times New Roman" w:eastAsia="仿宋_GB2312" w:hAnsi="Times New Roman"/>
          <w:color w:val="222222"/>
          <w:kern w:val="0"/>
          <w:sz w:val="32"/>
          <w:szCs w:val="32"/>
        </w:rPr>
      </w:pPr>
    </w:p>
    <w:p w:rsidR="00037B69" w:rsidRDefault="00037B69" w:rsidP="00037B6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037B69" w:rsidRDefault="00037B69" w:rsidP="00037B69">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（一）机构、人员构成</w:t>
      </w:r>
    </w:p>
    <w:p w:rsidR="00037B69" w:rsidRDefault="00037B69" w:rsidP="00037B69">
      <w:pPr>
        <w:widowControl/>
        <w:spacing w:line="315" w:lineRule="atLeast"/>
        <w:ind w:firstLineChars="200" w:firstLine="640"/>
        <w:rPr>
          <w:rFonts w:ascii="仿宋" w:eastAsia="仿宋" w:hAnsi="仿宋" w:cs="仿宋"/>
          <w:color w:val="000000"/>
          <w:kern w:val="0"/>
          <w:sz w:val="32"/>
          <w:szCs w:val="32"/>
        </w:rPr>
      </w:pPr>
      <w:r>
        <w:rPr>
          <w:rFonts w:ascii="仿宋" w:eastAsia="仿宋" w:hAnsi="仿宋" w:cs="仿宋" w:hint="eastAsia"/>
          <w:kern w:val="0"/>
          <w:sz w:val="32"/>
          <w:szCs w:val="32"/>
        </w:rPr>
        <w:t>澧县人力资源和社会保障局（本级）单位内设机构包括：</w:t>
      </w:r>
      <w:r>
        <w:rPr>
          <w:rFonts w:ascii="仿宋" w:eastAsia="仿宋" w:hAnsi="仿宋" w:cs="仿宋" w:hint="eastAsia"/>
          <w:sz w:val="32"/>
          <w:szCs w:val="32"/>
        </w:rPr>
        <w:t>根据编委核定，我单位内设处室12个：</w:t>
      </w:r>
      <w:r>
        <w:rPr>
          <w:rFonts w:ascii="仿宋" w:eastAsia="仿宋" w:hAnsi="仿宋" w:cs="仿宋" w:hint="eastAsia"/>
          <w:kern w:val="0"/>
          <w:sz w:val="32"/>
          <w:szCs w:val="32"/>
        </w:rPr>
        <w:t>办公室、人事教育股、财务股、行政审批服务办公室（工伤保险股）、政策法规和劳动关系股（信访室、农民工工作股）、事业单位人事管理股、工资福利股、专业技术人员管理股、就业失业与人力资源股、职业能力建设股、职工养老保险股（城乡居民养老保险股）、社会保险基金监督股；</w:t>
      </w:r>
      <w:r>
        <w:rPr>
          <w:rFonts w:ascii="仿宋" w:eastAsia="仿宋" w:hAnsi="仿宋" w:cs="仿宋" w:hint="eastAsia"/>
          <w:color w:val="000000"/>
          <w:kern w:val="0"/>
          <w:sz w:val="32"/>
          <w:szCs w:val="32"/>
        </w:rPr>
        <w:t>局属2个财务非独立的副科级事业单位：县劳动人事争议仲载院、县人才开发交流服务中心。局属3个财务非独立的股级事业单位：县劳动保障监察大队、县人力资源考试中心、县社会保险基金征缴管理处。</w:t>
      </w:r>
    </w:p>
    <w:p w:rsidR="00037B69" w:rsidRDefault="00037B69" w:rsidP="00037B69">
      <w:pPr>
        <w:spacing w:line="560" w:lineRule="exact"/>
        <w:ind w:firstLineChars="200" w:firstLine="640"/>
        <w:jc w:val="left"/>
        <w:rPr>
          <w:rFonts w:ascii="仿宋" w:eastAsia="仿宋" w:hAnsi="仿宋" w:cs="仿宋_GB2312"/>
          <w:sz w:val="32"/>
          <w:szCs w:val="32"/>
        </w:rPr>
      </w:pPr>
      <w:r>
        <w:rPr>
          <w:rFonts w:ascii="仿宋" w:eastAsia="仿宋" w:hAnsi="仿宋" w:hint="eastAsia"/>
          <w:sz w:val="32"/>
          <w:szCs w:val="32"/>
        </w:rPr>
        <w:t>截止</w:t>
      </w:r>
      <w:r>
        <w:rPr>
          <w:rFonts w:ascii="仿宋" w:eastAsia="仿宋" w:hAnsi="仿宋"/>
          <w:sz w:val="32"/>
          <w:szCs w:val="32"/>
        </w:rPr>
        <w:t>20</w:t>
      </w:r>
      <w:r>
        <w:rPr>
          <w:rFonts w:ascii="仿宋" w:eastAsia="仿宋" w:hAnsi="仿宋" w:hint="eastAsia"/>
          <w:sz w:val="32"/>
          <w:szCs w:val="32"/>
        </w:rPr>
        <w:t>20年底，我局核定编制</w:t>
      </w:r>
      <w:r>
        <w:rPr>
          <w:rFonts w:ascii="仿宋" w:eastAsia="仿宋" w:hAnsi="仿宋"/>
          <w:sz w:val="32"/>
          <w:szCs w:val="32"/>
        </w:rPr>
        <w:t>5</w:t>
      </w:r>
      <w:r>
        <w:rPr>
          <w:rFonts w:ascii="仿宋" w:eastAsia="仿宋" w:hAnsi="仿宋" w:hint="eastAsia"/>
          <w:sz w:val="32"/>
          <w:szCs w:val="32"/>
        </w:rPr>
        <w:t>5人：其中行政编制36人，全额事业编制17人。实有在职人员</w:t>
      </w:r>
      <w:r>
        <w:rPr>
          <w:rFonts w:ascii="仿宋" w:eastAsia="仿宋" w:hAnsi="仿宋"/>
          <w:sz w:val="32"/>
          <w:szCs w:val="32"/>
        </w:rPr>
        <w:t>4</w:t>
      </w:r>
      <w:r>
        <w:rPr>
          <w:rFonts w:ascii="仿宋" w:eastAsia="仿宋" w:hAnsi="仿宋" w:hint="eastAsia"/>
          <w:sz w:val="32"/>
          <w:szCs w:val="32"/>
        </w:rPr>
        <w:t>7人，离退休人员</w:t>
      </w:r>
      <w:r>
        <w:rPr>
          <w:rFonts w:ascii="仿宋" w:eastAsia="仿宋" w:hAnsi="仿宋"/>
          <w:sz w:val="32"/>
          <w:szCs w:val="32"/>
        </w:rPr>
        <w:t>3</w:t>
      </w:r>
      <w:r>
        <w:rPr>
          <w:rFonts w:ascii="仿宋" w:eastAsia="仿宋" w:hAnsi="仿宋" w:hint="eastAsia"/>
          <w:sz w:val="32"/>
          <w:szCs w:val="32"/>
        </w:rPr>
        <w:t>9人。</w:t>
      </w:r>
    </w:p>
    <w:p w:rsidR="00037B69" w:rsidRDefault="00037B69" w:rsidP="00037B69">
      <w:p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（二）单位主要职责</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1、贯彻执行国家、省、市人力资源和社会保障方针政策和法律法规，拟订全县人力资源和社会保障事业发展规划和年度工</w:t>
      </w:r>
      <w:r>
        <w:rPr>
          <w:rFonts w:ascii="仿宋" w:eastAsia="仿宋" w:hAnsi="仿宋" w:cs="仿宋" w:hint="eastAsia"/>
          <w:kern w:val="0"/>
          <w:sz w:val="32"/>
          <w:szCs w:val="32"/>
        </w:rPr>
        <w:lastRenderedPageBreak/>
        <w:t xml:space="preserve">作计划，并组织实施。对全县人力资源和社会保障工作进行综合管理、监督指导、协调服务。 </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2、拟订并组织实施全县人力资源市场发展规划和人力资源流动政策，指导全县建立统一规范的人力资源市场，促进人力资源有效配置、合理流动。 </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3、负责全县促进就业工作，拟订和组织落实统筹城乡的就业发展规划和政策，完善公共就业服务体系，拟订和组织落实就业援助制度，统筹建立面向城乡劳动者的职业培训制度，牵头拟订高校毕业生就业政策，会同有关部门拟订全县高技能人才、农村实用人才培养和激励政策。 </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4、统筹建立覆盖城乡的社会保障体系。完善并组织实施城乡社会保险及其补充保险政策和标准，统筹实施机关企事业单位基本养老保险、工伤保险、失业保险政策。会同有关部门拟订社会保险及其补充保险基金管理和监督管理制度并实施监督，编制全县社会保险基金预决算草案。 </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5、负责全县就业、失业、社会保险基金预测预警和信息引导，拟订应对预案，实施预防、调节和控制，保持就业形势稳定和社会保险基金总体收支平衡。 </w:t>
      </w:r>
    </w:p>
    <w:p w:rsidR="00037B69" w:rsidRDefault="00037B69" w:rsidP="00037B69">
      <w:pPr>
        <w:widowControl/>
        <w:spacing w:line="315"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6、贯彻落实国家、省、市有关机关事业单位人员工资收入分配、人员福利、离退休政策，建立机关企事业单位人员工资正常增长和支付保障机制，拟订国有企业经营者收入分配政策，配合相关部门审核纳入县级财政统一发放工资范围的同级党政机</w:t>
      </w:r>
      <w:r>
        <w:rPr>
          <w:rFonts w:ascii="仿宋" w:eastAsia="仿宋" w:hAnsi="仿宋" w:cs="仿宋" w:hint="eastAsia"/>
          <w:kern w:val="0"/>
          <w:sz w:val="32"/>
          <w:szCs w:val="32"/>
        </w:rPr>
        <w:lastRenderedPageBreak/>
        <w:t xml:space="preserve">关、事业单位及人员的工资、奖金、津补贴标准和离退休费，拟订机关企事业单位人员福利和离退休办法并组织实施。 </w:t>
      </w:r>
    </w:p>
    <w:p w:rsidR="00037B69" w:rsidRDefault="00037B69" w:rsidP="00037B69">
      <w:pPr>
        <w:widowControl/>
        <w:ind w:firstLineChars="200" w:firstLine="640"/>
        <w:rPr>
          <w:rFonts w:ascii="仿宋" w:eastAsia="仿宋" w:hAnsi="仿宋" w:cs="仿宋"/>
          <w:color w:val="222222"/>
          <w:kern w:val="0"/>
          <w:sz w:val="32"/>
          <w:szCs w:val="32"/>
        </w:rPr>
      </w:pPr>
    </w:p>
    <w:p w:rsidR="00037B69" w:rsidRDefault="00037B69" w:rsidP="00037B69">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二、部门财务情况</w:t>
      </w:r>
    </w:p>
    <w:p w:rsidR="00037B69" w:rsidRDefault="00037B69" w:rsidP="00037B69">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（一）部门整体支出情况</w:t>
      </w:r>
    </w:p>
    <w:p w:rsidR="00037B69" w:rsidRPr="00337F78" w:rsidRDefault="00037B69" w:rsidP="00037B69">
      <w:pPr>
        <w:pStyle w:val="Default"/>
        <w:ind w:firstLineChars="200" w:firstLine="640"/>
        <w:rPr>
          <w:rFonts w:ascii="仿宋" w:eastAsia="仿宋" w:hAnsi="仿宋" w:cs="仿宋"/>
          <w:color w:val="222222"/>
          <w:sz w:val="32"/>
          <w:szCs w:val="32"/>
        </w:rPr>
      </w:pPr>
      <w:r w:rsidRPr="00337F78">
        <w:rPr>
          <w:rFonts w:ascii="仿宋" w:eastAsia="仿宋" w:hAnsi="仿宋" w:cs="仿宋"/>
          <w:color w:val="222222"/>
          <w:sz w:val="32"/>
          <w:szCs w:val="32"/>
        </w:rPr>
        <w:t>2020</w:t>
      </w:r>
      <w:r w:rsidRPr="00337F78">
        <w:rPr>
          <w:rFonts w:ascii="仿宋" w:eastAsia="仿宋" w:hAnsi="仿宋" w:cs="仿宋" w:hint="eastAsia"/>
          <w:color w:val="222222"/>
          <w:sz w:val="32"/>
          <w:szCs w:val="32"/>
        </w:rPr>
        <w:t>年度收、支总计1663.54万元（含结转结余）。与上年相比，增加341.27万元，增长25.81</w:t>
      </w:r>
      <w:r w:rsidRPr="00337F78">
        <w:rPr>
          <w:rFonts w:ascii="仿宋" w:eastAsia="仿宋" w:hAnsi="仿宋" w:cs="仿宋"/>
          <w:color w:val="222222"/>
          <w:sz w:val="32"/>
          <w:szCs w:val="32"/>
        </w:rPr>
        <w:t>%</w:t>
      </w:r>
      <w:r w:rsidRPr="00337F78">
        <w:rPr>
          <w:rFonts w:ascii="仿宋" w:eastAsia="仿宋" w:hAnsi="仿宋" w:cs="仿宋" w:hint="eastAsia"/>
          <w:color w:val="222222"/>
          <w:sz w:val="32"/>
          <w:szCs w:val="32"/>
        </w:rPr>
        <w:t>，主要是因为城乡社保全覆盖经费和基金征缴发放工作经费追加。</w:t>
      </w:r>
    </w:p>
    <w:p w:rsidR="00037B69" w:rsidRDefault="00037B69" w:rsidP="00037B69">
      <w:pPr>
        <w:spacing w:line="600" w:lineRule="exact"/>
        <w:ind w:rightChars="-244" w:right="-512"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（二）部门预算收支决算情况</w:t>
      </w:r>
    </w:p>
    <w:p w:rsidR="00037B69" w:rsidRDefault="00037B69" w:rsidP="00037B69">
      <w:pPr>
        <w:spacing w:line="600" w:lineRule="exact"/>
        <w:ind w:rightChars="-244" w:right="-512" w:firstLineChars="200" w:firstLine="640"/>
        <w:rPr>
          <w:rFonts w:ascii="仿宋" w:eastAsia="仿宋" w:hAnsi="仿宋" w:cs="仿宋"/>
          <w:sz w:val="32"/>
          <w:szCs w:val="32"/>
        </w:rPr>
      </w:pPr>
      <w:r>
        <w:rPr>
          <w:rFonts w:ascii="仿宋" w:eastAsia="仿宋" w:hAnsi="仿宋" w:cs="仿宋" w:hint="eastAsia"/>
          <w:sz w:val="32"/>
          <w:szCs w:val="32"/>
        </w:rPr>
        <w:t>2020年财政拨款总收入</w:t>
      </w:r>
      <w:r>
        <w:rPr>
          <w:rFonts w:ascii="宋体" w:hAnsi="宋体" w:cs="宋体" w:hint="eastAsia"/>
          <w:sz w:val="32"/>
          <w:szCs w:val="32"/>
        </w:rPr>
        <w:t>1435.32万元</w:t>
      </w:r>
      <w:r>
        <w:rPr>
          <w:rFonts w:ascii="仿宋" w:eastAsia="仿宋" w:hAnsi="仿宋" w:cs="仿宋" w:hint="eastAsia"/>
          <w:sz w:val="32"/>
          <w:szCs w:val="32"/>
        </w:rPr>
        <w:t>，均为一般公共预算财政拨款收入，无政府性基金预算财政拨款收入。财政拨款总支出</w:t>
      </w:r>
      <w:r>
        <w:rPr>
          <w:rFonts w:ascii="宋体" w:hAnsi="宋体" w:cs="宋体" w:hint="eastAsia"/>
          <w:sz w:val="32"/>
          <w:szCs w:val="32"/>
        </w:rPr>
        <w:t>1366.44万元</w:t>
      </w:r>
      <w:r>
        <w:rPr>
          <w:rFonts w:ascii="仿宋" w:eastAsia="仿宋" w:hAnsi="仿宋" w:cs="仿宋" w:hint="eastAsia"/>
          <w:sz w:val="32"/>
          <w:szCs w:val="32"/>
        </w:rPr>
        <w:t>，均为一般公共预算财政拨款支出，无政府性基金预算财政拨款支出。</w:t>
      </w:r>
    </w:p>
    <w:p w:rsidR="00037B69" w:rsidRDefault="00037B69" w:rsidP="00037B69">
      <w:pPr>
        <w:widowControl/>
        <w:ind w:firstLineChars="200" w:firstLine="640"/>
        <w:rPr>
          <w:rFonts w:ascii="仿宋" w:eastAsia="仿宋" w:hAnsi="仿宋" w:cs="仿宋"/>
          <w:sz w:val="32"/>
          <w:szCs w:val="32"/>
        </w:rPr>
      </w:pPr>
      <w:r>
        <w:rPr>
          <w:rFonts w:ascii="仿宋" w:eastAsia="仿宋" w:hAnsi="仿宋" w:cs="仿宋" w:hint="eastAsia"/>
          <w:color w:val="222222"/>
          <w:kern w:val="0"/>
          <w:sz w:val="32"/>
          <w:szCs w:val="32"/>
        </w:rPr>
        <w:t>（三） “三公经费”支出使用和管理情况</w:t>
      </w:r>
    </w:p>
    <w:p w:rsidR="00037B69" w:rsidRPr="00337F78" w:rsidRDefault="00037B69" w:rsidP="00037B69">
      <w:pPr>
        <w:pStyle w:val="Default"/>
        <w:ind w:firstLineChars="200" w:firstLine="640"/>
        <w:rPr>
          <w:rFonts w:ascii="仿宋" w:eastAsia="仿宋" w:hAnsi="仿宋" w:cs="仿宋"/>
          <w:color w:val="auto"/>
          <w:kern w:val="2"/>
          <w:sz w:val="32"/>
          <w:szCs w:val="32"/>
        </w:rPr>
      </w:pPr>
      <w:r w:rsidRPr="00337F78">
        <w:rPr>
          <w:rFonts w:ascii="仿宋" w:eastAsia="仿宋" w:hAnsi="仿宋" w:cs="仿宋"/>
          <w:color w:val="auto"/>
          <w:kern w:val="2"/>
          <w:sz w:val="32"/>
          <w:szCs w:val="32"/>
        </w:rPr>
        <w:t>2020</w:t>
      </w:r>
      <w:r w:rsidRPr="00337F78">
        <w:rPr>
          <w:rFonts w:ascii="仿宋" w:eastAsia="仿宋" w:hAnsi="仿宋" w:cs="仿宋" w:hint="eastAsia"/>
          <w:color w:val="auto"/>
          <w:kern w:val="2"/>
          <w:sz w:val="32"/>
          <w:szCs w:val="32"/>
        </w:rPr>
        <w:t>年度“三公”经费财政拨款支出决算中，公务接待费支出决算27万元，占100</w:t>
      </w:r>
      <w:r w:rsidRPr="00337F78">
        <w:rPr>
          <w:rFonts w:ascii="仿宋" w:eastAsia="仿宋" w:hAnsi="仿宋" w:cs="仿宋"/>
          <w:color w:val="auto"/>
          <w:kern w:val="2"/>
          <w:sz w:val="32"/>
          <w:szCs w:val="32"/>
        </w:rPr>
        <w:t>%,</w:t>
      </w:r>
      <w:r w:rsidRPr="00337F78">
        <w:rPr>
          <w:rFonts w:ascii="仿宋" w:eastAsia="仿宋" w:hAnsi="仿宋" w:cs="仿宋" w:hint="eastAsia"/>
          <w:color w:val="auto"/>
          <w:kern w:val="2"/>
          <w:sz w:val="32"/>
          <w:szCs w:val="32"/>
        </w:rPr>
        <w:t>因公出国（境）费支出决算0万元，占0</w:t>
      </w:r>
      <w:r w:rsidRPr="00337F78">
        <w:rPr>
          <w:rFonts w:ascii="仿宋" w:eastAsia="仿宋" w:hAnsi="仿宋" w:cs="仿宋"/>
          <w:color w:val="auto"/>
          <w:kern w:val="2"/>
          <w:sz w:val="32"/>
          <w:szCs w:val="32"/>
        </w:rPr>
        <w:t>%,</w:t>
      </w:r>
      <w:r w:rsidRPr="00337F78">
        <w:rPr>
          <w:rFonts w:ascii="仿宋" w:eastAsia="仿宋" w:hAnsi="仿宋" w:cs="仿宋" w:hint="eastAsia"/>
          <w:color w:val="auto"/>
          <w:kern w:val="2"/>
          <w:sz w:val="32"/>
          <w:szCs w:val="32"/>
        </w:rPr>
        <w:t>公务用车购置费及运行维护费支出决算0万元，占0</w:t>
      </w:r>
      <w:r w:rsidRPr="00337F78">
        <w:rPr>
          <w:rFonts w:ascii="仿宋" w:eastAsia="仿宋" w:hAnsi="仿宋" w:cs="仿宋"/>
          <w:color w:val="auto"/>
          <w:kern w:val="2"/>
          <w:sz w:val="32"/>
          <w:szCs w:val="32"/>
        </w:rPr>
        <w:t>%</w:t>
      </w:r>
      <w:r w:rsidRPr="00337F78">
        <w:rPr>
          <w:rFonts w:ascii="仿宋" w:eastAsia="仿宋" w:hAnsi="仿宋" w:cs="仿宋" w:hint="eastAsia"/>
          <w:color w:val="auto"/>
          <w:kern w:val="2"/>
          <w:sz w:val="32"/>
          <w:szCs w:val="32"/>
        </w:rPr>
        <w:t>。其中：</w:t>
      </w:r>
    </w:p>
    <w:p w:rsidR="00037B69" w:rsidRPr="00337F78" w:rsidRDefault="00037B69" w:rsidP="00037B69">
      <w:pPr>
        <w:pStyle w:val="Default"/>
        <w:ind w:firstLineChars="200" w:firstLine="640"/>
        <w:rPr>
          <w:rFonts w:ascii="仿宋" w:eastAsia="仿宋" w:hAnsi="仿宋" w:cs="仿宋"/>
          <w:color w:val="auto"/>
          <w:kern w:val="2"/>
          <w:sz w:val="32"/>
          <w:szCs w:val="32"/>
        </w:rPr>
      </w:pPr>
      <w:r w:rsidRPr="00337F78">
        <w:rPr>
          <w:rFonts w:ascii="仿宋" w:eastAsia="仿宋" w:hAnsi="仿宋" w:cs="仿宋"/>
          <w:color w:val="auto"/>
          <w:kern w:val="2"/>
          <w:sz w:val="32"/>
          <w:szCs w:val="32"/>
        </w:rPr>
        <w:t>1</w:t>
      </w:r>
      <w:r w:rsidRPr="00337F78">
        <w:rPr>
          <w:rFonts w:ascii="仿宋" w:eastAsia="仿宋" w:hAnsi="仿宋" w:cs="仿宋" w:hint="eastAsia"/>
          <w:color w:val="auto"/>
          <w:kern w:val="2"/>
          <w:sz w:val="32"/>
          <w:szCs w:val="32"/>
        </w:rPr>
        <w:t>、因公出国（境）费支出决算为0万元，全年安排因公出国（境）团组0个，累计0人次。</w:t>
      </w:r>
    </w:p>
    <w:p w:rsidR="00037B69" w:rsidRPr="00337F78" w:rsidRDefault="00037B69" w:rsidP="00037B69">
      <w:pPr>
        <w:pStyle w:val="Default"/>
        <w:ind w:firstLineChars="200" w:firstLine="640"/>
        <w:rPr>
          <w:rFonts w:ascii="仿宋" w:eastAsia="仿宋" w:hAnsi="仿宋" w:cs="仿宋"/>
          <w:color w:val="auto"/>
          <w:kern w:val="2"/>
          <w:sz w:val="32"/>
          <w:szCs w:val="32"/>
        </w:rPr>
      </w:pPr>
      <w:r w:rsidRPr="00337F78">
        <w:rPr>
          <w:rFonts w:ascii="仿宋" w:eastAsia="仿宋" w:hAnsi="仿宋" w:cs="仿宋"/>
          <w:color w:val="auto"/>
          <w:kern w:val="2"/>
          <w:sz w:val="32"/>
          <w:szCs w:val="32"/>
        </w:rPr>
        <w:t>2</w:t>
      </w:r>
      <w:r w:rsidRPr="00337F78">
        <w:rPr>
          <w:rFonts w:ascii="仿宋" w:eastAsia="仿宋" w:hAnsi="仿宋" w:cs="仿宋" w:hint="eastAsia"/>
          <w:color w:val="auto"/>
          <w:kern w:val="2"/>
          <w:sz w:val="32"/>
          <w:szCs w:val="32"/>
        </w:rPr>
        <w:t>、公务接待费支出决算为27万元，全年共接待来访团组190个、来宾1928人次，主要是上级检查指导工作、临县同僚工作交流、乡镇相关人员业务交流、基金征缴开餐等发生的接待支出。</w:t>
      </w:r>
    </w:p>
    <w:p w:rsidR="00037B69" w:rsidRPr="00337F78" w:rsidRDefault="00037B69" w:rsidP="00037B69">
      <w:pPr>
        <w:ind w:firstLineChars="200" w:firstLine="640"/>
        <w:rPr>
          <w:rFonts w:ascii="仿宋" w:eastAsia="仿宋" w:hAnsi="仿宋" w:cs="仿宋"/>
          <w:sz w:val="32"/>
          <w:szCs w:val="32"/>
        </w:rPr>
      </w:pPr>
      <w:r w:rsidRPr="00337F78">
        <w:rPr>
          <w:rFonts w:ascii="仿宋" w:eastAsia="仿宋" w:hAnsi="仿宋" w:cs="仿宋"/>
          <w:sz w:val="32"/>
          <w:szCs w:val="32"/>
        </w:rPr>
        <w:lastRenderedPageBreak/>
        <w:t>3</w:t>
      </w:r>
      <w:r w:rsidRPr="00337F78">
        <w:rPr>
          <w:rFonts w:ascii="仿宋" w:eastAsia="仿宋" w:hAnsi="仿宋" w:cs="仿宋" w:hint="eastAsia"/>
          <w:sz w:val="32"/>
          <w:szCs w:val="32"/>
        </w:rPr>
        <w:t>、公务用车购置费及运行维护费支出决算为0万元，其中：公务用车购置费0万元。公务用车运行维护费0万元，截止</w:t>
      </w:r>
      <w:r w:rsidRPr="00337F78">
        <w:rPr>
          <w:rFonts w:ascii="仿宋" w:eastAsia="仿宋" w:hAnsi="仿宋" w:cs="仿宋"/>
          <w:sz w:val="32"/>
          <w:szCs w:val="32"/>
        </w:rPr>
        <w:t>2020</w:t>
      </w:r>
      <w:r w:rsidRPr="00337F78">
        <w:rPr>
          <w:rFonts w:ascii="仿宋" w:eastAsia="仿宋" w:hAnsi="仿宋" w:cs="仿宋" w:hint="eastAsia"/>
          <w:sz w:val="32"/>
          <w:szCs w:val="32"/>
        </w:rPr>
        <w:t>年</w:t>
      </w:r>
      <w:r w:rsidRPr="00337F78">
        <w:rPr>
          <w:rFonts w:ascii="仿宋" w:eastAsia="仿宋" w:hAnsi="仿宋" w:cs="仿宋"/>
          <w:sz w:val="32"/>
          <w:szCs w:val="32"/>
        </w:rPr>
        <w:t>12</w:t>
      </w:r>
      <w:r w:rsidRPr="00337F78">
        <w:rPr>
          <w:rFonts w:ascii="仿宋" w:eastAsia="仿宋" w:hAnsi="仿宋" w:cs="仿宋" w:hint="eastAsia"/>
          <w:sz w:val="32"/>
          <w:szCs w:val="32"/>
        </w:rPr>
        <w:t>月</w:t>
      </w:r>
      <w:r w:rsidRPr="00337F78">
        <w:rPr>
          <w:rFonts w:ascii="仿宋" w:eastAsia="仿宋" w:hAnsi="仿宋" w:cs="仿宋"/>
          <w:sz w:val="32"/>
          <w:szCs w:val="32"/>
        </w:rPr>
        <w:t>31</w:t>
      </w:r>
      <w:r w:rsidRPr="00337F78">
        <w:rPr>
          <w:rFonts w:ascii="仿宋" w:eastAsia="仿宋" w:hAnsi="仿宋" w:cs="仿宋" w:hint="eastAsia"/>
          <w:sz w:val="32"/>
          <w:szCs w:val="32"/>
        </w:rPr>
        <w:t>日，我单位开支财政拨款的公务用车保有量为0辆。</w:t>
      </w:r>
    </w:p>
    <w:p w:rsidR="00037B69" w:rsidRDefault="00037B69" w:rsidP="00037B6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037B69" w:rsidRDefault="00037B69" w:rsidP="00037B69">
      <w:pPr>
        <w:ind w:firstLineChars="200" w:firstLine="640"/>
        <w:rPr>
          <w:rFonts w:ascii="仿宋" w:eastAsia="仿宋" w:hAnsi="仿宋" w:cs="仿宋"/>
          <w:sz w:val="32"/>
          <w:szCs w:val="32"/>
        </w:rPr>
      </w:pPr>
      <w:r>
        <w:rPr>
          <w:rFonts w:ascii="仿宋" w:eastAsia="仿宋" w:hAnsi="仿宋" w:cs="仿宋" w:hint="eastAsia"/>
          <w:color w:val="222222"/>
          <w:kern w:val="0"/>
          <w:sz w:val="32"/>
          <w:szCs w:val="32"/>
        </w:rPr>
        <w:t>（一）部门绩效总目标</w:t>
      </w:r>
    </w:p>
    <w:p w:rsidR="00037B69" w:rsidRDefault="00037B69" w:rsidP="00037B69">
      <w:pPr>
        <w:widowControl/>
        <w:ind w:firstLineChars="200" w:firstLine="640"/>
        <w:rPr>
          <w:rFonts w:ascii="仿宋" w:eastAsia="仿宋" w:hAnsi="仿宋" w:cs="仿宋"/>
          <w:color w:val="222222"/>
          <w:kern w:val="0"/>
          <w:sz w:val="32"/>
          <w:szCs w:val="32"/>
        </w:rPr>
      </w:pPr>
      <w:r>
        <w:rPr>
          <w:rFonts w:ascii="仿宋" w:eastAsia="仿宋" w:hAnsi="仿宋" w:cs="仿宋" w:hint="eastAsia"/>
          <w:sz w:val="32"/>
          <w:szCs w:val="32"/>
        </w:rPr>
        <w:t>2020年是改革之年，我们的基本思路是顺应改革、瘦身强体，精准施策、扩大就业，强化监督、防范风险，严格执法、维护和谐，转变作风、提升服务。</w:t>
      </w:r>
    </w:p>
    <w:p w:rsidR="00037B69" w:rsidRDefault="00037B69" w:rsidP="00037B69">
      <w:pPr>
        <w:ind w:firstLineChars="200" w:firstLine="640"/>
        <w:jc w:val="left"/>
        <w:rPr>
          <w:rFonts w:ascii="仿宋" w:eastAsia="仿宋" w:hAnsi="仿宋" w:cs="仿宋"/>
          <w:sz w:val="32"/>
          <w:szCs w:val="32"/>
        </w:rPr>
      </w:pPr>
      <w:r>
        <w:rPr>
          <w:rFonts w:ascii="仿宋" w:eastAsia="仿宋" w:hAnsi="仿宋" w:cs="仿宋" w:hint="eastAsia"/>
          <w:color w:val="222222"/>
          <w:kern w:val="0"/>
          <w:sz w:val="32"/>
          <w:szCs w:val="32"/>
        </w:rPr>
        <w:t>（二）2020年度部门绩效目标</w:t>
      </w:r>
    </w:p>
    <w:p w:rsidR="00037B69" w:rsidRDefault="00037B69" w:rsidP="00037B69">
      <w:pPr>
        <w:ind w:firstLineChars="200" w:firstLine="640"/>
        <w:rPr>
          <w:rFonts w:ascii="仿宋" w:eastAsia="仿宋" w:hAnsi="仿宋" w:cs="仿宋"/>
          <w:sz w:val="32"/>
          <w:szCs w:val="32"/>
        </w:rPr>
      </w:pPr>
      <w:r>
        <w:rPr>
          <w:rFonts w:ascii="仿宋" w:eastAsia="仿宋" w:hAnsi="仿宋" w:cs="仿宋" w:hint="eastAsia"/>
          <w:sz w:val="32"/>
          <w:szCs w:val="32"/>
        </w:rPr>
        <w:t>1、加强人社窗口和基层服务平台标准化建设，推进人社服务提质增效。平台建设覆盖所有村、社区。持续加强经办能力建设。</w:t>
      </w:r>
    </w:p>
    <w:p w:rsidR="00037B69" w:rsidRDefault="00037B69" w:rsidP="00037B69">
      <w:pPr>
        <w:ind w:firstLineChars="200" w:firstLine="640"/>
        <w:rPr>
          <w:rFonts w:ascii="仿宋" w:eastAsia="仿宋" w:hAnsi="仿宋" w:cs="仿宋"/>
          <w:sz w:val="32"/>
          <w:szCs w:val="32"/>
        </w:rPr>
      </w:pPr>
      <w:r>
        <w:rPr>
          <w:rFonts w:ascii="仿宋" w:eastAsia="仿宋" w:hAnsi="仿宋" w:cs="仿宋" w:hint="eastAsia"/>
          <w:sz w:val="32"/>
          <w:szCs w:val="32"/>
        </w:rPr>
        <w:t>2、加强基金风险防控工作。实行常态化、制度化、规范化监督管理。</w:t>
      </w:r>
    </w:p>
    <w:p w:rsidR="00037B69" w:rsidRDefault="00037B69" w:rsidP="00037B69">
      <w:pPr>
        <w:ind w:firstLineChars="200" w:firstLine="640"/>
        <w:rPr>
          <w:rFonts w:ascii="仿宋" w:eastAsia="仿宋" w:hAnsi="仿宋" w:cs="仿宋"/>
          <w:sz w:val="32"/>
          <w:szCs w:val="32"/>
        </w:rPr>
      </w:pPr>
      <w:r>
        <w:rPr>
          <w:rFonts w:ascii="仿宋" w:eastAsia="仿宋" w:hAnsi="仿宋" w:cs="仿宋" w:hint="eastAsia"/>
          <w:sz w:val="32"/>
          <w:szCs w:val="32"/>
        </w:rPr>
        <w:t>3、加大劳动监察执法力度，整顿规范人力资源服务市场，构建和谐劳动关系。</w:t>
      </w:r>
    </w:p>
    <w:p w:rsidR="00037B69" w:rsidRDefault="00037B69" w:rsidP="00037B69">
      <w:pPr>
        <w:ind w:firstLineChars="200" w:firstLine="640"/>
        <w:rPr>
          <w:rFonts w:ascii="仿宋" w:eastAsia="仿宋" w:hAnsi="仿宋" w:cs="仿宋"/>
          <w:sz w:val="32"/>
          <w:szCs w:val="32"/>
        </w:rPr>
      </w:pPr>
      <w:r>
        <w:rPr>
          <w:rFonts w:ascii="仿宋" w:eastAsia="仿宋" w:hAnsi="仿宋" w:cs="仿宋" w:hint="eastAsia"/>
          <w:sz w:val="32"/>
          <w:szCs w:val="32"/>
        </w:rPr>
        <w:t>4、实施补充工伤保险。建立完善补充工伤保险，加强工伤预防、工伤补偿和工伤康复三位一体的工伤保险体系建设，进一步提高工伤事故认定和劳动能力鉴定质量。</w:t>
      </w:r>
    </w:p>
    <w:p w:rsidR="00037B69" w:rsidRDefault="00037B69" w:rsidP="00037B69">
      <w:pPr>
        <w:widowControl/>
        <w:ind w:firstLineChars="200" w:firstLine="640"/>
        <w:rPr>
          <w:rFonts w:ascii="仿宋" w:eastAsia="仿宋" w:hAnsi="仿宋" w:cs="仿宋"/>
          <w:sz w:val="32"/>
          <w:szCs w:val="32"/>
        </w:rPr>
      </w:pPr>
      <w:r>
        <w:rPr>
          <w:rFonts w:ascii="仿宋" w:eastAsia="仿宋" w:hAnsi="仿宋" w:cs="仿宋" w:hint="eastAsia"/>
          <w:sz w:val="32"/>
          <w:szCs w:val="32"/>
        </w:rPr>
        <w:t>5、加强人社政策宣传，让人社政策最大限度惠及老百姓。建立完善的政策宣传渠道，借助微信、村村响、广播电视等平台，</w:t>
      </w:r>
      <w:r>
        <w:rPr>
          <w:rFonts w:ascii="仿宋" w:eastAsia="仿宋" w:hAnsi="仿宋" w:cs="仿宋" w:hint="eastAsia"/>
          <w:sz w:val="32"/>
          <w:szCs w:val="32"/>
        </w:rPr>
        <w:lastRenderedPageBreak/>
        <w:t>通过宣传车、宣传栏、大型电子显示屏等载体，广泛宣传惠民政策，使服务对象足不出户即能读懂人社政策，扩大政策知晓面。</w:t>
      </w:r>
    </w:p>
    <w:p w:rsidR="00037B69" w:rsidRDefault="00037B69" w:rsidP="00037B69">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037B69" w:rsidRDefault="00037B69" w:rsidP="00037B69">
      <w:pPr>
        <w:widowControl/>
        <w:ind w:firstLineChars="200" w:firstLine="640"/>
        <w:rPr>
          <w:rFonts w:ascii="黑体" w:eastAsia="黑体" w:hAnsi="黑体" w:cs="黑体"/>
          <w:color w:val="222222"/>
          <w:kern w:val="0"/>
          <w:sz w:val="32"/>
          <w:szCs w:val="32"/>
        </w:rPr>
      </w:pPr>
      <w:r>
        <w:rPr>
          <w:rFonts w:ascii="仿宋" w:eastAsia="仿宋" w:hAnsi="仿宋" w:hint="eastAsia"/>
          <w:sz w:val="32"/>
          <w:szCs w:val="32"/>
        </w:rPr>
        <w:t>根据财政绩效股要求，我局积极成立了绩效评价工作小组，局财务股对本次工作进行统一组织和协调。</w:t>
      </w:r>
      <w:r>
        <w:rPr>
          <w:rFonts w:ascii="仿宋" w:eastAsia="仿宋" w:hAnsi="仿宋"/>
          <w:sz w:val="32"/>
          <w:szCs w:val="32"/>
        </w:rPr>
        <w:t>6</w:t>
      </w:r>
      <w:r>
        <w:rPr>
          <w:rFonts w:ascii="仿宋" w:eastAsia="仿宋" w:hAnsi="仿宋" w:hint="eastAsia"/>
          <w:sz w:val="32"/>
          <w:szCs w:val="32"/>
        </w:rPr>
        <w:t>月份我局对2020年的整体绩效情况进行跟踪。分析支出中的不足，核查专项资金使用和管理、财务账目等情况，了解资金使用效果及存在的问题，9月份对年度的整体绩效支出采集相关数据和结合报送的绩效自评报告等材料进行分析总结。</w:t>
      </w:r>
    </w:p>
    <w:p w:rsidR="00037B69" w:rsidRDefault="00037B69" w:rsidP="00037B69">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037B69" w:rsidRDefault="00037B69" w:rsidP="00037B69">
      <w:pPr>
        <w:widowControl/>
        <w:ind w:firstLineChars="200" w:firstLine="640"/>
        <w:rPr>
          <w:rFonts w:ascii="仿宋" w:eastAsia="仿宋" w:hAnsi="仿宋"/>
          <w:sz w:val="32"/>
          <w:szCs w:val="32"/>
        </w:rPr>
      </w:pPr>
      <w:r>
        <w:rPr>
          <w:rFonts w:ascii="仿宋" w:eastAsia="仿宋" w:hAnsi="仿宋" w:hint="eastAsia"/>
          <w:sz w:val="32"/>
          <w:szCs w:val="32"/>
        </w:rPr>
        <w:t>根据部门整体支出绩效评价指标，我局2020年部门整体支出评价自评得分</w:t>
      </w:r>
      <w:r>
        <w:rPr>
          <w:rFonts w:ascii="仿宋" w:eastAsia="仿宋" w:hAnsi="仿宋"/>
          <w:sz w:val="32"/>
          <w:szCs w:val="32"/>
        </w:rPr>
        <w:t>9</w:t>
      </w:r>
      <w:r w:rsidR="000E20FE">
        <w:rPr>
          <w:rFonts w:ascii="仿宋" w:eastAsia="仿宋" w:hAnsi="仿宋" w:hint="eastAsia"/>
          <w:sz w:val="32"/>
          <w:szCs w:val="32"/>
        </w:rPr>
        <w:t>8</w:t>
      </w:r>
      <w:r>
        <w:rPr>
          <w:rFonts w:ascii="仿宋" w:eastAsia="仿宋" w:hAnsi="仿宋" w:hint="eastAsia"/>
          <w:sz w:val="32"/>
          <w:szCs w:val="32"/>
        </w:rPr>
        <w:t>分，其中预算完成率、控制率分别扣</w:t>
      </w:r>
      <w:r>
        <w:rPr>
          <w:rFonts w:ascii="仿宋" w:eastAsia="仿宋" w:hAnsi="仿宋"/>
          <w:sz w:val="32"/>
          <w:szCs w:val="32"/>
        </w:rPr>
        <w:t>1</w:t>
      </w:r>
      <w:r>
        <w:rPr>
          <w:rFonts w:ascii="仿宋" w:eastAsia="仿宋" w:hAnsi="仿宋" w:hint="eastAsia"/>
          <w:sz w:val="32"/>
          <w:szCs w:val="32"/>
        </w:rPr>
        <w:t>分和</w:t>
      </w:r>
      <w:r w:rsidR="000E20FE">
        <w:rPr>
          <w:rFonts w:ascii="仿宋" w:eastAsia="仿宋" w:hAnsi="仿宋" w:hint="eastAsia"/>
          <w:sz w:val="32"/>
          <w:szCs w:val="32"/>
        </w:rPr>
        <w:t>1</w:t>
      </w:r>
      <w:r>
        <w:rPr>
          <w:rFonts w:ascii="仿宋" w:eastAsia="仿宋" w:hAnsi="仿宋" w:hint="eastAsia"/>
          <w:sz w:val="32"/>
          <w:szCs w:val="32"/>
        </w:rPr>
        <w:t>分。财政项目支出绩效评价为“好”。</w:t>
      </w:r>
    </w:p>
    <w:p w:rsidR="00037B69" w:rsidRDefault="00037B69" w:rsidP="00037B69">
      <w:pPr>
        <w:spacing w:line="560" w:lineRule="exact"/>
        <w:ind w:firstLineChars="250" w:firstLine="80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037B69" w:rsidRDefault="00037B69" w:rsidP="00037B69">
      <w:pPr>
        <w:spacing w:line="560" w:lineRule="exact"/>
        <w:ind w:firstLineChars="250" w:firstLine="800"/>
        <w:rPr>
          <w:rFonts w:ascii="仿宋" w:eastAsia="仿宋" w:hAnsi="仿宋"/>
          <w:bCs/>
          <w:sz w:val="32"/>
          <w:szCs w:val="32"/>
        </w:rPr>
      </w:pPr>
      <w:r>
        <w:rPr>
          <w:rFonts w:ascii="仿宋" w:eastAsia="仿宋" w:hAnsi="仿宋" w:hint="eastAsia"/>
          <w:sz w:val="32"/>
          <w:szCs w:val="32"/>
        </w:rPr>
        <w:t>2020年我局财政决算数为</w:t>
      </w:r>
      <w:r>
        <w:rPr>
          <w:rFonts w:ascii="宋体" w:hAnsi="宋体" w:cs="宋体" w:hint="eastAsia"/>
          <w:sz w:val="32"/>
          <w:szCs w:val="32"/>
        </w:rPr>
        <w:t>1366.44万元</w:t>
      </w:r>
      <w:r>
        <w:rPr>
          <w:rFonts w:ascii="仿宋" w:eastAsia="仿宋" w:hAnsi="仿宋" w:hint="eastAsia"/>
          <w:sz w:val="32"/>
          <w:szCs w:val="32"/>
        </w:rPr>
        <w:t>，主要是为保障单位机构正常运转、完成日常工作任务而发生的各项支出，包括用于基本工资、津贴补贴等人员经费以及办公费、印刷费、水电费、办公设备购置等日常公用经费和专项经费。</w:t>
      </w:r>
      <w:r>
        <w:rPr>
          <w:rFonts w:ascii="仿宋" w:eastAsia="仿宋" w:hAnsi="仿宋" w:hint="eastAsia"/>
          <w:bCs/>
          <w:sz w:val="32"/>
          <w:szCs w:val="32"/>
        </w:rPr>
        <w:t>我局在贯彻落实厉行节约、严控“三公”经费、降低一般运行经费、加强支出管理等方面制度落实较好。</w:t>
      </w:r>
    </w:p>
    <w:p w:rsidR="00037B69" w:rsidRDefault="00037B69" w:rsidP="00037B69">
      <w:pPr>
        <w:widowControl/>
        <w:ind w:firstLineChars="200" w:firstLine="640"/>
        <w:rPr>
          <w:rFonts w:ascii="仿宋" w:eastAsia="仿宋" w:hAnsi="仿宋" w:cs="黑体"/>
          <w:color w:val="222222"/>
          <w:kern w:val="0"/>
          <w:sz w:val="32"/>
          <w:szCs w:val="32"/>
        </w:rPr>
      </w:pPr>
    </w:p>
    <w:p w:rsidR="00037B69" w:rsidRDefault="00037B69" w:rsidP="00037B69">
      <w:pPr>
        <w:spacing w:line="560" w:lineRule="exact"/>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037B69" w:rsidRDefault="00037B69" w:rsidP="00037B69">
      <w:pPr>
        <w:spacing w:line="560" w:lineRule="exact"/>
        <w:ind w:firstLineChars="200" w:firstLine="640"/>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、支出中预算与决算还不够精准，</w:t>
      </w:r>
    </w:p>
    <w:p w:rsidR="00037B69" w:rsidRDefault="00037B69" w:rsidP="00037B69">
      <w:pPr>
        <w:spacing w:line="560" w:lineRule="exact"/>
        <w:ind w:firstLineChars="200" w:firstLine="640"/>
        <w:rPr>
          <w:rFonts w:ascii="仿宋" w:eastAsia="仿宋" w:hAnsi="仿宋"/>
          <w:bCs/>
          <w:sz w:val="32"/>
          <w:szCs w:val="32"/>
        </w:rPr>
      </w:pPr>
      <w:r>
        <w:rPr>
          <w:rFonts w:ascii="仿宋" w:eastAsia="仿宋" w:hAnsi="仿宋"/>
          <w:bCs/>
          <w:sz w:val="32"/>
          <w:szCs w:val="32"/>
        </w:rPr>
        <w:lastRenderedPageBreak/>
        <w:t>2</w:t>
      </w:r>
      <w:r>
        <w:rPr>
          <w:rFonts w:ascii="仿宋" w:eastAsia="仿宋" w:hAnsi="仿宋" w:hint="eastAsia"/>
          <w:bCs/>
          <w:sz w:val="32"/>
          <w:szCs w:val="32"/>
        </w:rPr>
        <w:t>、一些费用明细项存在超支或节余问题，导致费用调剂使用。</w:t>
      </w:r>
    </w:p>
    <w:p w:rsidR="00037B69" w:rsidRDefault="00037B69" w:rsidP="00037B69">
      <w:pPr>
        <w:spacing w:line="560" w:lineRule="exact"/>
        <w:ind w:firstLineChars="200" w:firstLine="640"/>
        <w:rPr>
          <w:rFonts w:ascii="仿宋" w:eastAsia="仿宋" w:hAnsi="仿宋" w:cs="黑体"/>
          <w:color w:val="222222"/>
          <w:kern w:val="0"/>
          <w:sz w:val="32"/>
          <w:szCs w:val="32"/>
        </w:rPr>
      </w:pPr>
      <w:r>
        <w:rPr>
          <w:rFonts w:ascii="仿宋" w:eastAsia="仿宋" w:hAnsi="仿宋"/>
          <w:bCs/>
          <w:sz w:val="32"/>
          <w:szCs w:val="32"/>
        </w:rPr>
        <w:t>3</w:t>
      </w:r>
      <w:r>
        <w:rPr>
          <w:rFonts w:ascii="仿宋" w:eastAsia="仿宋" w:hAnsi="仿宋" w:hint="eastAsia"/>
          <w:bCs/>
          <w:sz w:val="32"/>
          <w:szCs w:val="32"/>
        </w:rPr>
        <w:t>、受项目实施进度影响</w:t>
      </w:r>
      <w:r>
        <w:rPr>
          <w:rFonts w:ascii="仿宋" w:eastAsia="仿宋" w:hAnsi="仿宋"/>
          <w:bCs/>
          <w:sz w:val="32"/>
          <w:szCs w:val="32"/>
        </w:rPr>
        <w:t>,</w:t>
      </w:r>
      <w:r>
        <w:rPr>
          <w:rFonts w:ascii="仿宋" w:eastAsia="仿宋" w:hAnsi="仿宋" w:hint="eastAsia"/>
          <w:bCs/>
          <w:sz w:val="32"/>
          <w:szCs w:val="32"/>
        </w:rPr>
        <w:t>专项资金拨付存在跨年情况</w:t>
      </w:r>
      <w:r>
        <w:rPr>
          <w:rFonts w:ascii="仿宋" w:eastAsia="仿宋" w:hAnsi="仿宋"/>
          <w:bCs/>
          <w:sz w:val="32"/>
          <w:szCs w:val="32"/>
        </w:rPr>
        <w:t>,</w:t>
      </w:r>
      <w:r>
        <w:rPr>
          <w:rFonts w:ascii="仿宋" w:eastAsia="仿宋" w:hAnsi="仿宋" w:hint="eastAsia"/>
          <w:bCs/>
          <w:sz w:val="32"/>
          <w:szCs w:val="32"/>
        </w:rPr>
        <w:t>在一定程度上影响了专项资金的使用效果。</w:t>
      </w:r>
    </w:p>
    <w:p w:rsidR="00AE777B" w:rsidRDefault="00AE777B">
      <w:pPr>
        <w:widowControl/>
        <w:jc w:val="left"/>
        <w:rPr>
          <w:rFonts w:ascii="Times New Roman" w:eastAsia="黑体" w:hAnsi="Times New Roman"/>
          <w:color w:val="000000"/>
          <w:sz w:val="32"/>
          <w:szCs w:val="32"/>
        </w:rPr>
      </w:pP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5</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8</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4</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4</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5</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5</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8</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8</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6</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5</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3</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3</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21E54">
              <w:rPr>
                <w:rFonts w:ascii="Times New Roman" w:hAnsi="Times New Roman" w:hint="eastAsia"/>
                <w:kern w:val="0"/>
                <w:sz w:val="24"/>
              </w:rPr>
              <w:t>6</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Default="00C21E54">
            <w:pPr>
              <w:widowControl/>
              <w:spacing w:line="300" w:lineRule="exact"/>
              <w:jc w:val="left"/>
              <w:rPr>
                <w:rFonts w:ascii="Times New Roman" w:hAnsi="Times New Roman"/>
                <w:kern w:val="0"/>
                <w:sz w:val="24"/>
              </w:rPr>
            </w:pPr>
            <w:r>
              <w:rPr>
                <w:rFonts w:ascii="Times New Roman" w:hAnsi="Times New Roman" w:hint="eastAsia"/>
                <w:kern w:val="0"/>
                <w:sz w:val="24"/>
              </w:rPr>
              <w:t>98</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E777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8C6112">
            <w:pPr>
              <w:widowControl/>
              <w:jc w:val="center"/>
              <w:rPr>
                <w:rFonts w:ascii="Times New Roman" w:eastAsia="仿宋_GB2312" w:hAnsi="Times New Roman"/>
                <w:kern w:val="0"/>
                <w:sz w:val="24"/>
              </w:rPr>
            </w:pPr>
            <w:r>
              <w:rPr>
                <w:rFonts w:ascii="Times New Roman" w:eastAsia="仿宋_GB2312" w:hAnsi="Times New Roman" w:hint="eastAsia"/>
                <w:kern w:val="0"/>
                <w:sz w:val="24"/>
              </w:rPr>
              <w:t>30000</w:t>
            </w:r>
            <w:r w:rsidR="001F766E">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8C6112">
            <w:pPr>
              <w:widowControl/>
              <w:jc w:val="center"/>
              <w:rPr>
                <w:rFonts w:ascii="Times New Roman" w:eastAsia="仿宋_GB2312" w:hAnsi="Times New Roman"/>
                <w:kern w:val="0"/>
                <w:sz w:val="24"/>
              </w:rPr>
            </w:pPr>
            <w:r>
              <w:rPr>
                <w:rFonts w:ascii="Times New Roman" w:eastAsia="仿宋_GB2312" w:hAnsi="Times New Roman" w:hint="eastAsia"/>
                <w:kern w:val="0"/>
                <w:sz w:val="24"/>
              </w:rPr>
              <w:t>380000</w:t>
            </w:r>
            <w:r w:rsidR="001F766E">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350000</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270000</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3644200</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2690000</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5877752</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1389100</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1547400</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1273966.42</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80000</w:t>
            </w:r>
          </w:p>
        </w:tc>
        <w:tc>
          <w:tcPr>
            <w:tcW w:w="2595"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120000</w:t>
            </w:r>
          </w:p>
        </w:tc>
        <w:tc>
          <w:tcPr>
            <w:tcW w:w="1834"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80000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190000</w:t>
            </w:r>
          </w:p>
        </w:tc>
        <w:tc>
          <w:tcPr>
            <w:tcW w:w="2595"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150000</w:t>
            </w:r>
          </w:p>
        </w:tc>
        <w:tc>
          <w:tcPr>
            <w:tcW w:w="1834"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190000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199000</w:t>
            </w:r>
          </w:p>
        </w:tc>
        <w:tc>
          <w:tcPr>
            <w:tcW w:w="2595"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100000</w:t>
            </w:r>
          </w:p>
        </w:tc>
        <w:tc>
          <w:tcPr>
            <w:tcW w:w="1834" w:type="dxa"/>
            <w:gridSpan w:val="2"/>
            <w:tcBorders>
              <w:top w:val="single" w:sz="4" w:space="0" w:color="auto"/>
              <w:left w:val="nil"/>
              <w:bottom w:val="single" w:sz="4" w:space="0" w:color="auto"/>
              <w:right w:val="single" w:sz="4" w:space="0" w:color="000000"/>
            </w:tcBorders>
            <w:vAlign w:val="center"/>
          </w:tcPr>
          <w:p w:rsidR="00AE777B" w:rsidRPr="008C6112" w:rsidRDefault="001F766E">
            <w:pPr>
              <w:widowControl/>
              <w:jc w:val="center"/>
              <w:rPr>
                <w:rFonts w:ascii="Times New Roman" w:eastAsia="仿宋_GB2312" w:hAnsi="Times New Roman"/>
                <w:kern w:val="0"/>
                <w:sz w:val="24"/>
              </w:rPr>
            </w:pPr>
            <w:r w:rsidRPr="008C6112">
              <w:rPr>
                <w:rFonts w:ascii="Times New Roman" w:eastAsia="仿宋_GB2312" w:hAnsi="Times New Roman"/>
                <w:kern w:val="0"/>
                <w:sz w:val="24"/>
              </w:rPr>
              <w:t xml:space="preserve">　</w:t>
            </w:r>
            <w:r w:rsidR="008C6112" w:rsidRPr="008C6112">
              <w:rPr>
                <w:rFonts w:ascii="Times New Roman" w:eastAsia="仿宋_GB2312" w:hAnsi="Times New Roman" w:hint="eastAsia"/>
                <w:kern w:val="0"/>
                <w:sz w:val="24"/>
              </w:rPr>
              <w:t>175000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130000</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C6112">
              <w:rPr>
                <w:rFonts w:ascii="Times New Roman" w:eastAsia="仿宋_GB2312" w:hAnsi="Times New Roman" w:hint="eastAsia"/>
                <w:kern w:val="0"/>
                <w:sz w:val="24"/>
              </w:rPr>
              <w:t>91589</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E777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326" w:rsidRDefault="008D4326" w:rsidP="00AE777B">
      <w:r>
        <w:separator/>
      </w:r>
    </w:p>
  </w:endnote>
  <w:endnote w:type="continuationSeparator" w:id="1">
    <w:p w:rsidR="008D4326" w:rsidRDefault="008D4326"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3F6549">
    <w:pPr>
      <w:pStyle w:val="a3"/>
      <w:jc w:val="right"/>
    </w:pPr>
    <w:r w:rsidRPr="003F6549">
      <w:fldChar w:fldCharType="begin"/>
    </w:r>
    <w:r w:rsidR="001F766E">
      <w:instrText xml:space="preserve"> PAGE   \* MERGEFORMAT </w:instrText>
    </w:r>
    <w:r w:rsidRPr="003F6549">
      <w:fldChar w:fldCharType="separate"/>
    </w:r>
    <w:r w:rsidR="008C6112" w:rsidRPr="008C6112">
      <w:rPr>
        <w:noProof/>
        <w:lang w:val="zh-CN"/>
      </w:rPr>
      <w:t>9</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326" w:rsidRDefault="008D4326" w:rsidP="00AE777B">
      <w:r>
        <w:separator/>
      </w:r>
    </w:p>
  </w:footnote>
  <w:footnote w:type="continuationSeparator" w:id="1">
    <w:p w:rsidR="008D4326" w:rsidRDefault="008D4326"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298E"/>
    <w:rsid w:val="00002AE4"/>
    <w:rsid w:val="00031747"/>
    <w:rsid w:val="0003456A"/>
    <w:rsid w:val="00037035"/>
    <w:rsid w:val="00037B69"/>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0FE"/>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3F6549"/>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C6112"/>
    <w:rsid w:val="008D36D8"/>
    <w:rsid w:val="008D4326"/>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97F1A"/>
    <w:rsid w:val="009A55AE"/>
    <w:rsid w:val="009B5011"/>
    <w:rsid w:val="009B5851"/>
    <w:rsid w:val="009C406D"/>
    <w:rsid w:val="009C5DDA"/>
    <w:rsid w:val="009D6DA7"/>
    <w:rsid w:val="009E02A8"/>
    <w:rsid w:val="009E265C"/>
    <w:rsid w:val="009E5A22"/>
    <w:rsid w:val="009F404C"/>
    <w:rsid w:val="009F4898"/>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21E54"/>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rsid w:val="00037B69"/>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761</Words>
  <Characters>4338</Characters>
  <Application>Microsoft Office Word</Application>
  <DocSecurity>0</DocSecurity>
  <Lines>36</Lines>
  <Paragraphs>10</Paragraphs>
  <ScaleCrop>false</ScaleCrop>
  <Company>Micorosoft</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Micorosoft</cp:lastModifiedBy>
  <cp:revision>4</cp:revision>
  <cp:lastPrinted>2021-09-23T02:02:00Z</cp:lastPrinted>
  <dcterms:created xsi:type="dcterms:W3CDTF">2021-09-23T01:54:00Z</dcterms:created>
  <dcterms:modified xsi:type="dcterms:W3CDTF">2021-09-23T02:20:00Z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