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7B" w:rsidRDefault="00AE777B">
      <w:pPr>
        <w:widowControl/>
        <w:spacing w:line="560" w:lineRule="exact"/>
        <w:rPr>
          <w:rFonts w:ascii="Times New Roman" w:hAnsi="Times New Roman"/>
          <w:b/>
          <w:color w:val="222222"/>
          <w:kern w:val="0"/>
          <w:sz w:val="44"/>
          <w:szCs w:val="44"/>
        </w:rPr>
      </w:pPr>
    </w:p>
    <w:p w:rsidR="00AE777B" w:rsidRDefault="00AE777B">
      <w:pPr>
        <w:spacing w:line="560" w:lineRule="exact"/>
        <w:jc w:val="center"/>
        <w:rPr>
          <w:rFonts w:ascii="Times New Roman" w:eastAsia="方正小标宋_GBK" w:hAnsi="Times New Roman"/>
          <w:b/>
          <w:kern w:val="0"/>
          <w:sz w:val="36"/>
          <w:szCs w:val="36"/>
        </w:rPr>
      </w:pPr>
    </w:p>
    <w:p w:rsidR="00AE777B" w:rsidRDefault="001F766E">
      <w:pPr>
        <w:spacing w:line="560" w:lineRule="exact"/>
        <w:jc w:val="center"/>
        <w:rPr>
          <w:rFonts w:ascii="Times New Roman" w:eastAsiaTheme="majorEastAsia" w:hAnsi="Times New Roman"/>
          <w:b/>
          <w:kern w:val="0"/>
          <w:sz w:val="44"/>
          <w:szCs w:val="44"/>
        </w:rPr>
      </w:pPr>
      <w:r>
        <w:rPr>
          <w:rFonts w:ascii="Times New Roman" w:eastAsiaTheme="majorEastAsia" w:hAnsi="Times New Roman"/>
          <w:b/>
          <w:kern w:val="0"/>
          <w:sz w:val="44"/>
          <w:szCs w:val="44"/>
        </w:rPr>
        <w:t>20</w:t>
      </w:r>
      <w:r w:rsidR="002C4D8C">
        <w:rPr>
          <w:rFonts w:ascii="Times New Roman" w:eastAsiaTheme="majorEastAsia" w:hAnsi="Times New Roman" w:hint="eastAsia"/>
          <w:b/>
          <w:kern w:val="0"/>
          <w:sz w:val="44"/>
          <w:szCs w:val="44"/>
        </w:rPr>
        <w:t>20</w:t>
      </w:r>
      <w:r>
        <w:rPr>
          <w:rFonts w:ascii="Times New Roman" w:eastAsiaTheme="majorEastAsia" w:hAnsi="Times New Roman"/>
          <w:b/>
          <w:kern w:val="0"/>
          <w:sz w:val="44"/>
          <w:szCs w:val="44"/>
        </w:rPr>
        <w:t>年度</w:t>
      </w:r>
      <w:r w:rsidR="008E089C">
        <w:rPr>
          <w:rFonts w:ascii="Times New Roman" w:eastAsiaTheme="majorEastAsia" w:hAnsi="Times New Roman" w:hint="eastAsia"/>
          <w:b/>
          <w:kern w:val="0"/>
          <w:sz w:val="44"/>
          <w:szCs w:val="44"/>
        </w:rPr>
        <w:t>澧县社会保险服务中心</w:t>
      </w:r>
      <w:r>
        <w:rPr>
          <w:rFonts w:ascii="Times New Roman" w:eastAsiaTheme="majorEastAsia" w:hAnsi="Times New Roman"/>
          <w:b/>
          <w:kern w:val="0"/>
          <w:sz w:val="44"/>
          <w:szCs w:val="44"/>
        </w:rPr>
        <w:t>部门整体支出绩效报告</w:t>
      </w:r>
    </w:p>
    <w:p w:rsidR="00AE777B" w:rsidRDefault="00AE777B">
      <w:pPr>
        <w:spacing w:line="560" w:lineRule="exact"/>
        <w:jc w:val="center"/>
        <w:rPr>
          <w:rFonts w:ascii="Times New Roman" w:eastAsia="楷体_GB2312" w:hAnsi="Times New Roman"/>
          <w:color w:val="222222"/>
          <w:kern w:val="0"/>
          <w:sz w:val="32"/>
          <w:szCs w:val="32"/>
        </w:rPr>
      </w:pPr>
    </w:p>
    <w:p w:rsidR="00AE777B" w:rsidRDefault="00AE777B">
      <w:pPr>
        <w:widowControl/>
        <w:spacing w:line="560" w:lineRule="exact"/>
        <w:ind w:firstLine="640"/>
        <w:rPr>
          <w:rFonts w:ascii="Times New Roman" w:eastAsia="仿宋_GB2312" w:hAnsi="Times New Roman"/>
          <w:color w:val="222222"/>
          <w:kern w:val="0"/>
          <w:sz w:val="32"/>
          <w:szCs w:val="32"/>
        </w:rPr>
      </w:pP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机构、人员构成</w:t>
      </w:r>
    </w:p>
    <w:p w:rsidR="0079625B" w:rsidRDefault="0079625B">
      <w:pPr>
        <w:widowControl/>
        <w:ind w:firstLineChars="200" w:firstLine="640"/>
        <w:rPr>
          <w:rFonts w:ascii="Times New Roman" w:eastAsia="仿宋_GB2312" w:hAnsi="Times New Roman"/>
          <w:color w:val="222222"/>
          <w:kern w:val="0"/>
          <w:sz w:val="32"/>
          <w:szCs w:val="32"/>
        </w:rPr>
      </w:pPr>
      <w:r w:rsidRPr="00DB63BA">
        <w:rPr>
          <w:rFonts w:ascii="仿宋_GB2312" w:eastAsia="仿宋_GB2312" w:hAnsiTheme="minorEastAsia" w:hint="eastAsia"/>
          <w:sz w:val="32"/>
          <w:szCs w:val="32"/>
        </w:rPr>
        <w:t>我单位是</w:t>
      </w:r>
      <w:r w:rsidRPr="00DB63BA">
        <w:rPr>
          <w:rFonts w:ascii="仿宋_GB2312" w:eastAsia="仿宋_GB2312" w:hAnsiTheme="minorEastAsia" w:cs="宋体" w:hint="eastAsia"/>
          <w:kern w:val="0"/>
          <w:sz w:val="32"/>
          <w:szCs w:val="32"/>
        </w:rPr>
        <w:t>澧县人力资源和社会保障局下属</w:t>
      </w:r>
      <w:r w:rsidRPr="00DB63BA">
        <w:rPr>
          <w:rFonts w:ascii="仿宋_GB2312" w:eastAsia="仿宋_GB2312" w:hAnsiTheme="minorEastAsia" w:hint="eastAsia"/>
          <w:sz w:val="32"/>
          <w:szCs w:val="32"/>
        </w:rPr>
        <w:t>独立核算的二级预算单位，属于参照公务员法管理的事业单位，执行政府会计制度。</w:t>
      </w:r>
      <w:r w:rsidR="00896F35">
        <w:rPr>
          <w:rFonts w:ascii="仿宋_GB2312" w:eastAsia="仿宋_GB2312" w:hAnsi="宋体" w:hint="eastAsia"/>
          <w:sz w:val="30"/>
          <w:szCs w:val="30"/>
        </w:rPr>
        <w:t>2020</w:t>
      </w:r>
      <w:r w:rsidR="00896F35" w:rsidRPr="00C10DEE">
        <w:rPr>
          <w:rFonts w:ascii="仿宋_GB2312" w:eastAsia="仿宋_GB2312" w:hAnsi="宋体" w:hint="eastAsia"/>
          <w:sz w:val="30"/>
          <w:szCs w:val="30"/>
        </w:rPr>
        <w:t>年末我单位享受财政供养的人员共</w:t>
      </w:r>
      <w:r w:rsidR="00896F35">
        <w:rPr>
          <w:rFonts w:ascii="仿宋_GB2312" w:eastAsia="仿宋_GB2312" w:hAnsi="宋体" w:hint="eastAsia"/>
          <w:sz w:val="30"/>
          <w:szCs w:val="30"/>
        </w:rPr>
        <w:t>82</w:t>
      </w:r>
      <w:r w:rsidR="00896F35" w:rsidRPr="00C10DEE">
        <w:rPr>
          <w:rFonts w:ascii="仿宋_GB2312" w:eastAsia="仿宋_GB2312" w:hAnsi="宋体" w:hint="eastAsia"/>
          <w:sz w:val="30"/>
          <w:szCs w:val="30"/>
        </w:rPr>
        <w:t>人，其中：在职人员</w:t>
      </w:r>
      <w:r w:rsidR="00896F35">
        <w:rPr>
          <w:rFonts w:ascii="仿宋_GB2312" w:eastAsia="仿宋_GB2312" w:hAnsi="宋体" w:hint="eastAsia"/>
          <w:sz w:val="30"/>
          <w:szCs w:val="30"/>
        </w:rPr>
        <w:t>69</w:t>
      </w:r>
      <w:r w:rsidR="00896F35" w:rsidRPr="00C10DEE">
        <w:rPr>
          <w:rFonts w:ascii="仿宋_GB2312" w:eastAsia="仿宋_GB2312" w:hAnsi="宋体" w:hint="eastAsia"/>
          <w:sz w:val="30"/>
          <w:szCs w:val="30"/>
        </w:rPr>
        <w:t>人，退休人员</w:t>
      </w:r>
      <w:r w:rsidR="00896F35">
        <w:rPr>
          <w:rFonts w:ascii="仿宋_GB2312" w:eastAsia="仿宋_GB2312" w:hAnsi="宋体" w:hint="eastAsia"/>
          <w:sz w:val="30"/>
          <w:szCs w:val="30"/>
        </w:rPr>
        <w:t>13</w:t>
      </w:r>
      <w:r w:rsidR="00896F35" w:rsidRPr="00C10DEE">
        <w:rPr>
          <w:rFonts w:ascii="仿宋_GB2312" w:eastAsia="仿宋_GB2312" w:hAnsi="宋体" w:hint="eastAsia"/>
          <w:sz w:val="30"/>
          <w:szCs w:val="30"/>
        </w:rPr>
        <w:t>人。本年人员异动情况：</w:t>
      </w:r>
      <w:r w:rsidR="00896F35">
        <w:rPr>
          <w:rFonts w:ascii="仿宋_GB2312" w:eastAsia="仿宋_GB2312" w:hAnsi="宋体" w:hint="eastAsia"/>
          <w:sz w:val="30"/>
          <w:szCs w:val="30"/>
        </w:rPr>
        <w:t>新进人员10人，调出本单位人员2人，退休1人。</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单位主要职责</w:t>
      </w:r>
    </w:p>
    <w:p w:rsidR="00DB63BA" w:rsidRPr="00DB63BA" w:rsidRDefault="000E583D">
      <w:pPr>
        <w:widowControl/>
        <w:ind w:firstLineChars="200" w:firstLine="640"/>
        <w:rPr>
          <w:rFonts w:ascii="仿宋_GB2312" w:eastAsia="仿宋_GB2312" w:hAnsi="Times New Roman"/>
          <w:color w:val="222222"/>
          <w:kern w:val="0"/>
          <w:sz w:val="32"/>
          <w:szCs w:val="32"/>
        </w:rPr>
      </w:pPr>
      <w:r>
        <w:rPr>
          <w:rFonts w:ascii="仿宋_GB2312" w:eastAsia="仿宋_GB2312" w:hAnsiTheme="minorEastAsia" w:cs="宋体" w:hint="eastAsia"/>
          <w:kern w:val="0"/>
          <w:sz w:val="32"/>
          <w:szCs w:val="32"/>
        </w:rPr>
        <w:t>我单位</w:t>
      </w:r>
      <w:r w:rsidR="00DB63BA" w:rsidRPr="00DB63BA">
        <w:rPr>
          <w:rFonts w:ascii="仿宋_GB2312" w:eastAsia="仿宋_GB2312" w:hAnsiTheme="minorEastAsia" w:cs="宋体" w:hint="eastAsia"/>
          <w:kern w:val="0"/>
          <w:sz w:val="32"/>
          <w:szCs w:val="32"/>
        </w:rPr>
        <w:t>主要履行以下职责：</w:t>
      </w:r>
      <w:r w:rsidR="00DB63BA" w:rsidRPr="00DB63BA">
        <w:rPr>
          <w:rFonts w:ascii="仿宋_GB2312" w:eastAsia="仿宋_GB2312" w:hAnsiTheme="minorEastAsia" w:hint="eastAsia"/>
          <w:sz w:val="32"/>
          <w:szCs w:val="32"/>
        </w:rPr>
        <w:t>贯彻执行各类养老保险政策，承担全县企业职工、城乡居民、机关事业单位的社会养老保险基金的支付工作。负责全县离退休人员社会化管理和各类养老待遇代发工作。负责全县离退休人员死亡丧葬费、抚恤金和遗属生活补助费的管理和发放工作。</w:t>
      </w: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二、部门财务情况</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（一）部门整体支出情况</w:t>
      </w:r>
    </w:p>
    <w:p w:rsidR="00BD2EC3" w:rsidRPr="00C107D4" w:rsidRDefault="00BD2EC3">
      <w:pPr>
        <w:widowControl/>
        <w:ind w:firstLineChars="200" w:firstLine="640"/>
        <w:rPr>
          <w:rFonts w:ascii="仿宋_GB2312" w:eastAsia="仿宋_GB2312" w:hAnsi="Times New Roman"/>
          <w:color w:val="222222"/>
          <w:kern w:val="0"/>
          <w:sz w:val="32"/>
          <w:szCs w:val="32"/>
        </w:rPr>
      </w:pPr>
      <w:r w:rsidRPr="00C107D4">
        <w:rPr>
          <w:rFonts w:ascii="仿宋_GB2312" w:eastAsia="仿宋_GB2312" w:hAnsiTheme="minorEastAsia" w:cs="宋体" w:hint="eastAsia"/>
          <w:sz w:val="32"/>
          <w:szCs w:val="32"/>
        </w:rPr>
        <w:t>2020年度</w:t>
      </w:r>
      <w:r w:rsidR="003371F3" w:rsidRPr="00C107D4">
        <w:rPr>
          <w:rFonts w:ascii="仿宋_GB2312" w:eastAsia="仿宋_GB2312" w:hAnsi="宋体" w:hint="eastAsia"/>
          <w:sz w:val="32"/>
          <w:szCs w:val="32"/>
        </w:rPr>
        <w:t>实现支出56351.88万元，其中：按支出功能分为社会保障和就业支出51650.33万元，卫生健康支出23.28万元，</w:t>
      </w:r>
      <w:r w:rsidR="003371F3" w:rsidRPr="00C107D4">
        <w:rPr>
          <w:rFonts w:ascii="仿宋_GB2312" w:eastAsia="仿宋_GB2312" w:hAnsi="宋体" w:hint="eastAsia"/>
          <w:sz w:val="32"/>
          <w:szCs w:val="32"/>
        </w:rPr>
        <w:lastRenderedPageBreak/>
        <w:t>城乡社区支出2986万元，住房保障支出43.7万元，国有资本经营预算支出46.45万元，灾害防治与应急管理支出1494.5万元，其他支出107.62万元；按支出性质分为基本支出836.37万元，项目支出55515.51万元。</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（二）部门预算收支决算情况</w:t>
      </w:r>
    </w:p>
    <w:p w:rsidR="00A333FE" w:rsidRPr="005338EE" w:rsidRDefault="00A333FE" w:rsidP="00A333FE">
      <w:pPr>
        <w:widowControl/>
        <w:ind w:firstLineChars="200" w:firstLine="640"/>
        <w:rPr>
          <w:rFonts w:ascii="Times New Roman" w:eastAsia="仿宋_GB2312" w:hAnsi="Times New Roman"/>
          <w:color w:val="222222"/>
          <w:kern w:val="0"/>
          <w:sz w:val="32"/>
          <w:szCs w:val="32"/>
        </w:rPr>
      </w:pPr>
      <w:r w:rsidRPr="00A333FE">
        <w:rPr>
          <w:rFonts w:ascii="仿宋_GB2312" w:eastAsia="仿宋_GB2312" w:hAnsi="宋体" w:hint="eastAsia"/>
          <w:sz w:val="32"/>
          <w:szCs w:val="32"/>
        </w:rPr>
        <w:t>2020年预算调整收入54970.09万元，实现支出56351.88万元，其中：按支出功能分为社会保障和就业支出51650.33万元，卫生健康支出23.28万元，城乡社区支出2986万元，住房保障支出43.7万元，国有资本经营预算支出46.45万元，灾害防治与应急管理支出1494.5万元，其他支出107.62万元；按支出性质分为基本支出836.37万元，项目支出55515.51万元。</w:t>
      </w:r>
      <w:r w:rsidR="005338EE" w:rsidRPr="005338EE">
        <w:rPr>
          <w:rFonts w:ascii="仿宋_GB2312" w:eastAsia="仿宋_GB2312" w:hAnsi="宋体" w:hint="eastAsia"/>
          <w:sz w:val="32"/>
          <w:szCs w:val="32"/>
        </w:rPr>
        <w:t>年末结转和结余940.34万元，全部为一般公共预算财政拨款，其中基本支出结转128.33万元，项目支出结转和结余812.01万元。</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（三）</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三公经费</w:t>
      </w:r>
      <w:r>
        <w:rPr>
          <w:rFonts w:ascii="Times New Roman" w:eastAsia="仿宋_GB2312" w:hAnsi="Times New Roman"/>
          <w:color w:val="222222"/>
          <w:kern w:val="0"/>
          <w:sz w:val="32"/>
          <w:szCs w:val="32"/>
        </w:rPr>
        <w:t>”</w:t>
      </w:r>
      <w:r>
        <w:rPr>
          <w:rFonts w:ascii="Times New Roman" w:eastAsia="仿宋_GB2312" w:hAnsi="Times New Roman"/>
          <w:color w:val="222222"/>
          <w:kern w:val="0"/>
          <w:sz w:val="32"/>
          <w:szCs w:val="32"/>
        </w:rPr>
        <w:t>支出使用和管理情况</w:t>
      </w:r>
    </w:p>
    <w:p w:rsidR="00CF5DF7" w:rsidRPr="005507C0" w:rsidRDefault="00CF5DF7">
      <w:pPr>
        <w:widowControl/>
        <w:ind w:firstLineChars="200" w:firstLine="640"/>
        <w:rPr>
          <w:rFonts w:ascii="仿宋_GB2312" w:eastAsia="仿宋_GB2312" w:hAnsi="Times New Roman"/>
          <w:color w:val="222222"/>
          <w:kern w:val="0"/>
          <w:sz w:val="32"/>
          <w:szCs w:val="32"/>
        </w:rPr>
      </w:pPr>
      <w:r w:rsidRPr="001B3366">
        <w:rPr>
          <w:rFonts w:ascii="仿宋_GB2312" w:eastAsia="仿宋_GB2312" w:hAnsi="宋体" w:cs="宋体" w:hint="eastAsia"/>
          <w:sz w:val="32"/>
          <w:szCs w:val="32"/>
        </w:rPr>
        <w:t>2020年度“三公”经费支出5.5万元，</w:t>
      </w:r>
      <w:r w:rsidR="001B3366">
        <w:rPr>
          <w:rFonts w:ascii="仿宋_GB2312" w:eastAsia="仿宋_GB2312" w:hAnsi="宋体" w:cs="宋体" w:hint="eastAsia"/>
          <w:sz w:val="32"/>
          <w:szCs w:val="32"/>
        </w:rPr>
        <w:t>其中</w:t>
      </w:r>
      <w:r w:rsidRPr="001B3366">
        <w:rPr>
          <w:rFonts w:ascii="仿宋_GB2312" w:eastAsia="仿宋_GB2312" w:hAnsi="宋体" w:cs="宋体" w:hint="eastAsia"/>
          <w:sz w:val="32"/>
          <w:szCs w:val="32"/>
        </w:rPr>
        <w:t>公务接待费支出5.5万元，因公出国（境）费支出0万元，公务用车购置费及运行维护费支出0万元。</w:t>
      </w:r>
      <w:r w:rsidR="005507C0" w:rsidRPr="005507C0">
        <w:rPr>
          <w:rFonts w:ascii="仿宋_GB2312" w:eastAsia="仿宋_GB2312" w:hAnsiTheme="minorEastAsia" w:hint="eastAsia"/>
          <w:sz w:val="32"/>
          <w:szCs w:val="32"/>
        </w:rPr>
        <w:t>我单位较好的落实了上级的要求，厉行节约，压缩一般性行政经费，严格三公经费支出的审核把关和规范三公经费支出程序。</w:t>
      </w: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三、部门绩效目标</w:t>
      </w:r>
    </w:p>
    <w:p w:rsidR="00AE777B" w:rsidRDefault="001F766E">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（一）部门绩效总目标</w:t>
      </w:r>
    </w:p>
    <w:p w:rsidR="00416A83" w:rsidRPr="00416A83" w:rsidRDefault="00416A83">
      <w:pPr>
        <w:widowControl/>
        <w:ind w:firstLineChars="200" w:firstLine="640"/>
        <w:rPr>
          <w:rFonts w:ascii="仿宋_GB2312" w:eastAsia="仿宋_GB2312" w:hAnsi="Times New Roman"/>
          <w:color w:val="222222"/>
          <w:kern w:val="0"/>
          <w:sz w:val="32"/>
          <w:szCs w:val="32"/>
        </w:rPr>
      </w:pPr>
      <w:r w:rsidRPr="00416A83">
        <w:rPr>
          <w:rFonts w:ascii="仿宋_GB2312" w:eastAsia="仿宋_GB2312" w:hAnsi="宋体" w:cs="宋体" w:hint="eastAsia"/>
          <w:color w:val="000000"/>
          <w:kern w:val="0"/>
          <w:sz w:val="32"/>
          <w:szCs w:val="32"/>
        </w:rPr>
        <w:lastRenderedPageBreak/>
        <w:t>按照湘财绩相关文件要求，我单位对部门整体支出绩效开展了自评，绩效评价结果显示，我单位2020年度绩效目标完成较好，在预算配置、预算执行、预算管理等方面较好的支持了各项工作发展。</w:t>
      </w:r>
    </w:p>
    <w:p w:rsidR="00AE777B" w:rsidRPr="006A1AB7" w:rsidRDefault="001F766E">
      <w:pPr>
        <w:widowControl/>
        <w:ind w:firstLineChars="200" w:firstLine="640"/>
        <w:rPr>
          <w:rFonts w:ascii="仿宋_GB2312" w:eastAsia="仿宋_GB2312" w:hAnsi="Times New Roman"/>
          <w:color w:val="222222"/>
          <w:kern w:val="0"/>
          <w:sz w:val="32"/>
          <w:szCs w:val="32"/>
        </w:rPr>
      </w:pPr>
      <w:r>
        <w:rPr>
          <w:rFonts w:ascii="Times New Roman" w:eastAsia="仿宋_GB2312" w:hAnsi="Times New Roman"/>
          <w:color w:val="222222"/>
          <w:kern w:val="0"/>
          <w:sz w:val="32"/>
          <w:szCs w:val="32"/>
        </w:rPr>
        <w:t>（二）</w:t>
      </w:r>
      <w:r w:rsidRPr="006A1AB7">
        <w:rPr>
          <w:rFonts w:ascii="仿宋_GB2312" w:eastAsia="仿宋_GB2312" w:hAnsi="Times New Roman" w:hint="eastAsia"/>
          <w:color w:val="222222"/>
          <w:kern w:val="0"/>
          <w:sz w:val="32"/>
          <w:szCs w:val="32"/>
        </w:rPr>
        <w:t>20</w:t>
      </w:r>
      <w:r w:rsidR="002C4D8C" w:rsidRPr="006A1AB7">
        <w:rPr>
          <w:rFonts w:ascii="仿宋_GB2312" w:eastAsia="仿宋_GB2312" w:hAnsi="Times New Roman" w:hint="eastAsia"/>
          <w:color w:val="222222"/>
          <w:kern w:val="0"/>
          <w:sz w:val="32"/>
          <w:szCs w:val="32"/>
        </w:rPr>
        <w:t>20</w:t>
      </w:r>
      <w:r w:rsidRPr="006A1AB7">
        <w:rPr>
          <w:rFonts w:ascii="仿宋_GB2312" w:eastAsia="仿宋_GB2312" w:hAnsi="Times New Roman" w:hint="eastAsia"/>
          <w:color w:val="222222"/>
          <w:kern w:val="0"/>
          <w:sz w:val="32"/>
          <w:szCs w:val="32"/>
        </w:rPr>
        <w:t>年度部门绩效目标</w:t>
      </w:r>
    </w:p>
    <w:p w:rsidR="00EB1247" w:rsidRPr="00EB1247" w:rsidRDefault="00EB1247">
      <w:pPr>
        <w:widowControl/>
        <w:ind w:firstLineChars="200" w:firstLine="640"/>
        <w:rPr>
          <w:rFonts w:ascii="仿宋_GB2312" w:eastAsia="仿宋_GB2312" w:hAnsi="Times New Roman"/>
          <w:color w:val="222222"/>
          <w:kern w:val="0"/>
          <w:sz w:val="32"/>
          <w:szCs w:val="32"/>
        </w:rPr>
      </w:pPr>
      <w:r w:rsidRPr="00EB1247">
        <w:rPr>
          <w:rFonts w:ascii="仿宋_GB2312" w:eastAsia="仿宋_GB2312" w:hAnsiTheme="minorEastAsia" w:hint="eastAsia"/>
          <w:sz w:val="32"/>
          <w:szCs w:val="32"/>
        </w:rPr>
        <w:t>我单位2020年</w:t>
      </w:r>
      <w:r>
        <w:rPr>
          <w:rFonts w:ascii="仿宋_GB2312" w:eastAsia="仿宋_GB2312" w:hAnsiTheme="minorEastAsia" w:hint="eastAsia"/>
          <w:sz w:val="32"/>
          <w:szCs w:val="32"/>
        </w:rPr>
        <w:t>度</w:t>
      </w:r>
      <w:r w:rsidRPr="00EB1247">
        <w:rPr>
          <w:rFonts w:ascii="仿宋_GB2312" w:eastAsia="仿宋_GB2312" w:hAnsiTheme="minorEastAsia" w:hint="eastAsia"/>
          <w:sz w:val="32"/>
          <w:szCs w:val="32"/>
        </w:rPr>
        <w:t>有退管经费、新型农村养老保险改革专项、一次性抚恤、丧葬费、遗属生活补助和机关事业单位退休人员生活补助代发工作经费四个项目绩效目标任务。本年度绩效目标任务资金按时按需到位，保证财政补贴及时到位，退管经费、城居保工作经费及时下拨各乡镇，一次性抚恤、丧葬费、遗属生活补助发放到位。</w:t>
      </w: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四、绩效评价工作情况</w:t>
      </w:r>
    </w:p>
    <w:p w:rsidR="00046065" w:rsidRPr="00046065" w:rsidRDefault="00046065">
      <w:pPr>
        <w:widowControl/>
        <w:ind w:firstLineChars="200" w:firstLine="640"/>
        <w:rPr>
          <w:rFonts w:ascii="仿宋_GB2312" w:eastAsia="仿宋_GB2312" w:hAnsi="黑体" w:cs="黑体"/>
          <w:color w:val="222222"/>
          <w:kern w:val="0"/>
          <w:sz w:val="32"/>
          <w:szCs w:val="32"/>
        </w:rPr>
      </w:pPr>
      <w:r w:rsidRPr="00046065">
        <w:rPr>
          <w:rFonts w:ascii="仿宋_GB2312" w:eastAsia="仿宋_GB2312" w:hAnsi="宋体" w:cs="宋体" w:hint="eastAsia"/>
          <w:color w:val="000000"/>
          <w:kern w:val="0"/>
          <w:sz w:val="32"/>
          <w:szCs w:val="32"/>
        </w:rPr>
        <w:t>根据《湖南省人</w:t>
      </w:r>
      <w:r>
        <w:rPr>
          <w:rFonts w:ascii="仿宋_GB2312" w:eastAsia="仿宋_GB2312" w:hAnsi="宋体" w:cs="宋体" w:hint="eastAsia"/>
          <w:color w:val="000000"/>
          <w:kern w:val="0"/>
          <w:sz w:val="32"/>
          <w:szCs w:val="32"/>
        </w:rPr>
        <w:t>民政府关于全面推进预算绩效管理的意见》和湘财绩相关文件精神，我单位成立了绩效评价工作领导小组，制定了《澧县社会保险服务中心</w:t>
      </w:r>
      <w:r w:rsidRPr="00046065">
        <w:rPr>
          <w:rFonts w:ascii="仿宋_GB2312" w:eastAsia="仿宋_GB2312" w:hAnsi="宋体" w:cs="宋体" w:hint="eastAsia"/>
          <w:color w:val="000000"/>
          <w:kern w:val="0"/>
          <w:sz w:val="32"/>
          <w:szCs w:val="32"/>
        </w:rPr>
        <w:t>2020年度财政资金绩效自评方案》，并根据方案组织开展了绩效考评，通过核实数据、查阅资料、实地查看、归纳汇总等环节对绩效执行情况、资金的来源和使用情况以及绩效目标的实现程度进行了分析评价，并形成了自评报告。</w:t>
      </w:r>
    </w:p>
    <w:p w:rsidR="00AE777B" w:rsidRDefault="001F766E">
      <w:pPr>
        <w:widowControl/>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五、综合评价结果</w:t>
      </w:r>
    </w:p>
    <w:p w:rsidR="004F719C" w:rsidRPr="004F719C" w:rsidRDefault="004F719C">
      <w:pPr>
        <w:widowControl/>
        <w:ind w:firstLineChars="200" w:firstLine="640"/>
        <w:rPr>
          <w:rFonts w:ascii="仿宋_GB2312" w:eastAsia="仿宋_GB2312" w:hAnsi="黑体" w:cs="黑体"/>
          <w:color w:val="000000"/>
          <w:sz w:val="32"/>
          <w:szCs w:val="32"/>
        </w:rPr>
      </w:pPr>
      <w:r w:rsidRPr="004F719C">
        <w:rPr>
          <w:rFonts w:ascii="仿宋_GB2312" w:eastAsia="仿宋_GB2312" w:hAnsi="宋体" w:cs="宋体" w:hint="eastAsia"/>
          <w:color w:val="000000"/>
          <w:kern w:val="0"/>
          <w:sz w:val="32"/>
          <w:szCs w:val="32"/>
        </w:rPr>
        <w:lastRenderedPageBreak/>
        <w:t>根据部门整体支出绩效</w:t>
      </w:r>
      <w:r>
        <w:rPr>
          <w:rFonts w:ascii="仿宋_GB2312" w:eastAsia="仿宋_GB2312" w:hAnsi="宋体" w:cs="宋体" w:hint="eastAsia"/>
          <w:color w:val="000000"/>
          <w:kern w:val="0"/>
          <w:sz w:val="32"/>
          <w:szCs w:val="32"/>
        </w:rPr>
        <w:t>评价指标确定的内容，经评价组综合评价，澧县社会保险服务中心</w:t>
      </w:r>
      <w:r w:rsidRPr="004F719C">
        <w:rPr>
          <w:rFonts w:ascii="仿宋_GB2312" w:eastAsia="仿宋_GB2312" w:hAnsi="宋体" w:cs="宋体" w:hint="eastAsia"/>
          <w:color w:val="000000"/>
          <w:kern w:val="0"/>
          <w:sz w:val="32"/>
          <w:szCs w:val="32"/>
        </w:rPr>
        <w:t>2020年度</w:t>
      </w:r>
      <w:r w:rsidR="00BE2CE3">
        <w:rPr>
          <w:rFonts w:ascii="仿宋_GB2312" w:eastAsia="仿宋_GB2312" w:hAnsi="宋体" w:cs="宋体" w:hint="eastAsia"/>
          <w:color w:val="000000"/>
          <w:kern w:val="0"/>
          <w:sz w:val="32"/>
          <w:szCs w:val="32"/>
        </w:rPr>
        <w:t>部门</w:t>
      </w:r>
      <w:r w:rsidRPr="004F719C">
        <w:rPr>
          <w:rFonts w:ascii="仿宋_GB2312" w:eastAsia="仿宋_GB2312" w:hAnsi="宋体" w:cs="宋体" w:hint="eastAsia"/>
          <w:color w:val="000000"/>
          <w:kern w:val="0"/>
          <w:sz w:val="32"/>
          <w:szCs w:val="32"/>
        </w:rPr>
        <w:t>整体支出绩效评分为9</w:t>
      </w:r>
      <w:r w:rsidR="00246AD9">
        <w:rPr>
          <w:rFonts w:ascii="仿宋_GB2312" w:eastAsia="仿宋_GB2312" w:hAnsi="宋体" w:cs="宋体" w:hint="eastAsia"/>
          <w:color w:val="000000"/>
          <w:kern w:val="0"/>
          <w:sz w:val="32"/>
          <w:szCs w:val="32"/>
        </w:rPr>
        <w:t>3</w:t>
      </w:r>
      <w:r w:rsidRPr="004F719C">
        <w:rPr>
          <w:rFonts w:ascii="仿宋_GB2312" w:eastAsia="仿宋_GB2312" w:hAnsi="宋体" w:cs="宋体" w:hint="eastAsia"/>
          <w:color w:val="000000"/>
          <w:kern w:val="0"/>
          <w:sz w:val="32"/>
          <w:szCs w:val="32"/>
        </w:rPr>
        <w:t>分。</w:t>
      </w: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六、部门整体支出绩效情况</w:t>
      </w:r>
    </w:p>
    <w:p w:rsidR="00072999" w:rsidRDefault="00072999">
      <w:pPr>
        <w:widowControl/>
        <w:ind w:firstLineChars="200" w:firstLine="640"/>
        <w:rPr>
          <w:rFonts w:ascii="仿宋_GB2312" w:eastAsia="仿宋_GB2312" w:hAnsi="宋体" w:cs="宋体"/>
          <w:color w:val="000000"/>
          <w:kern w:val="0"/>
          <w:sz w:val="32"/>
          <w:szCs w:val="32"/>
        </w:rPr>
      </w:pPr>
      <w:r w:rsidRPr="00072999">
        <w:rPr>
          <w:rFonts w:ascii="仿宋_GB2312" w:eastAsia="仿宋_GB2312" w:hAnsi="宋体" w:cs="宋体" w:hint="eastAsia"/>
          <w:color w:val="000000"/>
          <w:kern w:val="0"/>
          <w:sz w:val="32"/>
          <w:szCs w:val="32"/>
        </w:rPr>
        <w:t>2020年</w:t>
      </w:r>
      <w:r>
        <w:rPr>
          <w:rFonts w:ascii="仿宋_GB2312" w:eastAsia="仿宋_GB2312" w:hAnsi="宋体" w:cs="宋体" w:hint="eastAsia"/>
          <w:color w:val="000000"/>
          <w:kern w:val="0"/>
          <w:sz w:val="32"/>
          <w:szCs w:val="32"/>
        </w:rPr>
        <w:t>度我单位</w:t>
      </w:r>
      <w:r w:rsidRPr="00072999">
        <w:rPr>
          <w:rFonts w:ascii="仿宋_GB2312" w:eastAsia="仿宋_GB2312" w:hAnsi="宋体" w:cs="宋体" w:hint="eastAsia"/>
          <w:color w:val="000000"/>
          <w:kern w:val="0"/>
          <w:sz w:val="32"/>
          <w:szCs w:val="32"/>
        </w:rPr>
        <w:t>较好地完成了绩效目标，主要体现在以下方面：</w:t>
      </w:r>
    </w:p>
    <w:p w:rsidR="000B6243" w:rsidRDefault="00AA5663">
      <w:pPr>
        <w:widowControl/>
        <w:ind w:firstLineChars="200" w:firstLine="640"/>
        <w:rPr>
          <w:rFonts w:ascii="仿宋_GB2312" w:eastAsia="仿宋_GB2312" w:hAnsiTheme="minorEastAsia"/>
          <w:sz w:val="32"/>
          <w:szCs w:val="32"/>
        </w:rPr>
      </w:pPr>
      <w:r>
        <w:rPr>
          <w:rFonts w:ascii="仿宋_GB2312" w:eastAsia="仿宋_GB2312" w:hAnsi="宋体" w:cs="宋体" w:hint="eastAsia"/>
          <w:color w:val="000000"/>
          <w:kern w:val="0"/>
          <w:sz w:val="32"/>
          <w:szCs w:val="32"/>
        </w:rPr>
        <w:t>1、</w:t>
      </w:r>
      <w:r w:rsidR="000B6243" w:rsidRPr="000B6243">
        <w:rPr>
          <w:rFonts w:ascii="仿宋_GB2312" w:eastAsia="仿宋_GB2312" w:hAnsiTheme="minorEastAsia" w:hint="eastAsia"/>
          <w:sz w:val="32"/>
          <w:szCs w:val="32"/>
        </w:rPr>
        <w:t>本年度共为1万名机关事业单位退休人员发放养老金5.15亿，为5.2万名企业退休人员发放养老金10.39亿元；为515名企业职工发放死亡丧葬费和抚恤金2946万元。发放率保持100%，有力地维护了参保人员的权益。</w:t>
      </w:r>
    </w:p>
    <w:p w:rsidR="00535023" w:rsidRDefault="00AA5663">
      <w:pPr>
        <w:widowControl/>
        <w:ind w:firstLineChars="200" w:firstLine="640"/>
        <w:rPr>
          <w:rFonts w:ascii="仿宋_GB2312" w:eastAsia="仿宋_GB2312" w:hAnsiTheme="minorEastAsia" w:cs="仿宋_GB2312"/>
          <w:color w:val="000000" w:themeColor="text1"/>
          <w:sz w:val="32"/>
          <w:szCs w:val="32"/>
        </w:rPr>
      </w:pPr>
      <w:r>
        <w:rPr>
          <w:rFonts w:ascii="仿宋_GB2312" w:eastAsia="仿宋_GB2312" w:hAnsiTheme="minorEastAsia" w:hint="eastAsia"/>
          <w:sz w:val="32"/>
          <w:szCs w:val="32"/>
        </w:rPr>
        <w:t>2、</w:t>
      </w:r>
      <w:r w:rsidR="00535023" w:rsidRPr="00535023">
        <w:rPr>
          <w:rFonts w:ascii="仿宋_GB2312" w:eastAsia="仿宋_GB2312" w:hAnsiTheme="minorEastAsia" w:cs="仿宋_GB2312" w:hint="eastAsia"/>
          <w:sz w:val="32"/>
          <w:szCs w:val="32"/>
        </w:rPr>
        <w:t>本年度共为</w:t>
      </w:r>
      <w:r w:rsidR="00535023" w:rsidRPr="00535023">
        <w:rPr>
          <w:rFonts w:ascii="仿宋_GB2312" w:eastAsia="仿宋_GB2312" w:hAnsiTheme="minorEastAsia" w:cs="仿宋_GB2312" w:hint="eastAsia"/>
          <w:color w:val="000000" w:themeColor="text1"/>
          <w:sz w:val="32"/>
          <w:szCs w:val="32"/>
        </w:rPr>
        <w:t>10083名</w:t>
      </w:r>
      <w:r w:rsidR="00535023" w:rsidRPr="00535023">
        <w:rPr>
          <w:rFonts w:ascii="仿宋_GB2312" w:eastAsia="仿宋_GB2312" w:hAnsiTheme="minorEastAsia" w:cs="仿宋_GB2312" w:hint="eastAsia"/>
          <w:sz w:val="32"/>
          <w:szCs w:val="32"/>
        </w:rPr>
        <w:t>离退休人员发放养老金</w:t>
      </w:r>
      <w:r w:rsidR="00535023" w:rsidRPr="00535023">
        <w:rPr>
          <w:rFonts w:ascii="仿宋_GB2312" w:eastAsia="仿宋_GB2312" w:hAnsiTheme="minorEastAsia" w:cs="仿宋_GB2312" w:hint="eastAsia"/>
          <w:color w:val="000000" w:themeColor="text1"/>
          <w:sz w:val="32"/>
          <w:szCs w:val="32"/>
        </w:rPr>
        <w:t>51405</w:t>
      </w:r>
      <w:r w:rsidR="00535023" w:rsidRPr="00535023">
        <w:rPr>
          <w:rFonts w:ascii="仿宋_GB2312" w:eastAsia="仿宋_GB2312" w:hAnsiTheme="minorEastAsia" w:cs="仿宋_GB2312" w:hint="eastAsia"/>
          <w:sz w:val="32"/>
          <w:szCs w:val="32"/>
        </w:rPr>
        <w:t>万元，为</w:t>
      </w:r>
      <w:r w:rsidR="00535023" w:rsidRPr="00535023">
        <w:rPr>
          <w:rFonts w:ascii="仿宋_GB2312" w:eastAsia="仿宋_GB2312" w:hAnsiTheme="minorEastAsia" w:cs="仿宋_GB2312" w:hint="eastAsia"/>
          <w:color w:val="000000" w:themeColor="text1"/>
          <w:sz w:val="32"/>
          <w:szCs w:val="32"/>
        </w:rPr>
        <w:t>198人支付一次性抚恤金、丧葬费1644万元，其中抚恤费1516万元、丧葬128万元，为954名遗属对象按月打卡放发遗属生活补助费916万元。</w:t>
      </w:r>
    </w:p>
    <w:p w:rsidR="00AA5663" w:rsidRPr="00AA5663" w:rsidRDefault="00AA5663">
      <w:pPr>
        <w:widowControl/>
        <w:ind w:firstLineChars="200" w:firstLine="640"/>
        <w:rPr>
          <w:rFonts w:ascii="仿宋_GB2312" w:eastAsia="仿宋_GB2312" w:hAnsi="黑体" w:cs="黑体"/>
          <w:color w:val="222222"/>
          <w:kern w:val="0"/>
          <w:sz w:val="32"/>
          <w:szCs w:val="32"/>
        </w:rPr>
      </w:pPr>
      <w:r>
        <w:rPr>
          <w:rFonts w:ascii="仿宋_GB2312" w:eastAsia="仿宋_GB2312" w:hAnsiTheme="minorEastAsia" w:cs="仿宋_GB2312" w:hint="eastAsia"/>
          <w:color w:val="000000" w:themeColor="text1"/>
          <w:sz w:val="32"/>
          <w:szCs w:val="32"/>
        </w:rPr>
        <w:t>3、</w:t>
      </w:r>
      <w:r w:rsidRPr="00AA5663">
        <w:rPr>
          <w:rFonts w:ascii="仿宋_GB2312" w:eastAsia="仿宋_GB2312" w:hAnsiTheme="minorEastAsia" w:hint="eastAsia"/>
          <w:sz w:val="32"/>
          <w:szCs w:val="32"/>
        </w:rPr>
        <w:t>本年度城乡居民养老保险县级财政补助收入为1089万元，足额给予澧县城乡居民养老保险16.2万待遇领取人员及21.9万缴费人员县级财政补贴。为16034名特困人员代缴养老保险费160.3万元，核拨到各乡镇的工作经费为83.5万元。</w:t>
      </w:r>
    </w:p>
    <w:p w:rsidR="00AE777B" w:rsidRDefault="001F766E">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七、存在的主要问题</w:t>
      </w:r>
    </w:p>
    <w:p w:rsidR="00F35CD7" w:rsidRPr="00F35CD7" w:rsidRDefault="00F35CD7">
      <w:pPr>
        <w:widowControl/>
        <w:ind w:firstLineChars="200" w:firstLine="640"/>
        <w:rPr>
          <w:rFonts w:ascii="仿宋_GB2312" w:eastAsia="仿宋_GB2312" w:hAnsi="黑体" w:cs="黑体"/>
          <w:color w:val="222222"/>
          <w:kern w:val="0"/>
          <w:sz w:val="32"/>
          <w:szCs w:val="32"/>
        </w:rPr>
      </w:pPr>
      <w:r w:rsidRPr="00F35CD7">
        <w:rPr>
          <w:rFonts w:ascii="仿宋_GB2312" w:eastAsia="仿宋_GB2312" w:hAnsi="黑体" w:cs="黑体" w:hint="eastAsia"/>
          <w:color w:val="222222"/>
          <w:kern w:val="0"/>
          <w:sz w:val="32"/>
          <w:szCs w:val="32"/>
        </w:rPr>
        <w:t>无。</w:t>
      </w:r>
    </w:p>
    <w:p w:rsidR="00AE777B" w:rsidRDefault="001F766E">
      <w:pPr>
        <w:widowControl/>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八、有关建议</w:t>
      </w:r>
    </w:p>
    <w:p w:rsidR="00AE777B" w:rsidRPr="00E40541" w:rsidRDefault="00F35CD7" w:rsidP="00E40541">
      <w:pPr>
        <w:widowControl/>
        <w:ind w:firstLineChars="200" w:firstLine="640"/>
        <w:rPr>
          <w:rFonts w:ascii="仿宋_GB2312" w:eastAsia="仿宋_GB2312" w:hAnsi="黑体" w:cs="黑体"/>
          <w:color w:val="000000"/>
          <w:sz w:val="32"/>
          <w:szCs w:val="32"/>
        </w:rPr>
      </w:pPr>
      <w:r w:rsidRPr="00F35CD7">
        <w:rPr>
          <w:rFonts w:ascii="仿宋_GB2312" w:eastAsia="仿宋_GB2312" w:hAnsi="黑体" w:cs="黑体" w:hint="eastAsia"/>
          <w:color w:val="000000"/>
          <w:sz w:val="32"/>
          <w:szCs w:val="32"/>
        </w:rPr>
        <w:t>无。</w:t>
      </w:r>
    </w:p>
    <w:p w:rsidR="00AE777B" w:rsidRDefault="001F766E">
      <w:pPr>
        <w:spacing w:line="560" w:lineRule="exact"/>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lastRenderedPageBreak/>
        <w:t>部门整体支出绩效评价指标表</w:t>
      </w:r>
    </w:p>
    <w:p w:rsidR="00AE777B" w:rsidRDefault="00AE777B">
      <w:pPr>
        <w:spacing w:line="560" w:lineRule="exact"/>
        <w:jc w:val="center"/>
        <w:rPr>
          <w:rFonts w:ascii="Times New Roman" w:hAnsi="Times New Roman"/>
          <w:kern w:val="0"/>
          <w:sz w:val="24"/>
        </w:rPr>
      </w:pPr>
    </w:p>
    <w:tbl>
      <w:tblPr>
        <w:tblW w:w="10771" w:type="dxa"/>
        <w:jc w:val="center"/>
        <w:tblInd w:w="-171" w:type="dxa"/>
        <w:tblLayout w:type="fixed"/>
        <w:tblLook w:val="04A0"/>
      </w:tblPr>
      <w:tblGrid>
        <w:gridCol w:w="678"/>
        <w:gridCol w:w="516"/>
        <w:gridCol w:w="659"/>
        <w:gridCol w:w="516"/>
        <w:gridCol w:w="1074"/>
        <w:gridCol w:w="516"/>
        <w:gridCol w:w="2878"/>
        <w:gridCol w:w="3312"/>
        <w:gridCol w:w="622"/>
      </w:tblGrid>
      <w:tr w:rsidR="00AE777B">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三级</w:t>
            </w:r>
          </w:p>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得分</w:t>
            </w:r>
          </w:p>
        </w:tc>
      </w:tr>
      <w:tr w:rsidR="00AE777B">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以</w:t>
            </w:r>
            <w:r>
              <w:rPr>
                <w:rFonts w:ascii="Times New Roman" w:eastAsia="仿宋_GB2312" w:hAnsi="Times New Roman"/>
                <w:kern w:val="0"/>
                <w:sz w:val="20"/>
                <w:szCs w:val="20"/>
              </w:rPr>
              <w:t>100%</w:t>
            </w:r>
            <w:r>
              <w:rPr>
                <w:rFonts w:ascii="Times New Roman" w:eastAsia="仿宋_GB2312" w:hAnsi="Times New Roman"/>
                <w:kern w:val="0"/>
                <w:sz w:val="20"/>
                <w:szCs w:val="20"/>
              </w:rPr>
              <w:t>为标准。在职人员控制率</w:t>
            </w:r>
            <w:r>
              <w:rPr>
                <w:rFonts w:ascii="Times New Roman" w:hAnsi="Times New Roman"/>
                <w:kern w:val="0"/>
                <w:sz w:val="20"/>
                <w:szCs w:val="20"/>
              </w:rPr>
              <w:t>≦</w:t>
            </w:r>
            <w:r>
              <w:rPr>
                <w:rFonts w:ascii="Times New Roman" w:eastAsia="仿宋_GB2312" w:hAnsi="Times New Roman"/>
                <w:kern w:val="0"/>
                <w:sz w:val="20"/>
                <w:szCs w:val="20"/>
              </w:rPr>
              <w:t>100%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kern w:val="0"/>
                <w:sz w:val="20"/>
                <w:szCs w:val="20"/>
              </w:rPr>
              <w:t>编制数）</w:t>
            </w:r>
            <w:r>
              <w:rPr>
                <w:rFonts w:ascii="Times New Roman" w:eastAsia="仿宋_GB2312" w:hAnsi="Times New Roman"/>
                <w:kern w:val="0"/>
                <w:sz w:val="20"/>
                <w:szCs w:val="20"/>
              </w:rPr>
              <w:t>×100%</w:t>
            </w:r>
            <w:r>
              <w:rPr>
                <w:rFonts w:ascii="Times New Roman" w:eastAsia="仿宋_GB2312" w:hAnsi="Times New Roman"/>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0E2F63">
              <w:rPr>
                <w:rFonts w:ascii="Times New Roman" w:hAnsi="Times New Roman" w:hint="eastAsia"/>
                <w:kern w:val="0"/>
                <w:sz w:val="24"/>
              </w:rPr>
              <w:t>5</w:t>
            </w:r>
          </w:p>
        </w:tc>
      </w:tr>
      <w:tr w:rsidR="00AE777B">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8</w:t>
            </w:r>
            <w:r>
              <w:rPr>
                <w:rFonts w:ascii="Times New Roman" w:eastAsia="仿宋_GB2312" w:hAnsi="Times New Roman"/>
                <w:kern w:val="0"/>
                <w:sz w:val="20"/>
                <w:szCs w:val="20"/>
              </w:rPr>
              <w:t>分；</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eastAsia="仿宋_GB2312" w:hAnsi="Times New Roman"/>
                <w:kern w:val="0"/>
                <w:sz w:val="20"/>
                <w:szCs w:val="20"/>
              </w:rPr>
              <w:t>=[</w:t>
            </w:r>
            <w:r>
              <w:rPr>
                <w:rFonts w:ascii="Times New Roman" w:eastAsia="仿宋_GB2312" w:hAnsi="Times New Roman"/>
                <w:kern w:val="0"/>
                <w:sz w:val="20"/>
                <w:szCs w:val="20"/>
              </w:rPr>
              <w:t>（本年度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0E2F63">
              <w:rPr>
                <w:rFonts w:ascii="Times New Roman" w:hAnsi="Times New Roman" w:hint="eastAsia"/>
                <w:kern w:val="0"/>
                <w:sz w:val="24"/>
              </w:rPr>
              <w:t>8</w:t>
            </w:r>
          </w:p>
        </w:tc>
      </w:tr>
      <w:tr w:rsidR="00AE777B">
        <w:trPr>
          <w:jc w:val="center"/>
        </w:trPr>
        <w:tc>
          <w:tcPr>
            <w:tcW w:w="67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年末结余）</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0E2F63">
              <w:rPr>
                <w:rFonts w:ascii="Times New Roman" w:hAnsi="Times New Roman" w:hint="eastAsia"/>
                <w:kern w:val="0"/>
                <w:sz w:val="24"/>
              </w:rPr>
              <w:t>3</w:t>
            </w:r>
          </w:p>
        </w:tc>
      </w:tr>
      <w:tr w:rsidR="00AE777B">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w:t>
            </w:r>
            <w:r>
              <w:rPr>
                <w:rFonts w:ascii="Times New Roman" w:eastAsia="仿宋_GB2312" w:hAnsi="Times New Roman"/>
                <w:kern w:val="0"/>
                <w:sz w:val="20"/>
                <w:szCs w:val="20"/>
              </w:rPr>
              <w:t>0-10%</w:t>
            </w:r>
            <w:r>
              <w:rPr>
                <w:rFonts w:ascii="Times New Roman" w:eastAsia="仿宋_GB2312" w:hAnsi="Times New Roman"/>
                <w:kern w:val="0"/>
                <w:sz w:val="20"/>
                <w:szCs w:val="20"/>
              </w:rPr>
              <w:t>（含），计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t>10-20%</w:t>
            </w:r>
            <w:r>
              <w:rPr>
                <w:rFonts w:ascii="Times New Roman" w:eastAsia="仿宋_GB2312" w:hAnsi="Times New Roman"/>
                <w:kern w:val="0"/>
                <w:sz w:val="20"/>
                <w:szCs w:val="20"/>
              </w:rPr>
              <w:t>（含），计</w:t>
            </w:r>
            <w:r>
              <w:rPr>
                <w:rFonts w:ascii="Times New Roman" w:eastAsia="仿宋_GB2312" w:hAnsi="Times New Roman"/>
                <w:kern w:val="0"/>
                <w:sz w:val="20"/>
                <w:szCs w:val="20"/>
              </w:rPr>
              <w:t>3</w:t>
            </w:r>
            <w:r>
              <w:rPr>
                <w:rFonts w:ascii="Times New Roman" w:eastAsia="仿宋_GB2312" w:hAnsi="Times New Roman"/>
                <w:kern w:val="0"/>
                <w:sz w:val="20"/>
                <w:szCs w:val="20"/>
              </w:rPr>
              <w:t>分；</w:t>
            </w:r>
            <w:r>
              <w:rPr>
                <w:rFonts w:ascii="Times New Roman" w:eastAsia="仿宋_GB2312" w:hAnsi="Times New Roman"/>
                <w:kern w:val="0"/>
                <w:sz w:val="20"/>
                <w:szCs w:val="20"/>
              </w:rPr>
              <w:t>20-30%</w:t>
            </w:r>
            <w:r>
              <w:rPr>
                <w:rFonts w:ascii="Times New Roman" w:eastAsia="仿宋_GB2312" w:hAnsi="Times New Roman"/>
                <w:kern w:val="0"/>
                <w:sz w:val="20"/>
                <w:szCs w:val="20"/>
              </w:rPr>
              <w:t>（含），计</w:t>
            </w:r>
            <w:r>
              <w:rPr>
                <w:rFonts w:ascii="Times New Roman" w:eastAsia="仿宋_GB2312" w:hAnsi="Times New Roman"/>
                <w:kern w:val="0"/>
                <w:sz w:val="20"/>
                <w:szCs w:val="20"/>
              </w:rPr>
              <w:t>2</w:t>
            </w:r>
            <w:r>
              <w:rPr>
                <w:rFonts w:ascii="Times New Roman" w:eastAsia="仿宋_GB2312" w:hAnsi="Times New Roman"/>
                <w:kern w:val="0"/>
                <w:sz w:val="20"/>
                <w:szCs w:val="20"/>
              </w:rPr>
              <w:t>分；大于</w:t>
            </w:r>
            <w:r>
              <w:rPr>
                <w:rFonts w:ascii="Times New Roman" w:eastAsia="仿宋_GB2312" w:hAnsi="Times New Roman"/>
                <w:kern w:val="0"/>
                <w:sz w:val="20"/>
                <w:szCs w:val="20"/>
              </w:rPr>
              <w:t>30%</w:t>
            </w:r>
            <w:r>
              <w:rPr>
                <w:rFonts w:ascii="Times New Roman" w:eastAsia="仿宋_GB2312" w:hAnsi="Times New Roman"/>
                <w:kern w:val="0"/>
                <w:sz w:val="20"/>
                <w:szCs w:val="20"/>
              </w:rPr>
              <w:t>不得分。</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0E2F63">
              <w:rPr>
                <w:rFonts w:ascii="Times New Roman" w:hAnsi="Times New Roman" w:hint="eastAsia"/>
                <w:kern w:val="0"/>
                <w:sz w:val="24"/>
              </w:rPr>
              <w:t>5</w:t>
            </w:r>
          </w:p>
        </w:tc>
      </w:tr>
      <w:tr w:rsidR="00AE777B">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0E2F63">
              <w:rPr>
                <w:rFonts w:ascii="Times New Roman" w:hAnsi="Times New Roman" w:hint="eastAsia"/>
                <w:kern w:val="0"/>
                <w:sz w:val="24"/>
              </w:rPr>
              <w:t>5</w:t>
            </w:r>
          </w:p>
        </w:tc>
      </w:tr>
      <w:tr w:rsidR="00AE777B">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0E2F63">
              <w:rPr>
                <w:rFonts w:ascii="Times New Roman" w:hAnsi="Times New Roman" w:hint="eastAsia"/>
                <w:kern w:val="0"/>
                <w:sz w:val="24"/>
              </w:rPr>
              <w:t>5</w:t>
            </w:r>
          </w:p>
        </w:tc>
      </w:tr>
      <w:tr w:rsidR="00AE777B">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355EE6">
              <w:rPr>
                <w:rFonts w:ascii="Times New Roman" w:hAnsi="Times New Roman" w:hint="eastAsia"/>
                <w:kern w:val="0"/>
                <w:sz w:val="24"/>
              </w:rPr>
              <w:t>7</w:t>
            </w:r>
          </w:p>
        </w:tc>
      </w:tr>
      <w:tr w:rsidR="00AE777B">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实际支出数</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预算安排数）</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355EE6">
              <w:rPr>
                <w:rFonts w:ascii="Times New Roman" w:hAnsi="Times New Roman" w:hint="eastAsia"/>
                <w:kern w:val="0"/>
                <w:sz w:val="24"/>
              </w:rPr>
              <w:t>6</w:t>
            </w:r>
          </w:p>
        </w:tc>
      </w:tr>
      <w:tr w:rsidR="00AE777B">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p>
        </w:tc>
        <w:tc>
          <w:tcPr>
            <w:tcW w:w="516" w:type="dxa"/>
            <w:tcBorders>
              <w:top w:val="nil"/>
              <w:left w:val="nil"/>
              <w:bottom w:val="single" w:sz="4" w:space="0" w:color="auto"/>
              <w:right w:val="single" w:sz="4" w:space="0" w:color="auto"/>
            </w:tcBorders>
            <w:vAlign w:val="center"/>
          </w:tcPr>
          <w:p w:rsidR="00AE777B" w:rsidRDefault="001F766E">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355EE6">
              <w:rPr>
                <w:rFonts w:ascii="Times New Roman" w:hAnsi="Times New Roman" w:hint="eastAsia"/>
                <w:kern w:val="0"/>
                <w:sz w:val="24"/>
              </w:rPr>
              <w:t>4</w:t>
            </w:r>
          </w:p>
        </w:tc>
      </w:tr>
      <w:tr w:rsidR="00AE777B">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AE777B" w:rsidRDefault="001F766E">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AE777B" w:rsidRDefault="001F766E">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管理制度健全性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②</w:t>
            </w:r>
            <w:r>
              <w:rPr>
                <w:rFonts w:ascii="Times New Roman" w:eastAsia="仿宋_GB2312" w:hAnsi="Times New Roman"/>
                <w:kern w:val="0"/>
                <w:sz w:val="20"/>
                <w:szCs w:val="20"/>
              </w:rPr>
              <w:t>有本部门厉行节约制度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③</w:t>
            </w:r>
            <w:r>
              <w:rPr>
                <w:rFonts w:ascii="Times New Roman" w:eastAsia="仿宋_GB2312" w:hAnsi="Times New Roman"/>
                <w:kern w:val="0"/>
                <w:sz w:val="20"/>
                <w:szCs w:val="20"/>
              </w:rPr>
              <w:t>相关管理制度合法、合规、完整，</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相关管理制度得到有效执行，</w:t>
            </w:r>
            <w:r>
              <w:rPr>
                <w:rFonts w:ascii="Times New Roman" w:eastAsia="仿宋_GB2312" w:hAnsi="Times New Roman"/>
                <w:kern w:val="0"/>
                <w:sz w:val="20"/>
                <w:szCs w:val="20"/>
              </w:rPr>
              <w:t>2</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807ECD">
              <w:rPr>
                <w:rFonts w:ascii="Times New Roman" w:hAnsi="Times New Roman" w:hint="eastAsia"/>
                <w:kern w:val="0"/>
                <w:sz w:val="24"/>
              </w:rPr>
              <w:t>8</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资金使用合规性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支出符合国家财经法规和财务管理制度规定以及有关专项资金管理办法的规定；</w:t>
            </w:r>
            <w:r>
              <w:rPr>
                <w:rFonts w:ascii="Times New Roman" w:eastAsia="仿宋_GB2312" w:hAnsi="Times New Roman"/>
                <w:kern w:val="0"/>
                <w:sz w:val="20"/>
                <w:szCs w:val="20"/>
              </w:rPr>
              <w:t>②</w:t>
            </w:r>
            <w:r>
              <w:rPr>
                <w:rFonts w:ascii="Times New Roman" w:eastAsia="仿宋_GB2312" w:hAnsi="Times New Roman"/>
                <w:kern w:val="0"/>
                <w:sz w:val="20"/>
                <w:szCs w:val="20"/>
              </w:rPr>
              <w:t>资金拨付有完整的审批程序和手续；</w:t>
            </w:r>
            <w:r>
              <w:rPr>
                <w:rFonts w:ascii="Times New Roman" w:eastAsia="仿宋_GB2312" w:hAnsi="Times New Roman"/>
                <w:kern w:val="0"/>
                <w:sz w:val="20"/>
                <w:szCs w:val="20"/>
              </w:rPr>
              <w:t>③</w:t>
            </w:r>
            <w:r>
              <w:rPr>
                <w:rFonts w:ascii="Times New Roman" w:eastAsia="仿宋_GB2312" w:hAnsi="Times New Roman"/>
                <w:kern w:val="0"/>
                <w:sz w:val="20"/>
                <w:szCs w:val="20"/>
              </w:rPr>
              <w:t>项目支出按规定经过评估论证；</w:t>
            </w:r>
            <w:r>
              <w:rPr>
                <w:rFonts w:ascii="Times New Roman" w:eastAsia="仿宋_GB2312" w:hAnsi="Times New Roman"/>
                <w:kern w:val="0"/>
                <w:sz w:val="20"/>
                <w:szCs w:val="20"/>
              </w:rPr>
              <w:t>④</w:t>
            </w:r>
            <w:r>
              <w:rPr>
                <w:rFonts w:ascii="Times New Roman" w:eastAsia="仿宋_GB2312" w:hAnsi="Times New Roman"/>
                <w:kern w:val="0"/>
                <w:sz w:val="20"/>
                <w:szCs w:val="20"/>
              </w:rPr>
              <w:t>支出符合部门预算批复的用途；</w:t>
            </w:r>
            <w:r>
              <w:rPr>
                <w:rFonts w:ascii="Times New Roman" w:eastAsia="仿宋_GB2312" w:hAnsi="Times New Roman"/>
                <w:kern w:val="0"/>
                <w:sz w:val="20"/>
                <w:szCs w:val="20"/>
              </w:rPr>
              <w:t>⑤</w:t>
            </w:r>
            <w:r>
              <w:rPr>
                <w:rFonts w:ascii="Times New Roman" w:eastAsia="仿宋_GB2312" w:hAnsi="Times New Roman"/>
                <w:kern w:val="0"/>
                <w:sz w:val="20"/>
                <w:szCs w:val="20"/>
              </w:rPr>
              <w:t>资金使用无截留、挤占、挪用、虚列支出等情况。</w:t>
            </w:r>
            <w:r>
              <w:rPr>
                <w:rFonts w:ascii="Times New Roman" w:eastAsia="仿宋_GB2312" w:hAnsi="Times New Roman"/>
                <w:kern w:val="0"/>
                <w:sz w:val="20"/>
                <w:szCs w:val="20"/>
              </w:rPr>
              <w:br/>
            </w:r>
            <w:r>
              <w:rPr>
                <w:rFonts w:ascii="Times New Roman" w:eastAsia="仿宋_GB2312" w:hAnsi="Times New Roman"/>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807ECD">
              <w:rPr>
                <w:rFonts w:ascii="Times New Roman" w:hAnsi="Times New Roman" w:hint="eastAsia"/>
                <w:kern w:val="0"/>
                <w:sz w:val="24"/>
              </w:rPr>
              <w:t>6</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按规定内容公开预决算信息，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②</w:t>
            </w:r>
            <w:r>
              <w:rPr>
                <w:rFonts w:ascii="Times New Roman" w:eastAsia="仿宋_GB2312" w:hAnsi="Times New Roman"/>
                <w:kern w:val="0"/>
                <w:sz w:val="20"/>
                <w:szCs w:val="20"/>
              </w:rPr>
              <w:t>按规定时限公开预决算信息，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③</w:t>
            </w:r>
            <w:r>
              <w:rPr>
                <w:rFonts w:ascii="Times New Roman" w:eastAsia="仿宋_GB2312" w:hAnsi="Times New Roman"/>
                <w:kern w:val="0"/>
                <w:sz w:val="20"/>
                <w:szCs w:val="20"/>
              </w:rPr>
              <w:t>基础数据信息和会计信息资料真实，</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基础数据信息和会计信息资料完整，</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⑤</w:t>
            </w:r>
            <w:r>
              <w:rPr>
                <w:rFonts w:ascii="Times New Roman" w:eastAsia="仿宋_GB2312" w:hAnsi="Times New Roman"/>
                <w:kern w:val="0"/>
                <w:sz w:val="20"/>
                <w:szCs w:val="20"/>
              </w:rPr>
              <w:t>基础数据信息和汇集信息资料准确，</w:t>
            </w:r>
            <w:r>
              <w:rPr>
                <w:rFonts w:ascii="Times New Roman" w:eastAsia="仿宋_GB2312" w:hAnsi="Times New Roman"/>
                <w:kern w:val="0"/>
                <w:sz w:val="20"/>
                <w:szCs w:val="20"/>
              </w:rPr>
              <w:t>1</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807ECD">
              <w:rPr>
                <w:rFonts w:ascii="Times New Roman" w:hAnsi="Times New Roman" w:hint="eastAsia"/>
                <w:kern w:val="0"/>
                <w:sz w:val="24"/>
              </w:rPr>
              <w:t>5</w:t>
            </w:r>
          </w:p>
        </w:tc>
      </w:tr>
      <w:tr w:rsidR="00AE777B">
        <w:trPr>
          <w:jc w:val="center"/>
        </w:trPr>
        <w:tc>
          <w:tcPr>
            <w:tcW w:w="678"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职责履行</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kern w:val="0"/>
                <w:sz w:val="20"/>
                <w:szCs w:val="20"/>
              </w:rPr>
              <w:t>该项得分</w:t>
            </w:r>
            <w:r>
              <w:rPr>
                <w:rFonts w:ascii="Times New Roman" w:eastAsia="仿宋_GB2312" w:hAnsi="Times New Roman"/>
                <w:kern w:val="0"/>
                <w:sz w:val="20"/>
                <w:szCs w:val="20"/>
              </w:rPr>
              <w:t>=</w:t>
            </w:r>
            <w:r>
              <w:rPr>
                <w:rFonts w:ascii="Times New Roman" w:eastAsia="仿宋_GB2312" w:hAnsi="Times New Roman"/>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kern w:val="0"/>
                <w:sz w:val="20"/>
                <w:szCs w:val="20"/>
              </w:rPr>
              <w:t>）</w:t>
            </w:r>
            <w:r>
              <w:rPr>
                <w:rFonts w:ascii="Times New Roman" w:eastAsia="仿宋_GB2312" w:hAnsi="Times New Roman"/>
                <w:kern w:val="0"/>
                <w:sz w:val="20"/>
                <w:szCs w:val="20"/>
              </w:rPr>
              <w:t>*8</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807ECD">
              <w:rPr>
                <w:rFonts w:ascii="Times New Roman" w:hAnsi="Times New Roman" w:hint="eastAsia"/>
                <w:kern w:val="0"/>
                <w:sz w:val="24"/>
              </w:rPr>
              <w:t>8</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E777B">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社会效益</w:t>
            </w:r>
          </w:p>
        </w:tc>
        <w:tc>
          <w:tcPr>
            <w:tcW w:w="516" w:type="dxa"/>
            <w:vMerge/>
            <w:tcBorders>
              <w:top w:val="nil"/>
              <w:left w:val="single" w:sz="4" w:space="0" w:color="auto"/>
              <w:bottom w:val="nil"/>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807ECD">
              <w:rPr>
                <w:rFonts w:ascii="Times New Roman" w:hAnsi="Times New Roman" w:hint="eastAsia"/>
                <w:kern w:val="0"/>
                <w:sz w:val="24"/>
              </w:rPr>
              <w:t>6</w:t>
            </w:r>
          </w:p>
        </w:tc>
      </w:tr>
      <w:tr w:rsidR="00AE777B">
        <w:trPr>
          <w:jc w:val="center"/>
        </w:trPr>
        <w:tc>
          <w:tcPr>
            <w:tcW w:w="678"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kern w:val="0"/>
                <w:sz w:val="20"/>
                <w:szCs w:val="20"/>
              </w:rPr>
              <w:t>分；一般</w:t>
            </w:r>
            <w:r>
              <w:rPr>
                <w:rFonts w:ascii="Times New Roman" w:eastAsia="仿宋_GB2312" w:hAnsi="Times New Roman"/>
                <w:kern w:val="0"/>
                <w:sz w:val="20"/>
                <w:szCs w:val="20"/>
              </w:rPr>
              <w:t>3</w:t>
            </w:r>
            <w:r>
              <w:rPr>
                <w:rFonts w:ascii="Times New Roman" w:eastAsia="仿宋_GB2312" w:hAnsi="Times New Roman"/>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807ECD">
              <w:rPr>
                <w:rFonts w:ascii="Times New Roman" w:hAnsi="Times New Roman" w:hint="eastAsia"/>
                <w:kern w:val="0"/>
                <w:sz w:val="24"/>
              </w:rPr>
              <w:t>6</w:t>
            </w:r>
          </w:p>
        </w:tc>
      </w:tr>
      <w:tr w:rsidR="00AE777B">
        <w:trPr>
          <w:jc w:val="center"/>
        </w:trPr>
        <w:tc>
          <w:tcPr>
            <w:tcW w:w="678"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kern w:val="0"/>
                <w:sz w:val="20"/>
                <w:szCs w:val="20"/>
              </w:rPr>
              <w:t>（含）以上计</w:t>
            </w:r>
            <w:r>
              <w:rPr>
                <w:rFonts w:ascii="Times New Roman" w:eastAsia="仿宋_GB2312" w:hAnsi="Times New Roman"/>
                <w:kern w:val="0"/>
                <w:sz w:val="20"/>
                <w:szCs w:val="20"/>
              </w:rPr>
              <w:t>6</w:t>
            </w:r>
            <w:r>
              <w:rPr>
                <w:rFonts w:ascii="Times New Roman" w:eastAsia="仿宋_GB2312" w:hAnsi="Times New Roman"/>
                <w:kern w:val="0"/>
                <w:sz w:val="20"/>
                <w:szCs w:val="20"/>
              </w:rPr>
              <w:t>分；</w:t>
            </w:r>
            <w:r>
              <w:rPr>
                <w:rFonts w:ascii="Times New Roman" w:eastAsia="仿宋_GB2312" w:hAnsi="Times New Roman"/>
                <w:kern w:val="0"/>
                <w:sz w:val="20"/>
                <w:szCs w:val="20"/>
              </w:rPr>
              <w:br/>
              <w:t>80%</w:t>
            </w:r>
            <w:r>
              <w:rPr>
                <w:rFonts w:ascii="Times New Roman" w:eastAsia="仿宋_GB2312" w:hAnsi="Times New Roman"/>
                <w:kern w:val="0"/>
                <w:sz w:val="20"/>
                <w:szCs w:val="20"/>
              </w:rPr>
              <w:t>（含）</w:t>
            </w:r>
            <w:r>
              <w:rPr>
                <w:rFonts w:ascii="Times New Roman" w:eastAsia="仿宋_GB2312" w:hAnsi="Times New Roman"/>
                <w:kern w:val="0"/>
                <w:sz w:val="20"/>
                <w:szCs w:val="20"/>
              </w:rPr>
              <w:t>-90%</w:t>
            </w:r>
            <w:r>
              <w:rPr>
                <w:rFonts w:ascii="Times New Roman" w:eastAsia="仿宋_GB2312" w:hAnsi="Times New Roman"/>
                <w:kern w:val="0"/>
                <w:sz w:val="20"/>
                <w:szCs w:val="20"/>
              </w:rPr>
              <w:t>，计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br/>
              <w:t>70%</w:t>
            </w:r>
            <w:r>
              <w:rPr>
                <w:rFonts w:ascii="Times New Roman" w:eastAsia="仿宋_GB2312" w:hAnsi="Times New Roman"/>
                <w:kern w:val="0"/>
                <w:sz w:val="20"/>
                <w:szCs w:val="20"/>
              </w:rPr>
              <w:t>（含）</w:t>
            </w:r>
            <w:r>
              <w:rPr>
                <w:rFonts w:ascii="Times New Roman" w:eastAsia="仿宋_GB2312" w:hAnsi="Times New Roman"/>
                <w:kern w:val="0"/>
                <w:sz w:val="20"/>
                <w:szCs w:val="20"/>
              </w:rPr>
              <w:t>-80%</w:t>
            </w:r>
            <w:r>
              <w:rPr>
                <w:rFonts w:ascii="Times New Roman" w:eastAsia="仿宋_GB2312" w:hAnsi="Times New Roman"/>
                <w:kern w:val="0"/>
                <w:sz w:val="20"/>
                <w:szCs w:val="20"/>
              </w:rPr>
              <w:t>，计</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低于</w:t>
            </w:r>
            <w:r>
              <w:rPr>
                <w:rFonts w:ascii="Times New Roman" w:eastAsia="仿宋_GB2312" w:hAnsi="Times New Roman"/>
                <w:kern w:val="0"/>
                <w:sz w:val="20"/>
                <w:szCs w:val="20"/>
              </w:rPr>
              <w:t>70%</w:t>
            </w:r>
            <w:r>
              <w:rPr>
                <w:rFonts w:ascii="Times New Roman" w:eastAsia="仿宋_GB2312" w:hAnsi="Times New Roman"/>
                <w:kern w:val="0"/>
                <w:sz w:val="20"/>
                <w:szCs w:val="20"/>
              </w:rPr>
              <w:t>计</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AE777B" w:rsidRDefault="001F766E">
            <w:pPr>
              <w:widowControl/>
              <w:spacing w:line="300" w:lineRule="exact"/>
              <w:jc w:val="left"/>
              <w:rPr>
                <w:rFonts w:ascii="Times New Roman" w:hAnsi="Times New Roman"/>
                <w:kern w:val="0"/>
                <w:sz w:val="24"/>
              </w:rPr>
            </w:pPr>
            <w:r>
              <w:rPr>
                <w:rFonts w:ascii="Times New Roman" w:hAnsi="Times New Roman"/>
                <w:kern w:val="0"/>
                <w:sz w:val="24"/>
              </w:rPr>
              <w:t xml:space="preserve">　</w:t>
            </w:r>
            <w:r w:rsidR="00807ECD">
              <w:rPr>
                <w:rFonts w:ascii="Times New Roman" w:hAnsi="Times New Roman" w:hint="eastAsia"/>
                <w:kern w:val="0"/>
                <w:sz w:val="24"/>
              </w:rPr>
              <w:t>6</w:t>
            </w:r>
          </w:p>
        </w:tc>
      </w:tr>
      <w:tr w:rsidR="00AE777B">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AE777B" w:rsidRDefault="001F766E">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AE777B" w:rsidRDefault="001F766E">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AE777B" w:rsidRDefault="00AE777B">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AE777B" w:rsidRDefault="00B3248B">
            <w:pPr>
              <w:widowControl/>
              <w:spacing w:line="300" w:lineRule="exact"/>
              <w:jc w:val="left"/>
              <w:rPr>
                <w:rFonts w:ascii="Times New Roman" w:hAnsi="Times New Roman"/>
                <w:kern w:val="0"/>
                <w:sz w:val="24"/>
              </w:rPr>
            </w:pPr>
            <w:r>
              <w:rPr>
                <w:rFonts w:ascii="Times New Roman" w:hAnsi="Times New Roman" w:hint="eastAsia"/>
                <w:kern w:val="0"/>
                <w:sz w:val="24"/>
              </w:rPr>
              <w:t>93</w:t>
            </w:r>
          </w:p>
        </w:tc>
      </w:tr>
    </w:tbl>
    <w:p w:rsidR="00AE777B" w:rsidRDefault="001F766E">
      <w:pPr>
        <w:spacing w:line="560" w:lineRule="exact"/>
        <w:jc w:val="center"/>
        <w:rPr>
          <w:rFonts w:asciiTheme="majorEastAsia" w:eastAsiaTheme="majorEastAsia" w:hAnsiTheme="majorEastAsia" w:cstheme="majorEastAsia"/>
          <w:b/>
          <w:bCs/>
          <w:kern w:val="0"/>
          <w:sz w:val="32"/>
          <w:szCs w:val="32"/>
        </w:rPr>
      </w:pPr>
      <w:r>
        <w:rPr>
          <w:rFonts w:ascii="Times New Roman" w:eastAsia="黑体" w:hAnsi="Times New Roman"/>
          <w:sz w:val="28"/>
          <w:szCs w:val="28"/>
        </w:rPr>
        <w:br w:type="page"/>
      </w:r>
      <w:r>
        <w:rPr>
          <w:rFonts w:asciiTheme="majorEastAsia" w:eastAsiaTheme="majorEastAsia" w:hAnsiTheme="majorEastAsia" w:cstheme="majorEastAsia" w:hint="eastAsia"/>
          <w:b/>
          <w:bCs/>
          <w:kern w:val="0"/>
          <w:sz w:val="36"/>
          <w:szCs w:val="36"/>
        </w:rPr>
        <w:lastRenderedPageBreak/>
        <w:t>部门整体支出绩效评价基础数据表</w:t>
      </w:r>
    </w:p>
    <w:p w:rsidR="00AE777B" w:rsidRDefault="001F766E">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rPr>
      </w:pPr>
      <w:r>
        <w:rPr>
          <w:rFonts w:ascii="Times New Roman" w:eastAsia="仿宋_GB2312" w:hAnsi="Times New Roman"/>
          <w:kern w:val="0"/>
          <w:sz w:val="24"/>
        </w:rPr>
        <w:t>填报单位：</w:t>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p>
    <w:tbl>
      <w:tblPr>
        <w:tblW w:w="10339" w:type="dxa"/>
        <w:jc w:val="center"/>
        <w:tblLayout w:type="fixed"/>
        <w:tblLook w:val="04A0"/>
      </w:tblPr>
      <w:tblGrid>
        <w:gridCol w:w="3550"/>
        <w:gridCol w:w="1190"/>
        <w:gridCol w:w="1170"/>
        <w:gridCol w:w="1130"/>
        <w:gridCol w:w="1465"/>
        <w:gridCol w:w="970"/>
        <w:gridCol w:w="864"/>
      </w:tblGrid>
      <w:tr w:rsidR="00AE777B">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控制率</w:t>
            </w:r>
          </w:p>
        </w:tc>
      </w:tr>
      <w:tr w:rsidR="00AE777B">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AE777B" w:rsidRDefault="00AE777B">
            <w:pPr>
              <w:widowControl/>
              <w:jc w:val="left"/>
              <w:rPr>
                <w:rFonts w:ascii="Times New Roman" w:eastAsia="仿宋_GB2312" w:hAnsi="Times New Roman"/>
                <w:kern w:val="0"/>
                <w:sz w:val="24"/>
              </w:rPr>
            </w:pPr>
          </w:p>
        </w:tc>
        <w:tc>
          <w:tcPr>
            <w:tcW w:w="2360"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7923B9">
              <w:rPr>
                <w:rFonts w:ascii="Times New Roman" w:eastAsia="仿宋_GB2312" w:hAnsi="Times New Roman" w:hint="eastAsia"/>
                <w:kern w:val="0"/>
                <w:sz w:val="24"/>
              </w:rPr>
              <w:t>69</w:t>
            </w:r>
          </w:p>
        </w:tc>
        <w:tc>
          <w:tcPr>
            <w:tcW w:w="2595"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DE3E66">
              <w:rPr>
                <w:rFonts w:ascii="Times New Roman" w:eastAsia="仿宋_GB2312" w:hAnsi="Times New Roman" w:hint="eastAsia"/>
                <w:kern w:val="0"/>
                <w:sz w:val="24"/>
              </w:rPr>
              <w:t>69</w:t>
            </w:r>
          </w:p>
        </w:tc>
        <w:tc>
          <w:tcPr>
            <w:tcW w:w="1834" w:type="dxa"/>
            <w:gridSpan w:val="2"/>
            <w:tcBorders>
              <w:top w:val="single" w:sz="4" w:space="0" w:color="auto"/>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w:t>
            </w:r>
            <w:bookmarkStart w:id="0" w:name="_GoBack"/>
            <w:bookmarkEnd w:id="0"/>
            <w:r w:rsidR="002C4D8C">
              <w:rPr>
                <w:rFonts w:ascii="Times New Roman" w:eastAsia="仿宋_GB2312" w:hAnsi="Times New Roman" w:hint="eastAsia"/>
                <w:b/>
                <w:bCs/>
                <w:kern w:val="0"/>
                <w:sz w:val="24"/>
              </w:rPr>
              <w:t>9</w:t>
            </w:r>
            <w:r>
              <w:rPr>
                <w:rFonts w:ascii="Times New Roman" w:eastAsia="仿宋_GB2312" w:hAnsi="Times New Roman"/>
                <w:b/>
                <w:bCs/>
                <w:kern w:val="0"/>
                <w:sz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rsidP="002C4D8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w:t>
            </w:r>
            <w:r w:rsidR="002C4D8C">
              <w:rPr>
                <w:rFonts w:ascii="Times New Roman" w:eastAsia="仿宋_GB2312" w:hAnsi="Times New Roman" w:hint="eastAsia"/>
                <w:b/>
                <w:bCs/>
                <w:kern w:val="0"/>
                <w:sz w:val="24"/>
              </w:rPr>
              <w:t>20</w:t>
            </w:r>
            <w:r>
              <w:rPr>
                <w:rFonts w:ascii="Times New Roman" w:eastAsia="仿宋_GB2312" w:hAnsi="Times New Roman"/>
                <w:b/>
                <w:bCs/>
                <w:kern w:val="0"/>
                <w:sz w:val="24"/>
              </w:rPr>
              <w:t>年决算数</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8F6026">
              <w:rPr>
                <w:rFonts w:ascii="Times New Roman" w:eastAsia="仿宋_GB2312" w:hAnsi="Times New Roman" w:hint="eastAsia"/>
                <w:kern w:val="0"/>
                <w:sz w:val="24"/>
              </w:rPr>
              <w:t>9.58</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FD7278">
              <w:rPr>
                <w:rFonts w:ascii="Times New Roman" w:eastAsia="仿宋_GB2312" w:hAnsi="Times New Roman" w:hint="eastAsia"/>
                <w:kern w:val="0"/>
                <w:sz w:val="24"/>
              </w:rPr>
              <w:t>25</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8F6026">
              <w:rPr>
                <w:rFonts w:ascii="Times New Roman" w:eastAsia="仿宋_GB2312" w:hAnsi="Times New Roman" w:hint="eastAsia"/>
                <w:kern w:val="0"/>
                <w:sz w:val="24"/>
              </w:rPr>
              <w:t>5.5</w:t>
            </w:r>
          </w:p>
        </w:tc>
      </w:tr>
      <w:tr w:rsidR="00AE777B">
        <w:trPr>
          <w:trHeight w:val="39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3</w:t>
            </w:r>
            <w:r>
              <w:rPr>
                <w:rFonts w:ascii="Times New Roman" w:eastAsia="仿宋_GB2312" w:hAnsi="Times New Roman"/>
                <w:kern w:val="0"/>
                <w:sz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8F6026">
              <w:rPr>
                <w:rFonts w:ascii="Times New Roman" w:eastAsia="仿宋_GB2312" w:hAnsi="Times New Roman" w:hint="eastAsia"/>
                <w:kern w:val="0"/>
                <w:sz w:val="24"/>
              </w:rPr>
              <w:t>9.58</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FD7278">
              <w:rPr>
                <w:rFonts w:ascii="Times New Roman" w:eastAsia="仿宋_GB2312" w:hAnsi="Times New Roman" w:hint="eastAsia"/>
                <w:kern w:val="0"/>
                <w:sz w:val="24"/>
              </w:rPr>
              <w:t>25</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sidR="008F6026">
              <w:rPr>
                <w:rFonts w:ascii="Times New Roman" w:eastAsia="仿宋_GB2312" w:hAnsi="Times New Roman" w:hint="eastAsia"/>
                <w:kern w:val="0"/>
                <w:sz w:val="24"/>
              </w:rPr>
              <w:t>5.5</w:t>
            </w:r>
          </w:p>
        </w:tc>
      </w:tr>
      <w:tr w:rsidR="00AE777B">
        <w:trPr>
          <w:trHeight w:val="39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9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AE777B" w:rsidRDefault="001F766E" w:rsidP="002C4D8C">
            <w:pPr>
              <w:widowControl/>
              <w:jc w:val="center"/>
              <w:rPr>
                <w:rFonts w:ascii="Times New Roman" w:eastAsia="仿宋_GB2312" w:hAnsi="Times New Roman"/>
                <w:kern w:val="0"/>
                <w:sz w:val="24"/>
              </w:rPr>
            </w:pPr>
            <w:r>
              <w:rPr>
                <w:rFonts w:ascii="Times New Roman" w:eastAsia="仿宋_GB2312" w:hAnsi="Times New Roman"/>
                <w:kern w:val="0"/>
                <w:sz w:val="24"/>
              </w:rPr>
              <w:t>楼堂馆所控制情况</w:t>
            </w:r>
            <w:r>
              <w:rPr>
                <w:rFonts w:ascii="Times New Roman" w:eastAsia="仿宋_GB2312" w:hAnsi="Times New Roman"/>
                <w:kern w:val="0"/>
                <w:sz w:val="24"/>
              </w:rPr>
              <w:br/>
            </w:r>
            <w:r>
              <w:rPr>
                <w:rFonts w:ascii="Times New Roman" w:eastAsia="仿宋_GB2312" w:hAnsi="Times New Roman"/>
                <w:kern w:val="0"/>
                <w:sz w:val="24"/>
              </w:rPr>
              <w:t>（</w:t>
            </w:r>
            <w:r>
              <w:rPr>
                <w:rFonts w:ascii="Times New Roman" w:eastAsia="仿宋_GB2312" w:hAnsi="Times New Roman"/>
                <w:kern w:val="0"/>
                <w:sz w:val="24"/>
              </w:rPr>
              <w:t>20</w:t>
            </w:r>
            <w:r w:rsidR="002C4D8C">
              <w:rPr>
                <w:rFonts w:ascii="Times New Roman" w:eastAsia="仿宋_GB2312" w:hAnsi="Times New Roman" w:hint="eastAsia"/>
                <w:kern w:val="0"/>
                <w:sz w:val="24"/>
              </w:rPr>
              <w:t>20</w:t>
            </w:r>
            <w:r>
              <w:rPr>
                <w:rFonts w:ascii="Times New Roman" w:eastAsia="仿宋_GB2312" w:hAnsi="Times New Roman"/>
                <w:kern w:val="0"/>
                <w:sz w:val="24"/>
              </w:rPr>
              <w:t>年完工项目）</w:t>
            </w:r>
          </w:p>
        </w:tc>
        <w:tc>
          <w:tcPr>
            <w:tcW w:w="119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批复规模</w:t>
            </w:r>
            <w:r>
              <w:rPr>
                <w:rFonts w:ascii="Times New Roman" w:eastAsia="仿宋_GB2312" w:hAnsi="Times New Roman"/>
                <w:b/>
                <w:bCs/>
                <w:kern w:val="0"/>
                <w:sz w:val="24"/>
              </w:rPr>
              <w:br/>
            </w:r>
            <w:r>
              <w:rPr>
                <w:rFonts w:ascii="Times New Roman" w:eastAsia="仿宋_GB2312" w:hAnsi="Times New Roman"/>
                <w:b/>
                <w:bCs/>
                <w:kern w:val="0"/>
                <w:sz w:val="24"/>
              </w:rPr>
              <w:t>（</w:t>
            </w:r>
            <w:r>
              <w:rPr>
                <w:rFonts w:ascii="Times New Roman" w:hAnsi="Times New Roman"/>
                <w:b/>
                <w:bCs/>
                <w:kern w:val="0"/>
                <w:sz w:val="24"/>
              </w:rPr>
              <w:t>㎡</w:t>
            </w:r>
            <w:r>
              <w:rPr>
                <w:rFonts w:ascii="Times New Roman" w:eastAsia="仿宋_GB2312" w:hAnsi="Times New Roman"/>
                <w:b/>
                <w:bCs/>
                <w:kern w:val="0"/>
                <w:sz w:val="24"/>
              </w:rPr>
              <w:t>）</w:t>
            </w:r>
          </w:p>
        </w:tc>
        <w:tc>
          <w:tcPr>
            <w:tcW w:w="117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实际规模（</w:t>
            </w:r>
            <w:r>
              <w:rPr>
                <w:rFonts w:ascii="Times New Roman" w:hAnsi="Times New Roman"/>
                <w:b/>
                <w:bCs/>
                <w:kern w:val="0"/>
                <w:sz w:val="24"/>
              </w:rPr>
              <w:t>㎡</w:t>
            </w:r>
            <w:r>
              <w:rPr>
                <w:rFonts w:ascii="Times New Roman" w:eastAsia="仿宋_GB2312" w:hAnsi="Times New Roman"/>
                <w:b/>
                <w:bCs/>
                <w:kern w:val="0"/>
                <w:sz w:val="24"/>
              </w:rPr>
              <w:t>）</w:t>
            </w:r>
          </w:p>
        </w:tc>
        <w:tc>
          <w:tcPr>
            <w:tcW w:w="113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规模控制率</w:t>
            </w:r>
          </w:p>
        </w:tc>
        <w:tc>
          <w:tcPr>
            <w:tcW w:w="1465"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预算投资（万元）</w:t>
            </w:r>
          </w:p>
        </w:tc>
        <w:tc>
          <w:tcPr>
            <w:tcW w:w="97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实际投资（万元）</w:t>
            </w:r>
          </w:p>
        </w:tc>
        <w:tc>
          <w:tcPr>
            <w:tcW w:w="864"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b/>
                <w:bCs/>
                <w:kern w:val="0"/>
                <w:sz w:val="24"/>
              </w:rPr>
            </w:pPr>
            <w:r>
              <w:rPr>
                <w:rFonts w:ascii="Times New Roman" w:eastAsia="仿宋_GB2312" w:hAnsi="Times New Roman"/>
                <w:b/>
                <w:bCs/>
                <w:kern w:val="0"/>
                <w:sz w:val="24"/>
              </w:rPr>
              <w:t>投资概算控制率</w:t>
            </w:r>
          </w:p>
        </w:tc>
      </w:tr>
      <w:tr w:rsidR="00AE777B">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AE777B" w:rsidRDefault="00AE777B">
            <w:pPr>
              <w:widowControl/>
              <w:jc w:val="left"/>
              <w:rPr>
                <w:rFonts w:ascii="Times New Roman" w:eastAsia="仿宋_GB2312" w:hAnsi="Times New Roman"/>
                <w:kern w:val="0"/>
                <w:sz w:val="24"/>
              </w:rPr>
            </w:pPr>
          </w:p>
        </w:tc>
        <w:tc>
          <w:tcPr>
            <w:tcW w:w="1190" w:type="dxa"/>
            <w:tcBorders>
              <w:top w:val="nil"/>
              <w:left w:val="nil"/>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17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13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465"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970"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864" w:type="dxa"/>
            <w:tcBorders>
              <w:top w:val="nil"/>
              <w:left w:val="nil"/>
              <w:bottom w:val="single" w:sz="4" w:space="0" w:color="auto"/>
              <w:right w:val="single" w:sz="4" w:space="0" w:color="auto"/>
            </w:tcBorders>
            <w:vAlign w:val="center"/>
          </w:tcPr>
          <w:p w:rsidR="00AE777B" w:rsidRDefault="001F766E">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r>
      <w:tr w:rsidR="00AE777B">
        <w:trPr>
          <w:trHeight w:val="371"/>
          <w:jc w:val="center"/>
        </w:trPr>
        <w:tc>
          <w:tcPr>
            <w:tcW w:w="3550" w:type="dxa"/>
            <w:tcBorders>
              <w:top w:val="nil"/>
              <w:left w:val="single" w:sz="4" w:space="0" w:color="auto"/>
              <w:bottom w:val="single" w:sz="4" w:space="0" w:color="auto"/>
              <w:right w:val="single" w:sz="4" w:space="0" w:color="auto"/>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AE777B" w:rsidRDefault="001F766E">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bl>
    <w:p w:rsidR="00AE777B" w:rsidRDefault="001F766E">
      <w:pPr>
        <w:widowControl/>
        <w:jc w:val="left"/>
        <w:rPr>
          <w:rFonts w:ascii="Times New Roman" w:hAnsi="Times New Roman"/>
        </w:rPr>
      </w:pPr>
      <w:r>
        <w:rPr>
          <w:rFonts w:ascii="Times New Roman" w:eastAsia="仿宋_GB2312" w:hAnsi="Times New Roman"/>
          <w:kern w:val="0"/>
          <w:sz w:val="22"/>
        </w:rPr>
        <w:t>说明：</w:t>
      </w:r>
      <w:r>
        <w:rPr>
          <w:rFonts w:ascii="Times New Roman" w:eastAsia="仿宋_GB2312" w:hAnsi="Times New Roman"/>
          <w:kern w:val="0"/>
          <w:sz w:val="22"/>
        </w:rPr>
        <w:t>“</w:t>
      </w:r>
      <w:r>
        <w:rPr>
          <w:rFonts w:ascii="Times New Roman" w:eastAsia="仿宋_GB2312" w:hAnsi="Times New Roman"/>
          <w:kern w:val="0"/>
          <w:sz w:val="22"/>
        </w:rPr>
        <w:t>项目支出</w:t>
      </w:r>
      <w:r>
        <w:rPr>
          <w:rFonts w:ascii="Times New Roman" w:eastAsia="仿宋_GB2312" w:hAnsi="Times New Roman"/>
          <w:kern w:val="0"/>
          <w:sz w:val="22"/>
        </w:rPr>
        <w:t>”</w:t>
      </w:r>
      <w:r>
        <w:rPr>
          <w:rFonts w:ascii="Times New Roman" w:eastAsia="仿宋_GB2312" w:hAnsi="Times New Roman"/>
          <w:kern w:val="0"/>
          <w:sz w:val="22"/>
        </w:rPr>
        <w:t>需要填报除专项资金和基本支出以外的所有项目情况，包括业务工作项目、运行维护项目等；</w:t>
      </w:r>
      <w:r>
        <w:rPr>
          <w:rFonts w:ascii="Times New Roman" w:eastAsia="仿宋_GB2312" w:hAnsi="Times New Roman"/>
          <w:kern w:val="0"/>
          <w:sz w:val="22"/>
        </w:rPr>
        <w:t>“</w:t>
      </w:r>
      <w:r>
        <w:rPr>
          <w:rFonts w:ascii="Times New Roman" w:eastAsia="仿宋_GB2312" w:hAnsi="Times New Roman"/>
          <w:kern w:val="0"/>
          <w:sz w:val="22"/>
        </w:rPr>
        <w:t>公用经费</w:t>
      </w:r>
      <w:r>
        <w:rPr>
          <w:rFonts w:ascii="Times New Roman" w:eastAsia="仿宋_GB2312" w:hAnsi="Times New Roman"/>
          <w:kern w:val="0"/>
          <w:sz w:val="22"/>
        </w:rPr>
        <w:t>”</w:t>
      </w:r>
      <w:r>
        <w:rPr>
          <w:rFonts w:ascii="Times New Roman" w:eastAsia="仿宋_GB2312" w:hAnsi="Times New Roman"/>
          <w:kern w:val="0"/>
          <w:sz w:val="22"/>
        </w:rPr>
        <w:t>填报基本支出中的一般商品和服务支出。</w:t>
      </w:r>
    </w:p>
    <w:p w:rsidR="00AE777B" w:rsidRDefault="00AE777B">
      <w:pPr>
        <w:widowControl/>
        <w:spacing w:line="560" w:lineRule="exact"/>
        <w:rPr>
          <w:rFonts w:ascii="Times New Roman" w:eastAsia="黑体" w:hAnsi="Times New Roman"/>
          <w:color w:val="000000"/>
          <w:sz w:val="32"/>
          <w:szCs w:val="32"/>
        </w:rPr>
      </w:pPr>
    </w:p>
    <w:sectPr w:rsidR="00AE777B" w:rsidSect="00AE777B">
      <w:headerReference w:type="default" r:id="rId7"/>
      <w:footerReference w:type="default" r:id="rId8"/>
      <w:pgSz w:w="11906" w:h="16838"/>
      <w:pgMar w:top="1361"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2C1" w:rsidRDefault="00CB52C1" w:rsidP="00AE777B">
      <w:r>
        <w:separator/>
      </w:r>
    </w:p>
  </w:endnote>
  <w:endnote w:type="continuationSeparator" w:id="1">
    <w:p w:rsidR="00CB52C1" w:rsidRDefault="00CB52C1" w:rsidP="00AE7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000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B" w:rsidRDefault="00CB0B88">
    <w:pPr>
      <w:pStyle w:val="a3"/>
      <w:jc w:val="right"/>
    </w:pPr>
    <w:r w:rsidRPr="00CB0B88">
      <w:fldChar w:fldCharType="begin"/>
    </w:r>
    <w:r w:rsidR="001F766E">
      <w:instrText xml:space="preserve"> PAGE   \* MERGEFORMAT </w:instrText>
    </w:r>
    <w:r w:rsidRPr="00CB0B88">
      <w:fldChar w:fldCharType="separate"/>
    </w:r>
    <w:r w:rsidR="007923B9" w:rsidRPr="007923B9">
      <w:rPr>
        <w:noProof/>
        <w:lang w:val="zh-CN"/>
      </w:rPr>
      <w:t>7</w:t>
    </w:r>
    <w:r>
      <w:rPr>
        <w:lang w:val="zh-CN"/>
      </w:rPr>
      <w:fldChar w:fldCharType="end"/>
    </w:r>
  </w:p>
  <w:p w:rsidR="00AE777B" w:rsidRDefault="00AE777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2C1" w:rsidRDefault="00CB52C1" w:rsidP="00AE777B">
      <w:r>
        <w:separator/>
      </w:r>
    </w:p>
  </w:footnote>
  <w:footnote w:type="continuationSeparator" w:id="1">
    <w:p w:rsidR="00CB52C1" w:rsidRDefault="00CB52C1" w:rsidP="00AE7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7B" w:rsidRDefault="00AE777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298E"/>
    <w:rsid w:val="00002AE4"/>
    <w:rsid w:val="00031747"/>
    <w:rsid w:val="0003456A"/>
    <w:rsid w:val="00037035"/>
    <w:rsid w:val="00046065"/>
    <w:rsid w:val="000469BA"/>
    <w:rsid w:val="000516DC"/>
    <w:rsid w:val="00053F71"/>
    <w:rsid w:val="000552F3"/>
    <w:rsid w:val="00070B5F"/>
    <w:rsid w:val="00072999"/>
    <w:rsid w:val="000747B8"/>
    <w:rsid w:val="00075715"/>
    <w:rsid w:val="00083406"/>
    <w:rsid w:val="00085A99"/>
    <w:rsid w:val="00087EA5"/>
    <w:rsid w:val="00091B80"/>
    <w:rsid w:val="00092609"/>
    <w:rsid w:val="000A6E3A"/>
    <w:rsid w:val="000B1FC2"/>
    <w:rsid w:val="000B6243"/>
    <w:rsid w:val="000D6179"/>
    <w:rsid w:val="000E240C"/>
    <w:rsid w:val="000E2F63"/>
    <w:rsid w:val="000E583D"/>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3366"/>
    <w:rsid w:val="001B465B"/>
    <w:rsid w:val="001C15DF"/>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46AD9"/>
    <w:rsid w:val="00254482"/>
    <w:rsid w:val="00261A82"/>
    <w:rsid w:val="0026227A"/>
    <w:rsid w:val="00273F87"/>
    <w:rsid w:val="00286A75"/>
    <w:rsid w:val="00291511"/>
    <w:rsid w:val="00292E06"/>
    <w:rsid w:val="002A1611"/>
    <w:rsid w:val="002A336C"/>
    <w:rsid w:val="002A3A77"/>
    <w:rsid w:val="002A3ED2"/>
    <w:rsid w:val="002A4788"/>
    <w:rsid w:val="002B1E16"/>
    <w:rsid w:val="002B2BEF"/>
    <w:rsid w:val="002B778F"/>
    <w:rsid w:val="002C064D"/>
    <w:rsid w:val="002C4D8C"/>
    <w:rsid w:val="002D0EFE"/>
    <w:rsid w:val="002D6D4A"/>
    <w:rsid w:val="002E1DF4"/>
    <w:rsid w:val="002F7643"/>
    <w:rsid w:val="00303890"/>
    <w:rsid w:val="003053A5"/>
    <w:rsid w:val="0031038E"/>
    <w:rsid w:val="00312666"/>
    <w:rsid w:val="003134F7"/>
    <w:rsid w:val="00313CA6"/>
    <w:rsid w:val="00317AB2"/>
    <w:rsid w:val="00324952"/>
    <w:rsid w:val="00332598"/>
    <w:rsid w:val="003371F3"/>
    <w:rsid w:val="00341012"/>
    <w:rsid w:val="00342BE8"/>
    <w:rsid w:val="00344BD5"/>
    <w:rsid w:val="00344CA7"/>
    <w:rsid w:val="00345B18"/>
    <w:rsid w:val="00346169"/>
    <w:rsid w:val="003478B2"/>
    <w:rsid w:val="00351E0E"/>
    <w:rsid w:val="00355EE6"/>
    <w:rsid w:val="00362473"/>
    <w:rsid w:val="00362E31"/>
    <w:rsid w:val="00363BD7"/>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6A83"/>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F6D"/>
    <w:rsid w:val="004A0757"/>
    <w:rsid w:val="004B09F8"/>
    <w:rsid w:val="004B4B8D"/>
    <w:rsid w:val="004C2AEE"/>
    <w:rsid w:val="004D5F90"/>
    <w:rsid w:val="004E1AF5"/>
    <w:rsid w:val="004E2593"/>
    <w:rsid w:val="004E394D"/>
    <w:rsid w:val="004E6E44"/>
    <w:rsid w:val="004F40BB"/>
    <w:rsid w:val="004F4E0C"/>
    <w:rsid w:val="004F53C1"/>
    <w:rsid w:val="004F719C"/>
    <w:rsid w:val="00505F55"/>
    <w:rsid w:val="00507BC7"/>
    <w:rsid w:val="00510B86"/>
    <w:rsid w:val="005338EE"/>
    <w:rsid w:val="00535023"/>
    <w:rsid w:val="00536A21"/>
    <w:rsid w:val="005377C3"/>
    <w:rsid w:val="005438D0"/>
    <w:rsid w:val="0054486C"/>
    <w:rsid w:val="005473E0"/>
    <w:rsid w:val="0055022D"/>
    <w:rsid w:val="005507C0"/>
    <w:rsid w:val="00550C9A"/>
    <w:rsid w:val="00553BA4"/>
    <w:rsid w:val="0057789D"/>
    <w:rsid w:val="005845A5"/>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F15"/>
    <w:rsid w:val="00657BFE"/>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1AB7"/>
    <w:rsid w:val="006A3A89"/>
    <w:rsid w:val="006A6FDC"/>
    <w:rsid w:val="006B1DF4"/>
    <w:rsid w:val="006C3E4B"/>
    <w:rsid w:val="006C5D54"/>
    <w:rsid w:val="006C6956"/>
    <w:rsid w:val="006D0B0B"/>
    <w:rsid w:val="006D0B89"/>
    <w:rsid w:val="006E1E0B"/>
    <w:rsid w:val="006E4E54"/>
    <w:rsid w:val="006F1419"/>
    <w:rsid w:val="006F2C43"/>
    <w:rsid w:val="00700CD4"/>
    <w:rsid w:val="00701DF4"/>
    <w:rsid w:val="00704174"/>
    <w:rsid w:val="00704536"/>
    <w:rsid w:val="0071201B"/>
    <w:rsid w:val="007148CF"/>
    <w:rsid w:val="00723417"/>
    <w:rsid w:val="0073058B"/>
    <w:rsid w:val="007349D4"/>
    <w:rsid w:val="00736AD6"/>
    <w:rsid w:val="00737891"/>
    <w:rsid w:val="00754120"/>
    <w:rsid w:val="00756B93"/>
    <w:rsid w:val="0076124E"/>
    <w:rsid w:val="00761B11"/>
    <w:rsid w:val="00767ED7"/>
    <w:rsid w:val="007707CC"/>
    <w:rsid w:val="00770932"/>
    <w:rsid w:val="0077217D"/>
    <w:rsid w:val="00784182"/>
    <w:rsid w:val="00786728"/>
    <w:rsid w:val="007923B9"/>
    <w:rsid w:val="00793BCC"/>
    <w:rsid w:val="0079625B"/>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07ECD"/>
    <w:rsid w:val="00827E67"/>
    <w:rsid w:val="00832102"/>
    <w:rsid w:val="00833FA8"/>
    <w:rsid w:val="0084564C"/>
    <w:rsid w:val="00851F1E"/>
    <w:rsid w:val="00855C04"/>
    <w:rsid w:val="008662AB"/>
    <w:rsid w:val="00867DE4"/>
    <w:rsid w:val="00885497"/>
    <w:rsid w:val="008862A7"/>
    <w:rsid w:val="0089253A"/>
    <w:rsid w:val="00892869"/>
    <w:rsid w:val="00896F35"/>
    <w:rsid w:val="008B016D"/>
    <w:rsid w:val="008B03AA"/>
    <w:rsid w:val="008B1FF5"/>
    <w:rsid w:val="008B33CC"/>
    <w:rsid w:val="008B3530"/>
    <w:rsid w:val="008D36D8"/>
    <w:rsid w:val="008D614F"/>
    <w:rsid w:val="008D7CE8"/>
    <w:rsid w:val="008E089C"/>
    <w:rsid w:val="008E6AF7"/>
    <w:rsid w:val="008E7DED"/>
    <w:rsid w:val="008F0E86"/>
    <w:rsid w:val="008F6026"/>
    <w:rsid w:val="008F7050"/>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33FE"/>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A5663"/>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262A0"/>
    <w:rsid w:val="00B3064B"/>
    <w:rsid w:val="00B30E1F"/>
    <w:rsid w:val="00B3248B"/>
    <w:rsid w:val="00B32F56"/>
    <w:rsid w:val="00B352A2"/>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94C5B"/>
    <w:rsid w:val="00BA21E0"/>
    <w:rsid w:val="00BA3557"/>
    <w:rsid w:val="00BB02A3"/>
    <w:rsid w:val="00BB7153"/>
    <w:rsid w:val="00BD1277"/>
    <w:rsid w:val="00BD2EC3"/>
    <w:rsid w:val="00BD600A"/>
    <w:rsid w:val="00BE2CE3"/>
    <w:rsid w:val="00BE2E9A"/>
    <w:rsid w:val="00BF20DB"/>
    <w:rsid w:val="00BF73DD"/>
    <w:rsid w:val="00C0088E"/>
    <w:rsid w:val="00C02189"/>
    <w:rsid w:val="00C107D4"/>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0B88"/>
    <w:rsid w:val="00CB5102"/>
    <w:rsid w:val="00CB52C1"/>
    <w:rsid w:val="00CC0774"/>
    <w:rsid w:val="00CC3862"/>
    <w:rsid w:val="00CC4ADD"/>
    <w:rsid w:val="00CD2BBD"/>
    <w:rsid w:val="00CD35A0"/>
    <w:rsid w:val="00CE087F"/>
    <w:rsid w:val="00CE0DAB"/>
    <w:rsid w:val="00CF5DF7"/>
    <w:rsid w:val="00CF75DD"/>
    <w:rsid w:val="00CF7E02"/>
    <w:rsid w:val="00D05ACC"/>
    <w:rsid w:val="00D124F6"/>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19A3"/>
    <w:rsid w:val="00D74FF7"/>
    <w:rsid w:val="00D809C7"/>
    <w:rsid w:val="00D903B2"/>
    <w:rsid w:val="00D90B0C"/>
    <w:rsid w:val="00D927CA"/>
    <w:rsid w:val="00DA1E2C"/>
    <w:rsid w:val="00DB63BA"/>
    <w:rsid w:val="00DB79CE"/>
    <w:rsid w:val="00DD1471"/>
    <w:rsid w:val="00DD1B35"/>
    <w:rsid w:val="00DD72EE"/>
    <w:rsid w:val="00DE04EC"/>
    <w:rsid w:val="00DE1D58"/>
    <w:rsid w:val="00DE3E66"/>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40541"/>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1247"/>
    <w:rsid w:val="00EB20C3"/>
    <w:rsid w:val="00EC133C"/>
    <w:rsid w:val="00EC2A45"/>
    <w:rsid w:val="00ED459B"/>
    <w:rsid w:val="00ED57CB"/>
    <w:rsid w:val="00F0324A"/>
    <w:rsid w:val="00F033A8"/>
    <w:rsid w:val="00F07FD8"/>
    <w:rsid w:val="00F15C5B"/>
    <w:rsid w:val="00F204D5"/>
    <w:rsid w:val="00F31077"/>
    <w:rsid w:val="00F3377F"/>
    <w:rsid w:val="00F34647"/>
    <w:rsid w:val="00F35CD7"/>
    <w:rsid w:val="00F438FF"/>
    <w:rsid w:val="00F5082F"/>
    <w:rsid w:val="00F53D8C"/>
    <w:rsid w:val="00F5551B"/>
    <w:rsid w:val="00F62E20"/>
    <w:rsid w:val="00F631D3"/>
    <w:rsid w:val="00F647D2"/>
    <w:rsid w:val="00F64A66"/>
    <w:rsid w:val="00F67480"/>
    <w:rsid w:val="00F67A2E"/>
    <w:rsid w:val="00F7046B"/>
    <w:rsid w:val="00F71779"/>
    <w:rsid w:val="00F81E51"/>
    <w:rsid w:val="00F829F9"/>
    <w:rsid w:val="00F921CA"/>
    <w:rsid w:val="00FA5A76"/>
    <w:rsid w:val="00FB0000"/>
    <w:rsid w:val="00FB5CB5"/>
    <w:rsid w:val="00FD03F6"/>
    <w:rsid w:val="00FD1260"/>
    <w:rsid w:val="00FD4154"/>
    <w:rsid w:val="00FD47E3"/>
    <w:rsid w:val="00FD7278"/>
    <w:rsid w:val="00FE15F4"/>
    <w:rsid w:val="00FF2FCA"/>
    <w:rsid w:val="00FF5CAC"/>
    <w:rsid w:val="0B5B5A73"/>
    <w:rsid w:val="17203872"/>
    <w:rsid w:val="20C51591"/>
    <w:rsid w:val="57E714C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locked="1"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qFormat="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E777B"/>
    <w:pPr>
      <w:widowControl w:val="0"/>
      <w:jc w:val="both"/>
    </w:pPr>
    <w:rPr>
      <w:rFonts w:ascii="Calibri" w:hAnsi="Calibri"/>
      <w:kern w:val="2"/>
      <w:sz w:val="21"/>
      <w:szCs w:val="22"/>
    </w:rPr>
  </w:style>
  <w:style w:type="paragraph" w:styleId="1">
    <w:name w:val="heading 1"/>
    <w:basedOn w:val="a"/>
    <w:next w:val="a"/>
    <w:link w:val="1Char"/>
    <w:uiPriority w:val="99"/>
    <w:qFormat/>
    <w:rsid w:val="00AE777B"/>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rsid w:val="00AE777B"/>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rsid w:val="00AE777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rsid w:val="00AE777B"/>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rsid w:val="00AE777B"/>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rsid w:val="00AE777B"/>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rsid w:val="00AE777B"/>
    <w:pPr>
      <w:widowControl/>
      <w:jc w:val="left"/>
    </w:pPr>
    <w:rPr>
      <w:rFonts w:ascii="宋体" w:hAnsi="宋体" w:cs="宋体"/>
      <w:kern w:val="0"/>
      <w:sz w:val="24"/>
      <w:szCs w:val="24"/>
    </w:rPr>
  </w:style>
  <w:style w:type="paragraph" w:styleId="a3">
    <w:name w:val="footer"/>
    <w:basedOn w:val="a"/>
    <w:link w:val="Char"/>
    <w:uiPriority w:val="99"/>
    <w:qFormat/>
    <w:rsid w:val="00AE777B"/>
    <w:pPr>
      <w:tabs>
        <w:tab w:val="center" w:pos="4153"/>
        <w:tab w:val="right" w:pos="8306"/>
      </w:tabs>
      <w:snapToGrid w:val="0"/>
      <w:jc w:val="left"/>
    </w:pPr>
    <w:rPr>
      <w:sz w:val="18"/>
      <w:szCs w:val="18"/>
    </w:rPr>
  </w:style>
  <w:style w:type="paragraph" w:styleId="a4">
    <w:name w:val="header"/>
    <w:basedOn w:val="a"/>
    <w:link w:val="Char0"/>
    <w:uiPriority w:val="99"/>
    <w:semiHidden/>
    <w:rsid w:val="00AE777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semiHidden/>
    <w:rsid w:val="00AE777B"/>
    <w:rPr>
      <w:rFonts w:cs="Times New Roman"/>
      <w:color w:val="252525"/>
      <w:u w:val="none"/>
    </w:rPr>
  </w:style>
  <w:style w:type="character" w:styleId="a7">
    <w:name w:val="Emphasis"/>
    <w:basedOn w:val="a0"/>
    <w:uiPriority w:val="99"/>
    <w:qFormat/>
    <w:rsid w:val="00AE777B"/>
    <w:rPr>
      <w:rFonts w:cs="Times New Roman"/>
    </w:rPr>
  </w:style>
  <w:style w:type="character" w:styleId="a8">
    <w:name w:val="Hyperlink"/>
    <w:basedOn w:val="a0"/>
    <w:uiPriority w:val="99"/>
    <w:semiHidden/>
    <w:rsid w:val="00AE777B"/>
    <w:rPr>
      <w:rFonts w:cs="Times New Roman"/>
      <w:color w:val="252525"/>
      <w:u w:val="none"/>
    </w:rPr>
  </w:style>
  <w:style w:type="character" w:styleId="HTML0">
    <w:name w:val="HTML Code"/>
    <w:basedOn w:val="a0"/>
    <w:uiPriority w:val="99"/>
    <w:semiHidden/>
    <w:rsid w:val="00AE777B"/>
    <w:rPr>
      <w:rFonts w:ascii="宋体" w:eastAsia="宋体" w:hAnsi="宋体" w:cs="宋体"/>
      <w:sz w:val="24"/>
      <w:szCs w:val="24"/>
    </w:rPr>
  </w:style>
  <w:style w:type="character" w:styleId="HTML1">
    <w:name w:val="HTML Cite"/>
    <w:basedOn w:val="a0"/>
    <w:uiPriority w:val="99"/>
    <w:semiHidden/>
    <w:rsid w:val="00AE777B"/>
    <w:rPr>
      <w:rFonts w:cs="Times New Roman"/>
    </w:rPr>
  </w:style>
  <w:style w:type="character" w:customStyle="1" w:styleId="1Char">
    <w:name w:val="标题 1 Char"/>
    <w:basedOn w:val="a0"/>
    <w:link w:val="1"/>
    <w:uiPriority w:val="99"/>
    <w:qFormat/>
    <w:locked/>
    <w:rsid w:val="00AE777B"/>
    <w:rPr>
      <w:rFonts w:ascii="宋体" w:eastAsia="宋体" w:hAnsi="宋体" w:cs="宋体"/>
      <w:kern w:val="36"/>
      <w:sz w:val="48"/>
      <w:szCs w:val="48"/>
    </w:rPr>
  </w:style>
  <w:style w:type="character" w:customStyle="1" w:styleId="2Char">
    <w:name w:val="标题 2 Char"/>
    <w:basedOn w:val="a0"/>
    <w:link w:val="2"/>
    <w:uiPriority w:val="99"/>
    <w:locked/>
    <w:rsid w:val="00AE777B"/>
    <w:rPr>
      <w:rFonts w:ascii="宋体" w:eastAsia="宋体" w:hAnsi="宋体" w:cs="宋体"/>
      <w:kern w:val="0"/>
      <w:sz w:val="36"/>
      <w:szCs w:val="36"/>
    </w:rPr>
  </w:style>
  <w:style w:type="character" w:customStyle="1" w:styleId="3Char">
    <w:name w:val="标题 3 Char"/>
    <w:basedOn w:val="a0"/>
    <w:link w:val="3"/>
    <w:uiPriority w:val="99"/>
    <w:locked/>
    <w:rsid w:val="00AE777B"/>
    <w:rPr>
      <w:rFonts w:ascii="宋体" w:eastAsia="宋体" w:hAnsi="宋体" w:cs="宋体"/>
      <w:kern w:val="0"/>
      <w:sz w:val="27"/>
      <w:szCs w:val="27"/>
    </w:rPr>
  </w:style>
  <w:style w:type="character" w:customStyle="1" w:styleId="4Char">
    <w:name w:val="标题 4 Char"/>
    <w:basedOn w:val="a0"/>
    <w:link w:val="4"/>
    <w:uiPriority w:val="99"/>
    <w:qFormat/>
    <w:locked/>
    <w:rsid w:val="00AE777B"/>
    <w:rPr>
      <w:rFonts w:ascii="宋体" w:eastAsia="宋体" w:hAnsi="宋体" w:cs="宋体"/>
      <w:kern w:val="0"/>
      <w:sz w:val="24"/>
      <w:szCs w:val="24"/>
    </w:rPr>
  </w:style>
  <w:style w:type="character" w:customStyle="1" w:styleId="5Char">
    <w:name w:val="标题 5 Char"/>
    <w:basedOn w:val="a0"/>
    <w:link w:val="5"/>
    <w:uiPriority w:val="99"/>
    <w:locked/>
    <w:rsid w:val="00AE777B"/>
    <w:rPr>
      <w:rFonts w:ascii="宋体" w:eastAsia="宋体" w:hAnsi="宋体" w:cs="宋体"/>
      <w:kern w:val="0"/>
      <w:sz w:val="20"/>
      <w:szCs w:val="20"/>
    </w:rPr>
  </w:style>
  <w:style w:type="character" w:customStyle="1" w:styleId="6Char">
    <w:name w:val="标题 6 Char"/>
    <w:basedOn w:val="a0"/>
    <w:link w:val="6"/>
    <w:uiPriority w:val="99"/>
    <w:locked/>
    <w:rsid w:val="00AE777B"/>
    <w:rPr>
      <w:rFonts w:ascii="宋体" w:eastAsia="宋体" w:hAnsi="宋体" w:cs="宋体"/>
      <w:kern w:val="0"/>
      <w:sz w:val="15"/>
      <w:szCs w:val="15"/>
    </w:rPr>
  </w:style>
  <w:style w:type="character" w:customStyle="1" w:styleId="HTMLChar">
    <w:name w:val="HTML 地址 Char"/>
    <w:basedOn w:val="a0"/>
    <w:link w:val="HTML"/>
    <w:uiPriority w:val="99"/>
    <w:semiHidden/>
    <w:locked/>
    <w:rsid w:val="00AE777B"/>
    <w:rPr>
      <w:rFonts w:ascii="宋体" w:eastAsia="宋体" w:hAnsi="宋体" w:cs="宋体"/>
      <w:kern w:val="0"/>
      <w:sz w:val="24"/>
      <w:szCs w:val="24"/>
    </w:rPr>
  </w:style>
  <w:style w:type="paragraph" w:customStyle="1" w:styleId="fb">
    <w:name w:val="fb"/>
    <w:basedOn w:val="a"/>
    <w:uiPriority w:val="99"/>
    <w:rsid w:val="00AE777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AE777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AE777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AE777B"/>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rsid w:val="00AE777B"/>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AE777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rsid w:val="00AE777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AE777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AE777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AE777B"/>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AE777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rsid w:val="00AE777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AE777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AE777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AE777B"/>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rsid w:val="00AE777B"/>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AE777B"/>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AE777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AE777B"/>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rsid w:val="00AE777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AE777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AE777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AE777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AE777B"/>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rsid w:val="00AE777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AE777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AE777B"/>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rsid w:val="00AE777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AE777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AE777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AE777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AE777B"/>
    <w:rPr>
      <w:rFonts w:cs="Times New Roman"/>
    </w:rPr>
  </w:style>
  <w:style w:type="paragraph" w:customStyle="1" w:styleId="navmenu1">
    <w:name w:val="navmenu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AE777B"/>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AE777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AE777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AE777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AE777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AE777B"/>
    <w:pPr>
      <w:widowControl/>
      <w:jc w:val="left"/>
    </w:pPr>
    <w:rPr>
      <w:rFonts w:ascii="宋体" w:hAnsi="宋体" w:cs="宋体"/>
      <w:kern w:val="0"/>
      <w:sz w:val="24"/>
      <w:szCs w:val="24"/>
    </w:rPr>
  </w:style>
  <w:style w:type="paragraph" w:customStyle="1" w:styleId="smooth-box1">
    <w:name w:val="smooth-box1"/>
    <w:basedOn w:val="a"/>
    <w:uiPriority w:val="99"/>
    <w:rsid w:val="00AE777B"/>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rsid w:val="00AE777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AE777B"/>
    <w:rPr>
      <w:rFonts w:cs="Times New Roman"/>
      <w:shd w:val="clear" w:color="auto" w:fill="auto"/>
    </w:rPr>
  </w:style>
  <w:style w:type="paragraph" w:customStyle="1" w:styleId="tipscontrol-btn1">
    <w:name w:val="tipscontrol-btn1"/>
    <w:basedOn w:val="a"/>
    <w:uiPriority w:val="99"/>
    <w:rsid w:val="00AE777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AE777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AE777B"/>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locked/>
    <w:rsid w:val="00AE777B"/>
    <w:rPr>
      <w:rFonts w:cs="Times New Roman"/>
      <w:sz w:val="18"/>
      <w:szCs w:val="18"/>
    </w:rPr>
  </w:style>
  <w:style w:type="character" w:customStyle="1" w:styleId="Char">
    <w:name w:val="页脚 Char"/>
    <w:basedOn w:val="a0"/>
    <w:link w:val="a3"/>
    <w:uiPriority w:val="99"/>
    <w:locked/>
    <w:rsid w:val="00AE777B"/>
    <w:rPr>
      <w:rFonts w:cs="Times New Roman"/>
      <w:sz w:val="18"/>
      <w:szCs w:val="18"/>
    </w:rPr>
  </w:style>
  <w:style w:type="paragraph" w:styleId="a9">
    <w:name w:val="List Paragraph"/>
    <w:basedOn w:val="a"/>
    <w:uiPriority w:val="99"/>
    <w:qFormat/>
    <w:rsid w:val="00AE777B"/>
    <w:pPr>
      <w:ind w:firstLineChars="200" w:firstLine="420"/>
    </w:pPr>
  </w:style>
  <w:style w:type="paragraph" w:customStyle="1" w:styleId="reader-word-layer">
    <w:name w:val="reader-word-layer"/>
    <w:basedOn w:val="a"/>
    <w:uiPriority w:val="99"/>
    <w:rsid w:val="00AE777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645</Words>
  <Characters>3678</Characters>
  <Application>Microsoft Office Word</Application>
  <DocSecurity>0</DocSecurity>
  <Lines>30</Lines>
  <Paragraphs>8</Paragraphs>
  <ScaleCrop>false</ScaleCrop>
  <Company>Micorosoft</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Micorosoft</cp:lastModifiedBy>
  <cp:revision>149</cp:revision>
  <cp:lastPrinted>2018-04-16T00:45:00Z</cp:lastPrinted>
  <dcterms:created xsi:type="dcterms:W3CDTF">2015-10-07T02:35:00Z</dcterms:created>
  <dcterms:modified xsi:type="dcterms:W3CDTF">2021-09-27T02:15:00Z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