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0" w:firstLine="42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w:t>
      </w:r>
      <w:r>
        <w:rPr>
          <w:rFonts w:hint="eastAsia" w:ascii="Times New Roman" w:hAnsi="Times New Roman" w:cs="Times New Roman"/>
          <w:b/>
          <w:sz w:val="48"/>
          <w:szCs w:val="48"/>
          <w:lang w:eastAsia="zh-CN"/>
        </w:rPr>
        <w:t>度澧县行政审批服务局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eastAsia="zh-CN"/>
        </w:rPr>
        <w:t>澧县行政审批服务局</w:t>
      </w:r>
      <w:r>
        <w:rPr>
          <w:rFonts w:ascii="Times New Roman" w:hAnsi="Times New Roman" w:eastAsia="仿宋_GB2312" w:cs="Times New Roman"/>
          <w:sz w:val="32"/>
          <w:szCs w:val="32"/>
        </w:rPr>
        <w:t>（盖章）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eastAsia="宋体" w:cs="Times New Roman"/>
          <w:b/>
          <w:sz w:val="44"/>
          <w:szCs w:val="44"/>
        </w:rPr>
      </w:pPr>
    </w:p>
    <w:p>
      <w:pPr>
        <w:spacing w:line="58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2021</w:t>
      </w:r>
      <w:r>
        <w:rPr>
          <w:rFonts w:ascii="Times New Roman" w:hAnsi="宋体" w:eastAsia="宋体" w:cs="Times New Roman"/>
          <w:b/>
          <w:sz w:val="44"/>
          <w:szCs w:val="44"/>
        </w:rPr>
        <w:t>年度</w:t>
      </w:r>
      <w:r>
        <w:rPr>
          <w:rFonts w:hint="eastAsia" w:ascii="Times New Roman" w:hAnsi="宋体" w:eastAsia="宋体" w:cs="Times New Roman"/>
          <w:b/>
          <w:sz w:val="44"/>
          <w:szCs w:val="44"/>
          <w:lang w:eastAsia="zh-CN"/>
        </w:rPr>
        <w:t>澧县</w:t>
      </w:r>
      <w:r>
        <w:rPr>
          <w:rFonts w:hint="eastAsia" w:ascii="Times New Roman" w:hAnsi="Times New Roman" w:eastAsia="宋体" w:cs="Times New Roman"/>
          <w:b/>
          <w:sz w:val="44"/>
          <w:szCs w:val="44"/>
          <w:lang w:eastAsia="zh-CN"/>
        </w:rPr>
        <w:t>行政审批服务局</w:t>
      </w:r>
      <w:r>
        <w:rPr>
          <w:rFonts w:ascii="Times New Roman" w:hAnsi="宋体" w:eastAsia="宋体" w:cs="Times New Roman"/>
          <w:b/>
          <w:sz w:val="44"/>
          <w:szCs w:val="44"/>
        </w:rPr>
        <w:t>整体支出</w:t>
      </w:r>
    </w:p>
    <w:p>
      <w:pPr>
        <w:spacing w:line="580" w:lineRule="exact"/>
        <w:jc w:val="center"/>
        <w:rPr>
          <w:rFonts w:ascii="Times New Roman" w:hAnsi="Times New Roman" w:eastAsia="宋体" w:cs="Times New Roman"/>
          <w:b/>
          <w:sz w:val="44"/>
          <w:szCs w:val="44"/>
        </w:rPr>
      </w:pPr>
      <w:r>
        <w:rPr>
          <w:rFonts w:ascii="Times New Roman" w:hAnsi="宋体" w:eastAsia="宋体" w:cs="Times New Roman"/>
          <w:b/>
          <w:sz w:val="44"/>
          <w:szCs w:val="44"/>
        </w:rPr>
        <w:t>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widowControl/>
        <w:tabs>
          <w:tab w:val="left" w:pos="567"/>
        </w:tabs>
        <w:ind w:firstLine="560"/>
        <w:rPr>
          <w:rFonts w:ascii="仿宋" w:hAnsi="仿宋" w:eastAsia="仿宋" w:cs="黑体"/>
          <w:color w:val="222222"/>
          <w:kern w:val="0"/>
          <w:sz w:val="32"/>
          <w:szCs w:val="32"/>
        </w:rPr>
      </w:pPr>
      <w:r>
        <w:rPr>
          <w:rFonts w:hint="eastAsia" w:ascii="仿宋" w:hAnsi="仿宋" w:eastAsia="仿宋" w:cs="仿宋"/>
          <w:color w:val="222222"/>
          <w:kern w:val="0"/>
          <w:sz w:val="32"/>
          <w:szCs w:val="32"/>
        </w:rPr>
        <w:t>(一）、</w:t>
      </w:r>
      <w:r>
        <w:rPr>
          <w:rFonts w:hint="eastAsia" w:ascii="仿宋" w:hAnsi="仿宋" w:eastAsia="仿宋" w:cs="仿宋"/>
          <w:kern w:val="0"/>
          <w:sz w:val="32"/>
          <w:szCs w:val="32"/>
        </w:rPr>
        <w:t>单位现有干部职工24人，其中在岗24人。单位内设股室7个，</w:t>
      </w:r>
      <w:r>
        <w:rPr>
          <w:rFonts w:hint="eastAsia" w:ascii="仿宋" w:hAnsi="仿宋" w:eastAsia="仿宋" w:cs="仿宋"/>
          <w:color w:val="333333"/>
          <w:kern w:val="0"/>
          <w:sz w:val="32"/>
          <w:szCs w:val="32"/>
        </w:rPr>
        <w:t>分别是</w:t>
      </w:r>
      <w:r>
        <w:rPr>
          <w:rFonts w:hint="eastAsia" w:ascii="仿宋" w:hAnsi="仿宋" w:eastAsia="仿宋"/>
          <w:sz w:val="32"/>
          <w:szCs w:val="32"/>
        </w:rPr>
        <w:t>办公室、组织人事股、综合室、政务服务股、电子政务股、政务公开办、项目代理室</w:t>
      </w:r>
      <w:r>
        <w:rPr>
          <w:rFonts w:hint="eastAsia" w:ascii="仿宋" w:hAnsi="仿宋" w:eastAsia="仿宋" w:cs="仿宋"/>
          <w:color w:val="333333"/>
          <w:kern w:val="0"/>
          <w:sz w:val="32"/>
          <w:szCs w:val="32"/>
        </w:rPr>
        <w:t>。</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（二）、单位主要职责。</w:t>
      </w:r>
    </w:p>
    <w:p>
      <w:pPr>
        <w:rPr>
          <w:rFonts w:ascii="仿宋" w:hAnsi="仿宋" w:eastAsia="仿宋"/>
          <w:sz w:val="32"/>
          <w:szCs w:val="32"/>
        </w:rPr>
      </w:pPr>
      <w:r>
        <w:rPr>
          <w:rFonts w:hint="eastAsia" w:ascii="仿宋" w:hAnsi="仿宋" w:eastAsia="仿宋"/>
          <w:sz w:val="32"/>
          <w:szCs w:val="32"/>
        </w:rPr>
        <w:t xml:space="preserve">    澧县行政审批服务局是县政府正科级工作部门。承接了原县人民政府政务服务中心、电子政务办、政务公开办、审改办等部门的相关职能。澧县行政审批服务局管理澧县人民政府政务服务中心。澧县人民政府政务服务中心为副科级事业单位。</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澧县行政审批局贯彻落实党中央、省委、市委关于行政审批服务工作的方针政策和决策部署，全面落实县委关于行政审批服务工作的部署要求，在履行职责过程中坚持和加强党对行政审批服务工作的集中统一领导。主要职责是：</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1、</w:t>
      </w:r>
      <w:r>
        <w:rPr>
          <w:rFonts w:hint="eastAsia" w:ascii="仿宋" w:hAnsi="仿宋" w:eastAsia="仿宋" w:cs="宋体"/>
          <w:sz w:val="32"/>
          <w:szCs w:val="32"/>
        </w:rPr>
        <w:t xml:space="preserve">贯彻落实中央、省、市关于政务服务、数据管理工作的方针政策和决策部署，拟订相关发展规划、年度计划和措施办法并组织实施。 </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2、</w:t>
      </w:r>
      <w:r>
        <w:rPr>
          <w:rFonts w:hint="eastAsia" w:ascii="仿宋" w:hAnsi="仿宋" w:eastAsia="仿宋" w:cs="宋体"/>
          <w:sz w:val="32"/>
          <w:szCs w:val="32"/>
        </w:rPr>
        <w:t>推进、指导、协调、监督全县政务公开（政府信息公开、办事公开）和政务服务体系建设，组织集中开展政务服务。</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牵头负责全县“放管服”改革工作；指导、协调、推进全县行政审批制度改革工作。</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4、</w:t>
      </w:r>
      <w:r>
        <w:rPr>
          <w:rFonts w:hint="eastAsia" w:ascii="仿宋" w:hAnsi="仿宋" w:eastAsia="仿宋" w:cs="宋体"/>
          <w:sz w:val="32"/>
          <w:szCs w:val="32"/>
        </w:rPr>
        <w:t>统筹协调、规划指导、监督评估全县电子政务工作；统筹推进、监督协调全县“互联网+政务服务”工作。</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5、</w:t>
      </w:r>
      <w:r>
        <w:rPr>
          <w:rFonts w:hint="eastAsia" w:ascii="仿宋" w:hAnsi="仿宋" w:eastAsia="仿宋" w:cs="宋体"/>
          <w:sz w:val="32"/>
          <w:szCs w:val="32"/>
        </w:rPr>
        <w:t>负责全县政府网站、政务新媒体发展的统筹规划和监督考核，指导县政府网站建设。</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负责智慧城市建设的组织、指导、协调和管理。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负责县本级财政性资金建设信息化工程的统筹规划、立项审批、技术评审、施工监管、竣工验收和绩效评估。</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8、</w:t>
      </w:r>
      <w:r>
        <w:rPr>
          <w:rFonts w:hint="eastAsia" w:ascii="仿宋" w:hAnsi="仿宋" w:eastAsia="仿宋" w:cs="宋体"/>
          <w:sz w:val="32"/>
          <w:szCs w:val="32"/>
        </w:rPr>
        <w:t>统筹全县数据资源体系的建设、管理工作，组织、协调、推进公共数据资源共享与开放。</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9、</w:t>
      </w:r>
      <w:r>
        <w:rPr>
          <w:rFonts w:hint="eastAsia" w:ascii="仿宋" w:hAnsi="仿宋" w:eastAsia="仿宋" w:cs="宋体"/>
          <w:sz w:val="32"/>
          <w:szCs w:val="32"/>
        </w:rPr>
        <w:t>统筹推进电子政务和智慧澧县基础设施、信息系统、数据资源的安全保障体系建设。</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10、</w:t>
      </w:r>
      <w:r>
        <w:rPr>
          <w:rFonts w:hint="eastAsia" w:ascii="仿宋" w:hAnsi="仿宋" w:eastAsia="仿宋" w:cs="宋体"/>
          <w:sz w:val="32"/>
          <w:szCs w:val="32"/>
        </w:rPr>
        <w:t>完成县委、县政府交办的其他事项。</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（三）部门绩效目标</w:t>
      </w:r>
    </w:p>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1、部门绩效总目标</w:t>
      </w:r>
    </w:p>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推进电子政务和智慧澧县基础设施、信息系统、数据资源的安全保障体系建设</w:t>
      </w:r>
      <w:r>
        <w:rPr>
          <w:rFonts w:hint="eastAsia" w:ascii="仿宋" w:hAnsi="仿宋" w:eastAsia="仿宋" w:cs="宋体"/>
          <w:sz w:val="32"/>
          <w:szCs w:val="32"/>
          <w:lang w:eastAsia="zh-CN"/>
        </w:rPr>
        <w:t>，</w:t>
      </w:r>
      <w:r>
        <w:rPr>
          <w:rFonts w:hint="eastAsia" w:ascii="仿宋" w:hAnsi="仿宋" w:eastAsia="仿宋" w:cs="宋体"/>
          <w:sz w:val="32"/>
          <w:szCs w:val="32"/>
        </w:rPr>
        <w:t>推进</w:t>
      </w:r>
      <w:r>
        <w:rPr>
          <w:rFonts w:hint="eastAsia" w:ascii="仿宋" w:hAnsi="仿宋" w:eastAsia="仿宋" w:cs="宋体"/>
          <w:sz w:val="32"/>
          <w:szCs w:val="32"/>
          <w:lang w:eastAsia="zh-CN"/>
        </w:rPr>
        <w:t>全县</w:t>
      </w:r>
      <w:r>
        <w:rPr>
          <w:rFonts w:hint="eastAsia" w:ascii="仿宋" w:hAnsi="仿宋" w:eastAsia="仿宋" w:cs="宋体"/>
          <w:sz w:val="32"/>
          <w:szCs w:val="32"/>
        </w:rPr>
        <w:t>公共数据资源共享与开放</w:t>
      </w:r>
      <w:r>
        <w:rPr>
          <w:rFonts w:hint="eastAsia" w:ascii="仿宋" w:hAnsi="仿宋" w:eastAsia="仿宋" w:cs="宋体"/>
          <w:sz w:val="32"/>
          <w:szCs w:val="32"/>
          <w:lang w:eastAsia="zh-CN"/>
        </w:rPr>
        <w:t>。</w:t>
      </w:r>
      <w:r>
        <w:rPr>
          <w:rFonts w:hint="eastAsia" w:ascii="仿宋" w:hAnsi="仿宋" w:eastAsia="仿宋" w:cs="仿宋"/>
          <w:sz w:val="32"/>
          <w:szCs w:val="32"/>
        </w:rPr>
        <w:t>深化“放管服”改革，擦亮“一件事一次办”品牌，全面实施减环节、减时间、减材料、减成本和优服务的“四减一优”行动，</w:t>
      </w:r>
      <w:r>
        <w:rPr>
          <w:rFonts w:hint="eastAsia" w:ascii="仿宋_GB2312" w:hAnsi="仿宋" w:eastAsia="仿宋_GB2312" w:cs="仿宋"/>
          <w:color w:val="000000"/>
          <w:sz w:val="32"/>
          <w:szCs w:val="32"/>
        </w:rPr>
        <w:t>让企业群众办事更加快捷有效、更加顺心顺气。</w:t>
      </w:r>
      <w:r>
        <w:rPr>
          <w:rFonts w:hint="eastAsia" w:ascii="仿宋" w:hAnsi="仿宋" w:eastAsia="仿宋" w:cs="仿宋"/>
          <w:sz w:val="32"/>
          <w:szCs w:val="32"/>
        </w:rPr>
        <w:t>切实提高澧县政务服务精准性实效性</w:t>
      </w:r>
      <w:r>
        <w:rPr>
          <w:rFonts w:hint="eastAsia" w:ascii="仿宋" w:hAnsi="仿宋" w:eastAsia="仿宋" w:cs="仿宋"/>
          <w:sz w:val="32"/>
          <w:szCs w:val="32"/>
          <w:lang w:eastAsia="zh-CN"/>
        </w:rPr>
        <w:t>，</w:t>
      </w:r>
      <w:r>
        <w:rPr>
          <w:rFonts w:hint="eastAsia" w:ascii="仿宋" w:hAnsi="仿宋" w:eastAsia="仿宋" w:cs="仿宋"/>
          <w:b w:val="0"/>
          <w:bCs w:val="0"/>
          <w:color w:val="000000"/>
          <w:sz w:val="32"/>
          <w:szCs w:val="32"/>
        </w:rPr>
        <w:t>积极推动我县营商环境持续向好</w:t>
      </w:r>
      <w:r>
        <w:rPr>
          <w:rFonts w:hint="eastAsia" w:ascii="仿宋" w:hAnsi="仿宋" w:eastAsia="仿宋" w:cs="仿宋"/>
          <w:b w:val="0"/>
          <w:bCs w:val="0"/>
          <w:color w:val="000000"/>
          <w:sz w:val="32"/>
          <w:szCs w:val="32"/>
          <w:lang w:eastAsia="zh-CN"/>
        </w:rPr>
        <w:t>。</w:t>
      </w:r>
      <w:r>
        <w:rPr>
          <w:rFonts w:hint="eastAsia" w:ascii="仿宋" w:hAnsi="仿宋" w:eastAsia="仿宋" w:cs="宋体"/>
          <w:sz w:val="32"/>
          <w:szCs w:val="32"/>
        </w:rPr>
        <w:t>推进、指导、协调、监督全县政务公开（政府信息公开、办事公开）和政务服务体系建设，组织集中开展</w:t>
      </w:r>
      <w:r>
        <w:rPr>
          <w:rFonts w:hint="eastAsia" w:ascii="仿宋" w:hAnsi="仿宋" w:eastAsia="仿宋" w:cs="宋体"/>
          <w:sz w:val="32"/>
          <w:szCs w:val="32"/>
          <w:lang w:eastAsia="zh-CN"/>
        </w:rPr>
        <w:t>优质量</w:t>
      </w:r>
      <w:r>
        <w:rPr>
          <w:rFonts w:hint="eastAsia" w:ascii="仿宋" w:hAnsi="仿宋" w:eastAsia="仿宋" w:cs="宋体"/>
          <w:sz w:val="32"/>
          <w:szCs w:val="32"/>
        </w:rPr>
        <w:t>政务服务。</w:t>
      </w:r>
      <w:r>
        <w:rPr>
          <w:rFonts w:hint="eastAsia" w:ascii="仿宋" w:hAnsi="仿宋" w:eastAsia="仿宋" w:cs="仿宋"/>
          <w:sz w:val="32"/>
          <w:szCs w:val="32"/>
          <w:lang w:eastAsia="zh-CN"/>
        </w:rPr>
        <w:t>坚持“四个一”精细化管理多措并举打造“清廉政务大厅”。</w:t>
      </w:r>
    </w:p>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2、2021年度部门绩效目标</w:t>
      </w:r>
    </w:p>
    <w:p>
      <w:pPr>
        <w:numPr>
          <w:ilvl w:val="0"/>
          <w:numId w:val="1"/>
        </w:num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建设280㎡的智慧党建指挥中心，改造澧县数据共享交换平台、配套基础公共服务硬件设施和软件升级，对政务服务县镇村三级进行考核标准、实施检查验收。确保基层公共服务（一门式）全覆盖体系运转方便群众办事。</w:t>
      </w:r>
    </w:p>
    <w:p>
      <w:pPr>
        <w:numPr>
          <w:ilvl w:val="0"/>
          <w:numId w:val="1"/>
        </w:numPr>
        <w:spacing w:line="560" w:lineRule="exact"/>
        <w:ind w:left="0"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进行政府网站自主发布信息采访、编辑、审核等环节，每日对已集约化管理的50个部门子频道，10个开设政务新媒体部门进行监督。通过在线监测平台及人工巡查方式及时督导各单位更新政务信息，处理回复上级相关督导意见。确保澧县电子政务内网、电子政务外网平台的规划、建设、管理维护,确保澧县电子政务外网平台及政府门户网站安全运行。</w:t>
      </w:r>
      <w:r>
        <w:rPr>
          <w:rFonts w:hint="eastAsia" w:ascii="仿宋" w:hAnsi="仿宋" w:eastAsia="仿宋" w:cs="宋体"/>
          <w:sz w:val="32"/>
          <w:szCs w:val="32"/>
          <w:lang w:val="en-US" w:eastAsia="zh-CN"/>
        </w:rPr>
        <w:tab/>
      </w:r>
    </w:p>
    <w:p>
      <w:pPr>
        <w:numPr>
          <w:ilvl w:val="0"/>
          <w:numId w:val="1"/>
        </w:numPr>
        <w:spacing w:line="560" w:lineRule="exact"/>
        <w:ind w:left="0"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深化贯彻“放管服”改革理念，全面推动“一件事一次办”改革。为办事群众创建温馨便捷的服务环境，打造便民规范、智能高效的一流服务大厅。推动（街道）镇、村政务中心规范运行，同时积极搞好村级代办服务点建设，为民服务全程代办，切实增进广大群众对高效政务服务的获得感。确保一体化报建系统和镇村便系统正常运营。</w:t>
      </w:r>
    </w:p>
    <w:p>
      <w:pPr>
        <w:numPr>
          <w:ilvl w:val="0"/>
          <w:numId w:val="1"/>
        </w:numPr>
        <w:spacing w:line="560" w:lineRule="exact"/>
        <w:ind w:left="0"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切实加强政务服务体系建设，完善县政务中心功能设施，加强政务服务大厅业务运行和质量管理，全方位提高窗口的服务能力；大力推进行政许可标准</w:t>
      </w:r>
      <w:bookmarkStart w:id="0" w:name="_GoBack"/>
      <w:bookmarkEnd w:id="0"/>
      <w:r>
        <w:rPr>
          <w:rFonts w:hint="eastAsia" w:ascii="仿宋" w:hAnsi="仿宋" w:eastAsia="仿宋" w:cs="宋体"/>
          <w:sz w:val="32"/>
          <w:szCs w:val="32"/>
          <w:lang w:val="en-US" w:eastAsia="zh-CN"/>
        </w:rPr>
        <w:t>化。按照“转变作风、规范服务、提升水平”的工作思路，着力加强自身建设，大力推进行政许可标准化，主动服务经济发展，极大的方便群众办事，提升了窗口形象。对政务大厅管理、日常维护，确保大厅工作正常开展。</w:t>
      </w:r>
    </w:p>
    <w:p>
      <w:pPr>
        <w:numPr>
          <w:ilvl w:val="0"/>
          <w:numId w:val="1"/>
        </w:numPr>
        <w:spacing w:line="560" w:lineRule="exact"/>
        <w:ind w:left="0"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按照“大数据+党建”的要求，推进智慧党建建设，大数据中心建设，保障智慧党建系统安全稳定运行。确保我县19个镇街、219个村（居）、14个两新组织、智慧党建、政务服务配套信息化设备，政务城域网安全检测运维。</w:t>
      </w:r>
    </w:p>
    <w:p>
      <w:pPr>
        <w:spacing w:line="580" w:lineRule="exact"/>
        <w:ind w:firstLine="960" w:firstLineChars="3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pStyle w:val="4"/>
        <w:keepNext w:val="0"/>
        <w:keepLines w:val="0"/>
        <w:widowControl/>
        <w:suppressLineNumbers w:val="0"/>
        <w:spacing w:before="0" w:beforeAutospacing="0" w:after="0" w:afterAutospacing="0" w:line="580" w:lineRule="atLeast"/>
        <w:ind w:left="0" w:right="0" w:firstLine="660"/>
        <w:jc w:val="left"/>
        <w:rPr>
          <w:rFonts w:hint="eastAsia" w:ascii="仿宋_GB2312" w:hAnsi="仿宋" w:eastAsia="仿宋_GB2312"/>
          <w:sz w:val="32"/>
          <w:szCs w:val="32"/>
          <w:lang w:val="en-US" w:eastAsia="zh-CN"/>
        </w:rPr>
      </w:pPr>
      <w:r>
        <w:rPr>
          <w:rFonts w:ascii="仿宋" w:hAnsi="仿宋" w:eastAsia="仿宋" w:cs="仿宋"/>
          <w:color w:val="333333"/>
          <w:sz w:val="30"/>
          <w:szCs w:val="30"/>
        </w:rPr>
        <w:t>20</w:t>
      </w:r>
      <w:r>
        <w:rPr>
          <w:rFonts w:hint="eastAsia" w:ascii="仿宋" w:hAnsi="仿宋" w:eastAsia="仿宋" w:cs="仿宋"/>
          <w:color w:val="333333"/>
          <w:sz w:val="30"/>
          <w:szCs w:val="30"/>
        </w:rPr>
        <w:t>21年一般公共预算拨款收入年初预算数为</w:t>
      </w:r>
      <w:r>
        <w:rPr>
          <w:rFonts w:hint="eastAsia" w:ascii="仿宋" w:hAnsi="仿宋" w:eastAsia="仿宋" w:cs="仿宋"/>
          <w:color w:val="333333"/>
          <w:sz w:val="30"/>
          <w:szCs w:val="30"/>
          <w:lang w:val="en-US" w:eastAsia="zh-CN"/>
        </w:rPr>
        <w:t>781.06</w:t>
      </w:r>
      <w:r>
        <w:rPr>
          <w:rFonts w:hint="eastAsia" w:ascii="仿宋" w:hAnsi="仿宋" w:eastAsia="仿宋" w:cs="仿宋"/>
          <w:color w:val="333333"/>
          <w:sz w:val="30"/>
          <w:szCs w:val="30"/>
        </w:rPr>
        <w:t>万元，决算收入数为</w:t>
      </w:r>
      <w:r>
        <w:rPr>
          <w:rFonts w:hint="eastAsia" w:ascii="仿宋" w:hAnsi="仿宋" w:eastAsia="仿宋" w:cs="仿宋"/>
          <w:color w:val="333333"/>
          <w:sz w:val="30"/>
          <w:szCs w:val="30"/>
          <w:lang w:val="en-US" w:eastAsia="zh-CN"/>
        </w:rPr>
        <w:t>848.36</w:t>
      </w:r>
      <w:r>
        <w:rPr>
          <w:rFonts w:hint="eastAsia" w:ascii="仿宋" w:hAnsi="仿宋" w:eastAsia="仿宋" w:cs="仿宋"/>
          <w:color w:val="333333"/>
          <w:sz w:val="30"/>
          <w:szCs w:val="30"/>
        </w:rPr>
        <w:t>万元，决算支出数为</w:t>
      </w:r>
      <w:r>
        <w:rPr>
          <w:rFonts w:hint="eastAsia" w:ascii="仿宋" w:hAnsi="仿宋" w:eastAsia="仿宋" w:cs="仿宋"/>
          <w:color w:val="333333"/>
          <w:sz w:val="30"/>
          <w:szCs w:val="30"/>
          <w:lang w:val="en-US" w:eastAsia="zh-CN"/>
        </w:rPr>
        <w:t>1069.83</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val="en-US" w:eastAsia="zh-CN"/>
        </w:rPr>
        <w:t>。</w:t>
      </w:r>
      <w:r>
        <w:rPr>
          <w:rFonts w:hint="eastAsia" w:ascii="Times New Roman" w:hAnsi="仿宋" w:eastAsia="仿宋" w:cs="Times New Roman"/>
          <w:sz w:val="32"/>
          <w:szCs w:val="32"/>
          <w:lang w:val="en-US" w:eastAsia="zh-CN"/>
        </w:rPr>
        <w:t>2021年支出总额1069.83万元，</w:t>
      </w:r>
      <w:r>
        <w:rPr>
          <w:rFonts w:hint="eastAsia" w:ascii="仿宋_GB2312" w:hAnsi="仿宋" w:eastAsia="仿宋_GB2312"/>
          <w:sz w:val="32"/>
          <w:szCs w:val="32"/>
          <w:lang w:val="en-US" w:eastAsia="zh-CN"/>
        </w:rPr>
        <w:t>其中基本支出292.95万元，项目支出776.88万元。</w:t>
      </w:r>
    </w:p>
    <w:p>
      <w:pPr>
        <w:snapToGrid w:val="0"/>
        <w:spacing w:line="520" w:lineRule="exact"/>
        <w:ind w:firstLine="640" w:firstLineChars="200"/>
        <w:rPr>
          <w:rFonts w:ascii="Times New Roman" w:hAnsi="仿宋" w:eastAsia="仿宋" w:cs="Times New Roman"/>
          <w:sz w:val="32"/>
          <w:szCs w:val="32"/>
        </w:rPr>
      </w:pPr>
      <w:r>
        <w:rPr>
          <w:rFonts w:hint="eastAsia" w:ascii="仿宋_GB2312" w:hAnsi="仿宋" w:eastAsia="仿宋_GB2312"/>
          <w:sz w:val="32"/>
          <w:szCs w:val="32"/>
          <w:lang w:val="en-US" w:eastAsia="zh-CN"/>
        </w:rPr>
        <w:t>1、本年支出1069.83万元，其中，一般公共服务846.15万元，占79%，科学技术93.15万元，占8.7%，社会保障和就业22.31万元，占2%，卫生健康10.46万元，占1%，城乡社区67.39万元，占6.3%，住房保障16.73万元，占1.6%，其他13.64万元，占1.4%。</w:t>
      </w: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（二）项目支出情况</w:t>
      </w:r>
    </w:p>
    <w:p>
      <w:pPr>
        <w:spacing w:line="580" w:lineRule="exact"/>
        <w:ind w:firstLine="640" w:firstLineChars="200"/>
        <w:rPr>
          <w:rFonts w:ascii="Times New Roman" w:hAnsi="黑体" w:eastAsia="仿宋" w:cs="Times New Roman"/>
          <w:sz w:val="32"/>
          <w:szCs w:val="32"/>
        </w:rPr>
      </w:pPr>
      <w:r>
        <w:rPr>
          <w:rFonts w:hint="eastAsia" w:eastAsia="仿宋"/>
          <w:sz w:val="32"/>
          <w:szCs w:val="28"/>
        </w:rPr>
        <w:t>2、</w:t>
      </w:r>
      <w:r>
        <w:rPr>
          <w:rFonts w:eastAsia="仿宋"/>
          <w:sz w:val="32"/>
          <w:szCs w:val="28"/>
        </w:rPr>
        <w:t>项目支出：20</w:t>
      </w:r>
      <w:r>
        <w:rPr>
          <w:rFonts w:hint="eastAsia" w:eastAsia="仿宋"/>
          <w:sz w:val="32"/>
          <w:szCs w:val="28"/>
        </w:rPr>
        <w:t>21</w:t>
      </w:r>
      <w:r>
        <w:rPr>
          <w:rFonts w:eastAsia="仿宋"/>
          <w:sz w:val="32"/>
          <w:szCs w:val="28"/>
        </w:rPr>
        <w:t>年项目支出为</w:t>
      </w:r>
      <w:r>
        <w:rPr>
          <w:rFonts w:hint="eastAsia" w:eastAsia="仿宋"/>
          <w:sz w:val="32"/>
          <w:szCs w:val="28"/>
          <w:lang w:val="en-US" w:eastAsia="zh-CN"/>
        </w:rPr>
        <w:t>776.88</w:t>
      </w:r>
      <w:r>
        <w:rPr>
          <w:rFonts w:eastAsia="仿宋"/>
          <w:sz w:val="32"/>
          <w:szCs w:val="28"/>
        </w:rPr>
        <w:t>万元，是指单位为完成特定行政工作任务或事业发展目标而发生的支出，包括有关业务工作经费和运行维护经费。</w:t>
      </w:r>
      <w:r>
        <w:rPr>
          <w:rFonts w:hint="eastAsia" w:ascii="宋体" w:hAnsi="宋体" w:eastAsia="仿宋"/>
          <w:sz w:val="32"/>
          <w:szCs w:val="28"/>
        </w:rPr>
        <w:t>包括镇村便民服务工作专项经费、办税服务厅人员经费、电话费、网络维护费</w:t>
      </w:r>
      <w:r>
        <w:rPr>
          <w:rFonts w:hint="eastAsia" w:ascii="宋体" w:hAnsi="宋体" w:eastAsia="仿宋"/>
          <w:sz w:val="32"/>
          <w:szCs w:val="28"/>
          <w:lang w:eastAsia="zh-CN"/>
        </w:rPr>
        <w:t>、智慧党建运维年费、大厅服装费、基层公共一门式全覆盖</w:t>
      </w:r>
      <w:r>
        <w:rPr>
          <w:rFonts w:hint="eastAsia" w:ascii="宋体" w:hAnsi="宋体" w:eastAsia="仿宋"/>
          <w:sz w:val="32"/>
          <w:szCs w:val="28"/>
        </w:rPr>
        <w:t>等。</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三、政府性基金预算支出情况</w:t>
      </w:r>
    </w:p>
    <w:p>
      <w:pPr>
        <w:spacing w:line="580" w:lineRule="exact"/>
        <w:ind w:firstLine="640" w:firstLineChars="200"/>
        <w:rPr>
          <w:rFonts w:ascii="Times New Roman" w:hAnsi="黑体" w:eastAsia="黑体" w:cs="Times New Roman"/>
          <w:sz w:val="32"/>
          <w:szCs w:val="32"/>
        </w:rPr>
      </w:pPr>
      <w:r>
        <w:rPr>
          <w:rFonts w:ascii="宋体" w:hAnsi="宋体" w:eastAsia="宋体" w:cs="宋体"/>
          <w:i w:val="0"/>
          <w:iCs w:val="0"/>
          <w:caps w:val="0"/>
          <w:color w:val="000000"/>
          <w:spacing w:val="0"/>
          <w:sz w:val="32"/>
          <w:szCs w:val="32"/>
        </w:rPr>
        <w:t>202</w:t>
      </w:r>
      <w:r>
        <w:rPr>
          <w:rFonts w:hint="eastAsia" w:ascii="宋体" w:hAnsi="宋体" w:eastAsia="宋体" w:cs="宋体"/>
          <w:i w:val="0"/>
          <w:iCs w:val="0"/>
          <w:caps w:val="0"/>
          <w:color w:val="000000"/>
          <w:spacing w:val="0"/>
          <w:sz w:val="32"/>
          <w:szCs w:val="32"/>
          <w:lang w:val="en-US" w:eastAsia="zh-CN"/>
        </w:rPr>
        <w:t>1</w:t>
      </w:r>
      <w:r>
        <w:rPr>
          <w:rFonts w:ascii="宋体" w:hAnsi="宋体" w:eastAsia="宋体" w:cs="宋体"/>
          <w:i w:val="0"/>
          <w:iCs w:val="0"/>
          <w:caps w:val="0"/>
          <w:color w:val="000000"/>
          <w:spacing w:val="0"/>
          <w:sz w:val="32"/>
          <w:szCs w:val="32"/>
        </w:rPr>
        <w:t>年本部门无政府性基金预算拨款。</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四、国有资本经营预算支出情况</w:t>
      </w:r>
    </w:p>
    <w:p>
      <w:pPr>
        <w:spacing w:line="580" w:lineRule="exact"/>
        <w:ind w:firstLine="640" w:firstLineChars="200"/>
        <w:rPr>
          <w:rFonts w:ascii="Times New Roman" w:hAnsi="黑体" w:eastAsia="黑体" w:cs="Times New Roman"/>
          <w:sz w:val="32"/>
          <w:szCs w:val="32"/>
        </w:rPr>
      </w:pPr>
      <w:r>
        <w:rPr>
          <w:rFonts w:ascii="宋体" w:hAnsi="宋体" w:eastAsia="宋体" w:cs="宋体"/>
          <w:i w:val="0"/>
          <w:iCs w:val="0"/>
          <w:caps w:val="0"/>
          <w:color w:val="000000"/>
          <w:spacing w:val="0"/>
          <w:sz w:val="32"/>
          <w:szCs w:val="32"/>
        </w:rPr>
        <w:t>202</w:t>
      </w:r>
      <w:r>
        <w:rPr>
          <w:rFonts w:hint="eastAsia" w:ascii="宋体" w:hAnsi="宋体" w:eastAsia="宋体" w:cs="宋体"/>
          <w:i w:val="0"/>
          <w:iCs w:val="0"/>
          <w:caps w:val="0"/>
          <w:color w:val="000000"/>
          <w:spacing w:val="0"/>
          <w:sz w:val="32"/>
          <w:szCs w:val="32"/>
          <w:lang w:val="en-US" w:eastAsia="zh-CN"/>
        </w:rPr>
        <w:t>1</w:t>
      </w:r>
      <w:r>
        <w:rPr>
          <w:rFonts w:ascii="宋体" w:hAnsi="宋体" w:eastAsia="宋体" w:cs="宋体"/>
          <w:i w:val="0"/>
          <w:iCs w:val="0"/>
          <w:caps w:val="0"/>
          <w:color w:val="000000"/>
          <w:spacing w:val="0"/>
          <w:sz w:val="32"/>
          <w:szCs w:val="32"/>
        </w:rPr>
        <w:t>年本部门无国有资本经营预算拨款</w:t>
      </w:r>
    </w:p>
    <w:p>
      <w:pPr>
        <w:numPr>
          <w:ilvl w:val="0"/>
          <w:numId w:val="2"/>
        </w:numPr>
        <w:spacing w:line="580" w:lineRule="exact"/>
        <w:ind w:firstLine="640" w:firstLineChars="200"/>
        <w:rPr>
          <w:rFonts w:hint="default" w:ascii="Times New Roman" w:hAnsi="Times New Roman" w:cs="Times New Roman"/>
          <w:color w:val="333333"/>
          <w:sz w:val="32"/>
          <w:szCs w:val="32"/>
        </w:rPr>
      </w:pPr>
      <w:r>
        <w:rPr>
          <w:rFonts w:ascii="Times New Roman" w:hAnsi="黑体" w:eastAsia="黑体" w:cs="Times New Roman"/>
          <w:sz w:val="32"/>
          <w:szCs w:val="32"/>
        </w:rPr>
        <w:t>社会保险基金预算支出情况</w:t>
      </w:r>
    </w:p>
    <w:p>
      <w:pPr>
        <w:numPr>
          <w:ilvl w:val="0"/>
          <w:numId w:val="0"/>
        </w:numPr>
        <w:spacing w:line="580" w:lineRule="exact"/>
        <w:ind w:firstLine="640" w:firstLineChars="200"/>
        <w:rPr>
          <w:rFonts w:hint="default" w:ascii="Times New Roman" w:hAnsi="Times New Roman" w:cs="Times New Roman"/>
          <w:color w:val="333333"/>
          <w:sz w:val="32"/>
          <w:szCs w:val="32"/>
        </w:rPr>
      </w:pPr>
      <w:r>
        <w:rPr>
          <w:rFonts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ascii="仿宋" w:hAnsi="仿宋" w:eastAsia="仿宋" w:cs="仿宋"/>
          <w:color w:val="000000"/>
          <w:sz w:val="32"/>
          <w:szCs w:val="32"/>
        </w:rPr>
        <w:t>年我单位无社会保险基金预算收支。</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numPr>
          <w:ilvl w:val="0"/>
          <w:numId w:val="0"/>
        </w:numPr>
        <w:ind w:firstLine="320" w:firstLineChars="100"/>
        <w:rPr>
          <w:rFonts w:hint="eastAsia" w:ascii="仿宋_GB2312" w:eastAsia="仿宋_GB2312"/>
          <w:sz w:val="32"/>
          <w:szCs w:val="32"/>
        </w:rPr>
      </w:pPr>
      <w:r>
        <w:rPr>
          <w:rFonts w:hint="eastAsia" w:ascii="楷体_GB2312" w:hAnsi="黑体" w:eastAsia="楷体_GB2312"/>
          <w:b w:val="0"/>
          <w:bCs/>
          <w:sz w:val="32"/>
          <w:szCs w:val="32"/>
          <w:lang w:eastAsia="zh-CN"/>
        </w:rPr>
        <w:t>（一）</w:t>
      </w:r>
      <w:r>
        <w:rPr>
          <w:rFonts w:hint="eastAsia" w:ascii="仿宋" w:hAnsi="仿宋" w:eastAsia="仿宋" w:cs="仿宋"/>
          <w:b w:val="0"/>
          <w:bCs/>
          <w:sz w:val="32"/>
          <w:szCs w:val="32"/>
        </w:rPr>
        <w:t>强化“放管服”改革协调</w:t>
      </w:r>
      <w:r>
        <w:rPr>
          <w:rFonts w:hint="eastAsia" w:ascii="楷体_GB2312" w:hAnsi="黑体" w:eastAsia="楷体_GB2312"/>
          <w:b w:val="0"/>
          <w:bCs/>
          <w:sz w:val="32"/>
          <w:szCs w:val="32"/>
        </w:rPr>
        <w:t>。</w:t>
      </w:r>
      <w:r>
        <w:rPr>
          <w:rFonts w:hint="eastAsia" w:ascii="仿宋_GB2312" w:eastAsia="仿宋_GB2312"/>
          <w:sz w:val="32"/>
          <w:szCs w:val="32"/>
        </w:rPr>
        <w:t>充分发挥县推进政府职能转变深化“放管服”改革协调小组办公室作用，履行牵头抓总职责，认真贯彻中央、省、市“简政放权、放管结合、优化服务”的各项部署，强化工作举措，确保中央、省、市各项决策部署在我县落地生根、取得实效。年初制定了重点任务分工表，协调全县“放管服”改革26家主体单位，抓实61项重点事项，实行清单化管理、台账化推进，扎实推进政务服务事项实施清单的标准化、规范化、便利化。</w:t>
      </w:r>
    </w:p>
    <w:p>
      <w:pPr>
        <w:numPr>
          <w:ilvl w:val="0"/>
          <w:numId w:val="0"/>
        </w:numPr>
        <w:ind w:firstLine="640" w:firstLineChars="200"/>
        <w:rPr>
          <w:rFonts w:hint="eastAsia" w:ascii="仿宋_GB2312" w:eastAsia="仿宋_GB2312"/>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规范政务服务体系建设。</w:t>
      </w:r>
      <w:r>
        <w:rPr>
          <w:rFonts w:hint="eastAsia" w:ascii="仿宋_GB2312" w:eastAsia="仿宋_GB2312"/>
          <w:sz w:val="32"/>
          <w:szCs w:val="32"/>
        </w:rPr>
        <w:t>县行政审批“三集中三到位”改革，梳理确立依申请类6类政务服务及公共服务事项2004项，所涉县直46个部门全部进驻政务中心建设完善了24小时自助政务服务区；添置了三台智能取号机和111个“好差评”评价平板，办事群众通过“刷脸”取号或身份证取号实现“一号申请”。全力推动基层公共服务一门式全覆盖和向园区赋权工作，组织13个部门下沉151项高频事项到镇（街道），其中72项在村（社区）；确立22个部门向县高新区赋权事项170项，推动政务服务马上办、网上办、就近办、一次办。</w:t>
      </w:r>
    </w:p>
    <w:p>
      <w:pPr>
        <w:numPr>
          <w:ilvl w:val="0"/>
          <w:numId w:val="0"/>
        </w:numPr>
        <w:ind w:firstLine="640" w:firstLineChars="200"/>
        <w:rPr>
          <w:rFonts w:hint="eastAsia" w:ascii="仿宋_GB2312" w:eastAsia="仿宋_GB2312"/>
          <w:kern w:val="0"/>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巩固市一体化平台应用效果</w:t>
      </w:r>
      <w:r>
        <w:rPr>
          <w:rFonts w:hint="eastAsia" w:ascii="楷体_GB2312" w:hAnsi="黑体" w:eastAsia="楷体_GB2312"/>
          <w:b w:val="0"/>
          <w:bCs/>
          <w:sz w:val="32"/>
          <w:szCs w:val="32"/>
        </w:rPr>
        <w:t>。</w:t>
      </w:r>
      <w:r>
        <w:rPr>
          <w:rFonts w:hint="eastAsia" w:ascii="仿宋_GB2312" w:eastAsia="仿宋_GB2312"/>
          <w:sz w:val="32"/>
          <w:szCs w:val="32"/>
        </w:rPr>
        <w:t>高标准建设了200平方米的澧县电子政务外网平台接入机房，建成了覆盖全县19个镇（街道）的光缆传输网络，目前我县46个部门、政务大厅111个窗口，310个镇（街道）、村（社区）服务场所均能实时应用市“互联网+政务服务”一体化平台。</w:t>
      </w:r>
      <w:r>
        <w:rPr>
          <w:rFonts w:hint="eastAsia" w:ascii="仿宋_GB2312" w:eastAsia="仿宋_GB2312"/>
          <w:kern w:val="0"/>
          <w:sz w:val="32"/>
          <w:szCs w:val="32"/>
        </w:rPr>
        <w:t>2021年我县在市“互联网+政务服务”一体化平台共办件708166件，其中“一网通办”30347件，办件量一直名列全市前茅。</w:t>
      </w:r>
    </w:p>
    <w:p>
      <w:pPr>
        <w:ind w:firstLine="640" w:firstLineChars="200"/>
        <w:jc w:val="left"/>
        <w:rPr>
          <w:rFonts w:ascii="楷体_GB2312" w:hAnsi="黑体" w:eastAsia="楷体_GB2312"/>
          <w:b/>
          <w:sz w:val="32"/>
          <w:szCs w:val="32"/>
        </w:rPr>
      </w:pPr>
      <w:r>
        <w:rPr>
          <w:rFonts w:hint="eastAsia" w:ascii="仿宋" w:hAnsi="仿宋" w:eastAsia="仿宋" w:cs="仿宋"/>
          <w:b w:val="0"/>
          <w:bCs/>
          <w:color w:val="000000"/>
          <w:sz w:val="32"/>
          <w:szCs w:val="32"/>
          <w:lang w:eastAsia="zh-CN"/>
        </w:rPr>
        <w:t>（四）</w:t>
      </w:r>
      <w:r>
        <w:rPr>
          <w:rFonts w:hint="eastAsia" w:ascii="仿宋" w:hAnsi="仿宋" w:eastAsia="仿宋" w:cs="仿宋"/>
          <w:b w:val="0"/>
          <w:bCs/>
          <w:color w:val="000000"/>
          <w:sz w:val="32"/>
          <w:szCs w:val="32"/>
        </w:rPr>
        <w:t>提升“一件事一次办”改革实效。</w:t>
      </w:r>
      <w:r>
        <w:rPr>
          <w:rFonts w:hint="eastAsia" w:ascii="仿宋_GB2312" w:hAnsi="楷体" w:eastAsia="仿宋_GB2312"/>
          <w:color w:val="000000"/>
          <w:sz w:val="32"/>
          <w:szCs w:val="32"/>
        </w:rPr>
        <w:t>全面承接落实湖南省三批“一件事一次办”中涉及的296项“一件事</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确保我县行政审批申请材料精简60%，办理环节精减70%，平均办理时限减少80%。</w:t>
      </w:r>
      <w:r>
        <w:rPr>
          <w:rFonts w:hint="eastAsia" w:ascii="楷体_GB2312" w:hAnsi="黑体" w:eastAsia="楷体_GB2312"/>
          <w:b/>
          <w:bCs/>
          <w:color w:val="000000"/>
          <w:sz w:val="32"/>
          <w:szCs w:val="32"/>
        </w:rPr>
        <w:t>。</w:t>
      </w:r>
    </w:p>
    <w:p>
      <w:pPr>
        <w:ind w:firstLine="640" w:firstLineChars="200"/>
        <w:jc w:val="left"/>
        <w:rPr>
          <w:rFonts w:hint="eastAsia" w:ascii="仿宋_GB2312" w:eastAsia="仿宋_GB2312"/>
          <w:kern w:val="0"/>
          <w:sz w:val="32"/>
          <w:szCs w:val="32"/>
          <w:lang w:eastAsia="zh-CN"/>
        </w:rPr>
      </w:pP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积极推动我县营商环境持续向好</w:t>
      </w:r>
      <w:r>
        <w:rPr>
          <w:rFonts w:hint="eastAsia" w:ascii="仿宋" w:hAnsi="仿宋" w:eastAsia="仿宋" w:cs="仿宋"/>
          <w:b w:val="0"/>
          <w:bCs w:val="0"/>
          <w:color w:val="000000"/>
          <w:sz w:val="32"/>
          <w:szCs w:val="32"/>
          <w:lang w:eastAsia="zh-CN"/>
        </w:rPr>
        <w:t>。</w:t>
      </w:r>
      <w:r>
        <w:rPr>
          <w:rFonts w:hint="eastAsia" w:ascii="仿宋_GB2312" w:hAnsi="楷体" w:eastAsia="仿宋_GB2312"/>
          <w:b w:val="0"/>
          <w:bCs w:val="0"/>
          <w:color w:val="000000"/>
          <w:sz w:val="32"/>
          <w:szCs w:val="32"/>
        </w:rPr>
        <w:t>进</w:t>
      </w:r>
      <w:r>
        <w:rPr>
          <w:rFonts w:hint="eastAsia" w:ascii="仿宋_GB2312" w:hAnsi="楷体" w:eastAsia="仿宋_GB2312"/>
          <w:color w:val="000000"/>
          <w:sz w:val="32"/>
          <w:szCs w:val="32"/>
        </w:rPr>
        <w:t>一步强化了“工程建设项目审批改革专区”32个专项综合服务窗口向全科服务窗口转换，推行现场帮办、全程代办</w:t>
      </w:r>
      <w:r>
        <w:rPr>
          <w:rFonts w:hint="eastAsia" w:ascii="仿宋_GB2312" w:hAnsi="仿宋" w:eastAsia="仿宋_GB2312" w:cs="仿宋"/>
          <w:color w:val="000000"/>
          <w:sz w:val="32"/>
          <w:szCs w:val="32"/>
        </w:rPr>
        <w:t>让企业群众办事更加快捷有效、更加顺心顺气。</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ind w:firstLine="640" w:firstLineChars="200"/>
        <w:rPr>
          <w:rFonts w:hint="eastAsia" w:ascii="楷体_GB2312" w:hAnsi="黑体" w:eastAsia="仿宋_GB2312"/>
          <w:b/>
          <w:sz w:val="32"/>
          <w:szCs w:val="32"/>
          <w:lang w:eastAsia="zh-CN"/>
        </w:rPr>
      </w:pPr>
      <w:r>
        <w:rPr>
          <w:rFonts w:hint="eastAsia" w:ascii="仿宋" w:hAnsi="仿宋" w:eastAsia="仿宋" w:cs="仿宋"/>
          <w:b w:val="0"/>
          <w:bCs/>
          <w:sz w:val="32"/>
          <w:szCs w:val="32"/>
        </w:rPr>
        <w:t>（一）政务服务水平有待提高。</w:t>
      </w:r>
      <w:r>
        <w:rPr>
          <w:rFonts w:hint="eastAsia" w:ascii="仿宋_GB2312" w:hAnsi="黑体" w:eastAsia="仿宋_GB2312"/>
          <w:sz w:val="32"/>
          <w:szCs w:val="32"/>
        </w:rPr>
        <w:t>少数部门仍然按照老思维老模式办审批、搞服务，</w:t>
      </w:r>
      <w:r>
        <w:rPr>
          <w:rFonts w:hint="eastAsia" w:ascii="仿宋_GB2312" w:hAnsi="仿宋" w:eastAsia="仿宋_GB2312" w:cs="仿宋"/>
          <w:color w:val="000000"/>
          <w:sz w:val="32"/>
          <w:szCs w:val="32"/>
        </w:rPr>
        <w:t>政务服务窗口服务态度生硬、效率低下，</w:t>
      </w:r>
      <w:r>
        <w:rPr>
          <w:rFonts w:hint="eastAsia" w:ascii="仿宋_GB2312" w:hAnsi="黑体" w:eastAsia="仿宋_GB2312"/>
          <w:sz w:val="32"/>
          <w:szCs w:val="32"/>
        </w:rPr>
        <w:t>少数政务服务工作人员存在能力恐慌和能力脱节。</w:t>
      </w:r>
      <w:r>
        <w:rPr>
          <w:rFonts w:hint="eastAsia" w:ascii="仿宋_GB2312" w:hAnsi="黑体" w:eastAsia="仿宋_GB2312"/>
          <w:sz w:val="32"/>
          <w:szCs w:val="32"/>
          <w:lang w:eastAsia="zh-CN"/>
        </w:rPr>
        <w:t>可以适当增加窗口工作人员绩效奖励机制，设置优秀、良好、合格等次提高工作人员工作积极性，从而提升整体服务水平。</w:t>
      </w:r>
    </w:p>
    <w:p>
      <w:pPr>
        <w:ind w:firstLine="640" w:firstLineChars="200"/>
        <w:rPr>
          <w:rFonts w:hint="eastAsia" w:ascii="仿宋_GB2312" w:hAnsi="黑体" w:eastAsia="仿宋_GB2312"/>
          <w:sz w:val="32"/>
          <w:szCs w:val="32"/>
          <w:lang w:eastAsia="zh-CN"/>
        </w:rPr>
      </w:pPr>
      <w:r>
        <w:rPr>
          <w:rFonts w:hint="eastAsia" w:ascii="仿宋" w:hAnsi="仿宋" w:eastAsia="仿宋" w:cs="仿宋"/>
          <w:b w:val="0"/>
          <w:bCs/>
          <w:sz w:val="32"/>
          <w:szCs w:val="32"/>
        </w:rPr>
        <w:t>（二）网上政务服务供给失衡。</w:t>
      </w:r>
      <w:r>
        <w:rPr>
          <w:rFonts w:hint="eastAsia" w:ascii="仿宋_GB2312" w:hAnsi="黑体" w:eastAsia="仿宋_GB2312"/>
          <w:sz w:val="32"/>
          <w:szCs w:val="32"/>
        </w:rPr>
        <w:t>企业和群众期盼更多的政务服务能够网上办、指尖办，足不出户就能办，但网上政务服务能力不足，存在</w:t>
      </w:r>
      <w:r>
        <w:rPr>
          <w:rFonts w:hint="eastAsia" w:ascii="仿宋_GB2312" w:hAnsi="仿宋" w:eastAsia="仿宋_GB2312" w:cs="仿宋"/>
          <w:color w:val="000000"/>
          <w:sz w:val="32"/>
          <w:szCs w:val="32"/>
        </w:rPr>
        <w:t>业务系统衔接不畅，行政审批“体外循环”等问题</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 w:hAnsi="仿宋" w:eastAsia="仿宋" w:cs="仿宋"/>
          <w:b w:val="0"/>
          <w:bCs/>
          <w:sz w:val="32"/>
          <w:szCs w:val="32"/>
        </w:rPr>
        <w:t>（三）中介服务监管亟待规范。</w:t>
      </w:r>
      <w:r>
        <w:rPr>
          <w:rFonts w:hint="eastAsia" w:ascii="仿宋_GB2312" w:hAnsi="黑体" w:eastAsia="仿宋_GB2312"/>
          <w:sz w:val="32"/>
          <w:szCs w:val="32"/>
        </w:rPr>
        <w:t>中介服务作为项目审批前置的、不可缺少的环节，中介服务如何规范、如何运行一直是各级管理部门头痛的一件事，也是廉政风险高发领域。</w:t>
      </w:r>
    </w:p>
    <w:p>
      <w:pPr>
        <w:ind w:firstLine="640" w:firstLineChars="200"/>
        <w:rPr>
          <w:rFonts w:hint="eastAsia" w:ascii="仿宋_GB2312" w:hAnsi="黑体" w:eastAsia="仿宋_GB2312"/>
          <w:sz w:val="32"/>
          <w:szCs w:val="32"/>
        </w:rPr>
      </w:pPr>
      <w:r>
        <w:rPr>
          <w:rFonts w:hint="eastAsia" w:ascii="仿宋" w:hAnsi="仿宋" w:eastAsia="仿宋" w:cs="仿宋"/>
          <w:b w:val="0"/>
          <w:bCs/>
          <w:sz w:val="32"/>
          <w:szCs w:val="32"/>
        </w:rPr>
        <w:t>（四）智慧城市建设能力不强。</w:t>
      </w:r>
      <w:r>
        <w:rPr>
          <w:rFonts w:hint="eastAsia" w:ascii="仿宋_GB2312" w:hAnsi="黑体" w:eastAsia="仿宋_GB2312"/>
          <w:sz w:val="32"/>
          <w:szCs w:val="32"/>
        </w:rPr>
        <w:t>技术人才存在引不进、留不住的现象，智慧城市建设研究不深入、不系统，引导全社会力量有序参与智慧澧州建设的能力不强。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lang w:eastAsia="zh-CN"/>
        </w:rPr>
        <w:t>（五）</w:t>
      </w:r>
      <w:r>
        <w:rPr>
          <w:rFonts w:hint="eastAsia" w:ascii="仿宋" w:hAnsi="仿宋" w:eastAsia="仿宋" w:cs="仿宋"/>
          <w:color w:val="auto"/>
          <w:sz w:val="32"/>
          <w:szCs w:val="32"/>
          <w:shd w:val="clear" w:color="auto" w:fill="FFFFFF"/>
        </w:rPr>
        <w:t>预算执行存在偏差。由于年初预算安排经费不足，本年度许多专项工作需要申请追加预算，导致实际经费支出高于年初预算，预算编制与实际情况存在偏差。</w:t>
      </w:r>
    </w:p>
    <w:p>
      <w:pPr>
        <w:numPr>
          <w:ilvl w:val="0"/>
          <w:numId w:val="3"/>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下一步改进措施</w:t>
      </w:r>
    </w:p>
    <w:p>
      <w:pPr>
        <w:pStyle w:val="41"/>
        <w:ind w:left="0" w:leftChars="0" w:firstLine="320" w:firstLineChars="100"/>
        <w:rPr>
          <w:rFonts w:hAnsi="仿宋_GB2312" w:cs="仿宋_GB2312"/>
          <w:b w:val="0"/>
          <w:bCs w:val="0"/>
        </w:rPr>
      </w:pPr>
      <w:r>
        <w:rPr>
          <w:rFonts w:hint="eastAsia" w:hAnsi="仿宋_GB2312" w:cs="仿宋_GB2312"/>
          <w:b w:val="0"/>
          <w:bCs w:val="0"/>
          <w:lang w:eastAsia="zh-CN"/>
        </w:rPr>
        <w:t>（一）</w:t>
      </w:r>
      <w:r>
        <w:rPr>
          <w:rFonts w:hint="eastAsia" w:hAnsi="仿宋_GB2312" w:cs="仿宋_GB2312"/>
          <w:b w:val="0"/>
          <w:bCs w:val="0"/>
        </w:rPr>
        <w:t>狠抓中介服务监管、实现行政效能突破。</w:t>
      </w:r>
    </w:p>
    <w:p>
      <w:pPr>
        <w:pStyle w:val="41"/>
        <w:ind w:left="0" w:firstLine="640" w:firstLineChars="200"/>
        <w:rPr>
          <w:rFonts w:hAnsi="仿宋_GB2312" w:cs="仿宋_GB2312"/>
        </w:rPr>
      </w:pPr>
      <w:r>
        <w:rPr>
          <w:rFonts w:hint="eastAsia" w:hAnsi="仿宋_GB2312" w:cs="仿宋_GB2312"/>
          <w:b w:val="0"/>
          <w:bCs w:val="0"/>
        </w:rPr>
        <w:t>一是清理行政审批中介服务事项，制定监管实施方案</w:t>
      </w:r>
      <w:r>
        <w:rPr>
          <w:rFonts w:hint="eastAsia" w:hAnsi="仿宋_GB2312" w:cs="仿宋_GB2312"/>
          <w:b/>
          <w:bCs/>
        </w:rPr>
        <w:t>，</w:t>
      </w:r>
      <w:r>
        <w:rPr>
          <w:rFonts w:hint="eastAsia" w:hAnsi="仿宋_GB2312" w:cs="仿宋_GB2312"/>
          <w:b w:val="0"/>
          <w:bCs w:val="0"/>
        </w:rPr>
        <w:t>推动中介机构入驻中介服务平台。组织各部门清理整顿，汇</w:t>
      </w:r>
      <w:r>
        <w:rPr>
          <w:rFonts w:hint="eastAsia" w:hAnsi="仿宋_GB2312" w:cs="仿宋_GB2312"/>
        </w:rPr>
        <w:t>总制定我县县本级中介服务事项清单和《澧县加强行政审批中介服务监管的实施方案》，实行清单管理、服务指南、时限管理、收费管理、中介超市、信用监管等“六个标准化”建设。推动我县中介服务机构入驻省、市中介服务平台，企业和群众在平台上可通过随机选取、淘宝式选取、公开竞价3种方式，选取相关机构及服务。</w:t>
      </w:r>
    </w:p>
    <w:p>
      <w:pPr>
        <w:pStyle w:val="41"/>
        <w:ind w:left="0" w:firstLine="627" w:firstLineChars="196"/>
        <w:rPr>
          <w:rFonts w:hAnsi="仿宋_GB2312" w:cs="仿宋_GB2312"/>
        </w:rPr>
      </w:pPr>
      <w:r>
        <w:rPr>
          <w:rFonts w:hint="eastAsia" w:hAnsi="仿宋_GB2312" w:cs="仿宋_GB2312"/>
          <w:b w:val="0"/>
          <w:bCs w:val="0"/>
        </w:rPr>
        <w:t>二是清理规范中介服务收费行为，建设澧县中介服务集中服务区，强化中介服务行业监督管理。推进中</w:t>
      </w:r>
      <w:r>
        <w:rPr>
          <w:rFonts w:hint="eastAsia" w:hAnsi="仿宋_GB2312" w:cs="仿宋_GB2312"/>
          <w:bCs/>
        </w:rPr>
        <w:t>介服务收费改革，一律通过市场调节价格，竞争方式选择服务机构。</w:t>
      </w:r>
      <w:r>
        <w:rPr>
          <w:rFonts w:hint="eastAsia" w:hAnsi="仿宋_GB2312" w:cs="仿宋_GB2312"/>
        </w:rPr>
        <w:t>在县政务服务大厅建设澧县中介服务集中服务区，根据信用等级考评结果，选择信用等级高的中介机构进驻政务大厅，实行优进劣汰，全程监管。各行业主管部门分别对本行业中介机构进行管理考核，引导和强化中介服务行业自律，有效提高中介服务的规范化水平。</w:t>
      </w:r>
    </w:p>
    <w:p>
      <w:pPr>
        <w:pStyle w:val="41"/>
        <w:ind w:left="0" w:leftChars="0" w:firstLine="320" w:firstLineChars="100"/>
        <w:rPr>
          <w:rFonts w:hAnsi="仿宋_GB2312" w:cs="仿宋_GB2312"/>
          <w:b w:val="0"/>
          <w:bCs w:val="0"/>
        </w:rPr>
      </w:pPr>
      <w:r>
        <w:rPr>
          <w:rFonts w:hint="eastAsia" w:hAnsi="仿宋_GB2312" w:cs="仿宋_GB2312"/>
          <w:b w:val="0"/>
          <w:bCs w:val="0"/>
          <w:lang w:eastAsia="zh-CN"/>
        </w:rPr>
        <w:t>（二）</w:t>
      </w:r>
      <w:r>
        <w:rPr>
          <w:rFonts w:hint="eastAsia" w:hAnsi="仿宋_GB2312" w:cs="仿宋_GB2312"/>
          <w:b w:val="0"/>
          <w:bCs w:val="0"/>
        </w:rPr>
        <w:t>狠抓智慧城市建设，实现数字政府突破。</w:t>
      </w:r>
    </w:p>
    <w:p>
      <w:pPr>
        <w:pStyle w:val="41"/>
        <w:ind w:left="0" w:firstLine="640" w:firstLineChars="200"/>
        <w:rPr>
          <w:rFonts w:hAnsi="仿宋_GB2312" w:cs="仿宋_GB2312"/>
        </w:rPr>
      </w:pPr>
      <w:r>
        <w:rPr>
          <w:rFonts w:hint="eastAsia" w:hAnsi="仿宋_GB2312" w:cs="仿宋_GB2312"/>
          <w:b w:val="0"/>
          <w:bCs w:val="0"/>
        </w:rPr>
        <w:t>一是加强智慧澧州建设组织领导，狠抓数据资源整合共享，强化资金保障和人才支撑。由</w:t>
      </w:r>
      <w:r>
        <w:rPr>
          <w:rFonts w:hint="eastAsia" w:hAnsi="仿宋_GB2312" w:cs="仿宋_GB2312"/>
        </w:rPr>
        <w:t>县政府办牵头，将相关部门和企业纳入成员单位，成立澧县“智慧澧州”建设领导小组，建立澧县智慧城市指挥中心，重点推进“五大领域”智慧城市工程项目建设，初步实现“一屏通览”智慧城市建设成果、构建“一键指挥”统一应急联动体系。加强财政投入资金信息化项目技术评审，将“智慧澧州”建设工作纳入全县绩效评估考核范畴。</w:t>
      </w:r>
    </w:p>
    <w:p>
      <w:pPr>
        <w:pStyle w:val="41"/>
        <w:ind w:left="0" w:firstLine="630"/>
        <w:rPr>
          <w:rFonts w:hAnsi="仿宋_GB2312" w:cs="仿宋_GB2312"/>
        </w:rPr>
      </w:pPr>
      <w:r>
        <w:rPr>
          <w:rFonts w:hint="eastAsia" w:hAnsi="仿宋_GB2312" w:cs="仿宋_GB2312"/>
          <w:b w:val="0"/>
          <w:bCs w:val="0"/>
        </w:rPr>
        <w:t>二是将推进“互联网+政务服务”摆在重要的位置，让“数字政府”改革成果真正惠及广大人民群众。牵头组织县自然资源、人社、住建、教育、公安、市场监管、卫健等部门，推进全县的数据资源优化、</w:t>
      </w:r>
      <w:r>
        <w:rPr>
          <w:rFonts w:hint="eastAsia" w:hAnsi="仿宋_GB2312" w:cs="仿宋_GB2312"/>
        </w:rPr>
        <w:t>平台整合安全、数据互认共享、管理统筹规范、服务便捷高效。加快线上线下深度融合，加大“我的常德”APP推广使用力度，加快实现更多政务服务事项“网上办”“掌上办”。依托国家和省“互联网+监管”系统，实现全县监管人员的业务协同，着力提升精准监管、联合监管水平。</w:t>
      </w:r>
    </w:p>
    <w:p>
      <w:pPr>
        <w:pStyle w:val="4"/>
        <w:numPr>
          <w:ilvl w:val="0"/>
          <w:numId w:val="0"/>
        </w:numPr>
        <w:shd w:val="clear" w:color="auto" w:fill="FFFFFF"/>
        <w:spacing w:before="0" w:beforeAutospacing="0" w:after="0" w:afterAutospacing="0"/>
        <w:ind w:right="0" w:rightChars="0" w:firstLine="320" w:firstLineChars="100"/>
        <w:rPr>
          <w:rFonts w:hint="eastAsia" w:ascii="仿宋" w:hAnsi="仿宋" w:eastAsia="仿宋"/>
          <w:color w:val="333333"/>
          <w:sz w:val="32"/>
          <w:szCs w:val="32"/>
          <w:lang w:eastAsia="zh-CN"/>
        </w:rPr>
      </w:pPr>
      <w:r>
        <w:rPr>
          <w:rFonts w:hint="eastAsia" w:ascii="仿宋" w:hAnsi="仿宋" w:eastAsia="仿宋"/>
          <w:color w:val="333333"/>
          <w:sz w:val="32"/>
          <w:szCs w:val="32"/>
          <w:lang w:val="en-US" w:eastAsia="zh-CN"/>
        </w:rPr>
        <w:t>（三）</w:t>
      </w:r>
      <w:r>
        <w:rPr>
          <w:rFonts w:hint="eastAsia" w:ascii="仿宋" w:hAnsi="仿宋" w:eastAsia="仿宋"/>
          <w:color w:val="333333"/>
          <w:sz w:val="32"/>
          <w:szCs w:val="32"/>
          <w:lang w:eastAsia="zh-CN"/>
        </w:rPr>
        <w:t>狠抓财务管理。</w:t>
      </w:r>
    </w:p>
    <w:p>
      <w:pPr>
        <w:pStyle w:val="4"/>
        <w:numPr>
          <w:ilvl w:val="0"/>
          <w:numId w:val="0"/>
        </w:numPr>
        <w:shd w:val="clear" w:color="auto" w:fill="FFFFFF"/>
        <w:spacing w:before="0" w:beforeAutospacing="0" w:after="0" w:afterAutospacing="0"/>
        <w:ind w:right="0" w:rightChars="0" w:firstLine="640" w:firstLineChars="200"/>
        <w:rPr>
          <w:rFonts w:ascii="仿宋" w:hAnsi="仿宋" w:eastAsia="仿宋"/>
          <w:color w:val="333333"/>
          <w:sz w:val="32"/>
          <w:szCs w:val="32"/>
        </w:rPr>
      </w:pPr>
      <w:r>
        <w:rPr>
          <w:rFonts w:hint="eastAsia" w:ascii="仿宋" w:hAnsi="仿宋" w:eastAsia="仿宋"/>
          <w:color w:val="333333"/>
          <w:sz w:val="32"/>
          <w:szCs w:val="32"/>
          <w:lang w:eastAsia="zh-CN"/>
        </w:rPr>
        <w:t>一、</w:t>
      </w:r>
      <w:r>
        <w:rPr>
          <w:rFonts w:hint="eastAsia" w:ascii="仿宋" w:hAnsi="仿宋" w:eastAsia="仿宋"/>
          <w:color w:val="333333"/>
          <w:sz w:val="32"/>
          <w:szCs w:val="32"/>
        </w:rPr>
        <w:t>进一步加强单位内控制度管理，完善、明确和细化各项财务管理制度，严格控制专项资金的支出，提高资金使用效益；</w:t>
      </w:r>
    </w:p>
    <w:p>
      <w:pPr>
        <w:pStyle w:val="4"/>
        <w:shd w:val="clear" w:color="auto" w:fill="FFFFFF"/>
        <w:spacing w:before="0" w:beforeAutospacing="0" w:after="0" w:afterAutospacing="0"/>
        <w:ind w:firstLine="640" w:firstLineChars="200"/>
        <w:rPr>
          <w:rFonts w:ascii="仿宋" w:hAnsi="仿宋" w:eastAsia="仿宋"/>
          <w:color w:val="333333"/>
          <w:sz w:val="32"/>
          <w:szCs w:val="32"/>
        </w:rPr>
      </w:pPr>
      <w:r>
        <w:rPr>
          <w:rFonts w:hint="eastAsia" w:ascii="仿宋" w:hAnsi="仿宋" w:eastAsia="仿宋"/>
          <w:color w:val="333333"/>
          <w:sz w:val="32"/>
          <w:szCs w:val="32"/>
          <w:lang w:eastAsia="zh-CN"/>
        </w:rPr>
        <w:t>二、</w:t>
      </w:r>
      <w:r>
        <w:rPr>
          <w:rFonts w:hint="eastAsia" w:ascii="仿宋" w:hAnsi="仿宋" w:eastAsia="仿宋"/>
          <w:color w:val="333333"/>
          <w:sz w:val="32"/>
          <w:szCs w:val="32"/>
        </w:rPr>
        <w:t>固定资产管理有待进一步规范。加强对固定资产清查，及时对过期不能使用的固定资产按程序进行处置；</w:t>
      </w:r>
    </w:p>
    <w:p>
      <w:pPr>
        <w:numPr>
          <w:ilvl w:val="0"/>
          <w:numId w:val="0"/>
        </w:numPr>
        <w:spacing w:line="580" w:lineRule="exact"/>
        <w:ind w:firstLine="640" w:firstLineChars="200"/>
        <w:rPr>
          <w:rFonts w:ascii="Times New Roman" w:hAnsi="黑体" w:eastAsia="黑体" w:cs="Times New Roman"/>
          <w:sz w:val="32"/>
          <w:szCs w:val="32"/>
        </w:rPr>
      </w:pPr>
      <w:r>
        <w:rPr>
          <w:rFonts w:hint="eastAsia" w:ascii="仿宋" w:hAnsi="仿宋" w:eastAsia="仿宋"/>
          <w:color w:val="333333"/>
          <w:sz w:val="32"/>
          <w:szCs w:val="32"/>
          <w:lang w:eastAsia="zh-CN"/>
        </w:rPr>
        <w:t>三、</w:t>
      </w:r>
      <w:r>
        <w:rPr>
          <w:rFonts w:hint="eastAsia" w:ascii="仿宋" w:hAnsi="仿宋" w:eastAsia="仿宋"/>
          <w:color w:val="333333"/>
          <w:sz w:val="32"/>
          <w:szCs w:val="32"/>
        </w:rPr>
        <w:t>健全和完善绩效考核体系，强化绩效目标管理，构建绩效评价常态机制。</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九、单位整体支出绩效自评结果拟应用和公开情况</w:t>
      </w:r>
    </w:p>
    <w:p>
      <w:pPr>
        <w:pStyle w:val="4"/>
        <w:keepNext w:val="0"/>
        <w:keepLines w:val="0"/>
        <w:widowControl/>
        <w:suppressLineNumbers w:val="0"/>
        <w:spacing w:before="300" w:beforeAutospacing="0" w:after="300" w:afterAutospacing="0" w:line="33" w:lineRule="atLeast"/>
        <w:ind w:right="0" w:firstLine="640" w:firstLineChars="200"/>
        <w:jc w:val="both"/>
        <w:rPr>
          <w:rFonts w:hint="eastAsia" w:ascii="Times New Roman" w:hAnsi="黑体" w:eastAsia="仿宋" w:cs="Times New Roman"/>
          <w:color w:val="auto"/>
          <w:sz w:val="32"/>
          <w:szCs w:val="32"/>
          <w:lang w:eastAsia="zh-CN"/>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年部门整体支出绩效评价自查自评结果为优秀，拟通过官网向社会公开，接受社会监督</w:t>
      </w:r>
      <w:r>
        <w:rPr>
          <w:rFonts w:hint="eastAsia" w:ascii="仿宋" w:hAnsi="仿宋" w:eastAsia="仿宋" w:cs="仿宋"/>
          <w:color w:val="auto"/>
          <w:sz w:val="32"/>
          <w:szCs w:val="32"/>
          <w:shd w:val="clear" w:color="auto" w:fill="FFFFFF"/>
          <w:lang w:eastAsia="zh-CN"/>
        </w:rPr>
        <w:t>。</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无</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寰蒋闆呴粦">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CBBA"/>
    <w:multiLevelType w:val="singleLevel"/>
    <w:tmpl w:val="BC7DCBBA"/>
    <w:lvl w:ilvl="0" w:tentative="0">
      <w:start w:val="5"/>
      <w:numFmt w:val="chineseCounting"/>
      <w:suff w:val="nothing"/>
      <w:lvlText w:val="%1、"/>
      <w:lvlJc w:val="left"/>
      <w:rPr>
        <w:rFonts w:hint="eastAsia"/>
      </w:rPr>
    </w:lvl>
  </w:abstractNum>
  <w:abstractNum w:abstractNumId="1">
    <w:nsid w:val="4DE1CC0A"/>
    <w:multiLevelType w:val="singleLevel"/>
    <w:tmpl w:val="4DE1CC0A"/>
    <w:lvl w:ilvl="0" w:tentative="0">
      <w:start w:val="1"/>
      <w:numFmt w:val="chineseCounting"/>
      <w:suff w:val="nothing"/>
      <w:lvlText w:val="（%1）"/>
      <w:lvlJc w:val="left"/>
      <w:rPr>
        <w:rFonts w:hint="eastAsia"/>
      </w:rPr>
    </w:lvl>
  </w:abstractNum>
  <w:abstractNum w:abstractNumId="2">
    <w:nsid w:val="736A766A"/>
    <w:multiLevelType w:val="singleLevel"/>
    <w:tmpl w:val="736A766A"/>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zQ3MjM3NWFkZmM5OWNmYTY3MTFkMGE5MmYzOGUifQ=="/>
  </w:docVars>
  <w:rsids>
    <w:rsidRoot w:val="2BCE4E34"/>
    <w:rsid w:val="00226E16"/>
    <w:rsid w:val="005A3C2A"/>
    <w:rsid w:val="00626EFA"/>
    <w:rsid w:val="006638A9"/>
    <w:rsid w:val="00981C3B"/>
    <w:rsid w:val="00B9329D"/>
    <w:rsid w:val="00C140B6"/>
    <w:rsid w:val="00E40EA6"/>
    <w:rsid w:val="00F07D7E"/>
    <w:rsid w:val="00F92C09"/>
    <w:rsid w:val="01207704"/>
    <w:rsid w:val="02E602C3"/>
    <w:rsid w:val="04BF416E"/>
    <w:rsid w:val="0569626F"/>
    <w:rsid w:val="10FF57F6"/>
    <w:rsid w:val="16785ADF"/>
    <w:rsid w:val="1AD853B7"/>
    <w:rsid w:val="1CC61A56"/>
    <w:rsid w:val="1F5E5F75"/>
    <w:rsid w:val="225C4890"/>
    <w:rsid w:val="27D94564"/>
    <w:rsid w:val="287C746C"/>
    <w:rsid w:val="2AF459E0"/>
    <w:rsid w:val="2BCE4E34"/>
    <w:rsid w:val="30CD1B52"/>
    <w:rsid w:val="356E5F27"/>
    <w:rsid w:val="363170BE"/>
    <w:rsid w:val="3AD76784"/>
    <w:rsid w:val="3BDB4052"/>
    <w:rsid w:val="3E1A70B4"/>
    <w:rsid w:val="3E5417D0"/>
    <w:rsid w:val="3F704A00"/>
    <w:rsid w:val="423430D9"/>
    <w:rsid w:val="434A6B23"/>
    <w:rsid w:val="4475658E"/>
    <w:rsid w:val="4AD44F71"/>
    <w:rsid w:val="4B2A2DEB"/>
    <w:rsid w:val="4B775B0D"/>
    <w:rsid w:val="505446A7"/>
    <w:rsid w:val="525C7843"/>
    <w:rsid w:val="55A90CC5"/>
    <w:rsid w:val="56471436"/>
    <w:rsid w:val="5EA93E10"/>
    <w:rsid w:val="6161404F"/>
    <w:rsid w:val="629A2B7E"/>
    <w:rsid w:val="630269FA"/>
    <w:rsid w:val="64BA24D5"/>
    <w:rsid w:val="65474C27"/>
    <w:rsid w:val="6F101C89"/>
    <w:rsid w:val="6F112CBD"/>
    <w:rsid w:val="6FE451E1"/>
    <w:rsid w:val="73483152"/>
    <w:rsid w:val="737C62D9"/>
    <w:rsid w:val="73F4548F"/>
    <w:rsid w:val="743F175E"/>
    <w:rsid w:val="76C949B2"/>
    <w:rsid w:val="78D21D5D"/>
    <w:rsid w:val="7ADB139D"/>
    <w:rsid w:val="7EA45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sz w:val="24"/>
      <w:szCs w:val="24"/>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rPr>
      <w:i/>
      <w:iCs/>
    </w:rPr>
  </w:style>
  <w:style w:type="character" w:styleId="11">
    <w:name w:val="Hyperlink"/>
    <w:basedOn w:val="6"/>
    <w:qFormat/>
    <w:uiPriority w:val="0"/>
    <w:rPr>
      <w:color w:val="333333"/>
      <w:u w:val="none"/>
    </w:rPr>
  </w:style>
  <w:style w:type="character" w:styleId="12">
    <w:name w:val="HTML Code"/>
    <w:basedOn w:val="6"/>
    <w:qFormat/>
    <w:uiPriority w:val="0"/>
    <w:rPr>
      <w:rFonts w:ascii="Courier New" w:hAnsi="Courier New"/>
      <w:sz w:val="20"/>
    </w:rPr>
  </w:style>
  <w:style w:type="character" w:styleId="13">
    <w:name w:val="HTML Keyboard"/>
    <w:basedOn w:val="6"/>
    <w:qFormat/>
    <w:uiPriority w:val="0"/>
    <w:rPr>
      <w:rFonts w:hint="default" w:ascii="Consolas" w:hAnsi="Consolas" w:eastAsia="Consolas" w:cs="Consolas"/>
      <w:color w:val="FFFFFF"/>
      <w:sz w:val="21"/>
      <w:szCs w:val="21"/>
      <w:shd w:val="clear" w:color="auto" w:fill="333333"/>
    </w:rPr>
  </w:style>
  <w:style w:type="character" w:styleId="14">
    <w:name w:val="HTML Sample"/>
    <w:basedOn w:val="6"/>
    <w:qFormat/>
    <w:uiPriority w:val="0"/>
    <w:rPr>
      <w:rFonts w:ascii="Consolas" w:hAnsi="Consolas" w:eastAsia="Consolas" w:cs="Consolas"/>
      <w:sz w:val="21"/>
      <w:szCs w:val="21"/>
    </w:rPr>
  </w:style>
  <w:style w:type="character" w:customStyle="1" w:styleId="15">
    <w:name w:val="页眉 Char"/>
    <w:basedOn w:val="6"/>
    <w:link w:val="3"/>
    <w:qFormat/>
    <w:uiPriority w:val="0"/>
    <w:rPr>
      <w:sz w:val="18"/>
      <w:szCs w:val="18"/>
    </w:rPr>
  </w:style>
  <w:style w:type="character" w:customStyle="1" w:styleId="16">
    <w:name w:val="time"/>
    <w:basedOn w:val="6"/>
    <w:qFormat/>
    <w:uiPriority w:val="0"/>
    <w:rPr>
      <w:color w:val="888888"/>
    </w:rPr>
  </w:style>
  <w:style w:type="character" w:customStyle="1" w:styleId="17">
    <w:name w:val="time1"/>
    <w:basedOn w:val="6"/>
    <w:qFormat/>
    <w:uiPriority w:val="0"/>
    <w:rPr>
      <w:color w:val="999999"/>
      <w:sz w:val="18"/>
      <w:szCs w:val="18"/>
    </w:rPr>
  </w:style>
  <w:style w:type="character" w:customStyle="1" w:styleId="18">
    <w:name w:val="time2"/>
    <w:basedOn w:val="6"/>
    <w:qFormat/>
    <w:uiPriority w:val="0"/>
    <w:rPr>
      <w:shd w:val="clear" w:color="auto" w:fill="F5F7FB"/>
    </w:rPr>
  </w:style>
  <w:style w:type="character" w:customStyle="1" w:styleId="19">
    <w:name w:val="time3"/>
    <w:basedOn w:val="6"/>
    <w:qFormat/>
    <w:uiPriority w:val="0"/>
    <w:rPr>
      <w:color w:val="888888"/>
    </w:rPr>
  </w:style>
  <w:style w:type="character" w:customStyle="1" w:styleId="20">
    <w:name w:val="time4"/>
    <w:basedOn w:val="6"/>
    <w:qFormat/>
    <w:uiPriority w:val="0"/>
    <w:rPr>
      <w:color w:val="888888"/>
    </w:rPr>
  </w:style>
  <w:style w:type="character" w:customStyle="1" w:styleId="21">
    <w:name w:val="before"/>
    <w:basedOn w:val="6"/>
    <w:qFormat/>
    <w:uiPriority w:val="0"/>
    <w:rPr>
      <w:shd w:val="clear" w:color="auto" w:fill="ECECEC"/>
    </w:rPr>
  </w:style>
  <w:style w:type="character" w:customStyle="1" w:styleId="22">
    <w:name w:val="before1"/>
    <w:basedOn w:val="6"/>
    <w:qFormat/>
    <w:uiPriority w:val="0"/>
  </w:style>
  <w:style w:type="character" w:customStyle="1" w:styleId="23">
    <w:name w:val="nth-of-type(2)"/>
    <w:basedOn w:val="6"/>
    <w:qFormat/>
    <w:uiPriority w:val="0"/>
  </w:style>
  <w:style w:type="character" w:customStyle="1" w:styleId="24">
    <w:name w:val="wx-space"/>
    <w:basedOn w:val="6"/>
    <w:qFormat/>
    <w:uiPriority w:val="0"/>
  </w:style>
  <w:style w:type="character" w:customStyle="1" w:styleId="25">
    <w:name w:val="after"/>
    <w:basedOn w:val="6"/>
    <w:qFormat/>
    <w:uiPriority w:val="0"/>
    <w:rPr>
      <w:shd w:val="clear" w:color="auto" w:fill="ECECEC"/>
    </w:rPr>
  </w:style>
  <w:style w:type="character" w:customStyle="1" w:styleId="26">
    <w:name w:val="nth-of-type(1)"/>
    <w:basedOn w:val="6"/>
    <w:qFormat/>
    <w:uiPriority w:val="0"/>
  </w:style>
  <w:style w:type="character" w:customStyle="1" w:styleId="27">
    <w:name w:val="nth-of-type(3)"/>
    <w:basedOn w:val="6"/>
    <w:qFormat/>
    <w:uiPriority w:val="0"/>
  </w:style>
  <w:style w:type="character" w:customStyle="1" w:styleId="28">
    <w:name w:val="hover15"/>
    <w:basedOn w:val="6"/>
    <w:qFormat/>
    <w:uiPriority w:val="0"/>
    <w:rPr>
      <w:color w:val="000000"/>
      <w:shd w:val="clear" w:color="auto" w:fill="FFFFFF"/>
    </w:rPr>
  </w:style>
  <w:style w:type="character" w:customStyle="1" w:styleId="29">
    <w:name w:val="bsharetext"/>
    <w:basedOn w:val="6"/>
    <w:qFormat/>
    <w:uiPriority w:val="0"/>
  </w:style>
  <w:style w:type="character" w:customStyle="1" w:styleId="30">
    <w:name w:val="zwbiaotidanqian"/>
    <w:basedOn w:val="6"/>
    <w:qFormat/>
    <w:uiPriority w:val="0"/>
  </w:style>
  <w:style w:type="character" w:customStyle="1" w:styleId="31">
    <w:name w:val="last-child3"/>
    <w:basedOn w:val="6"/>
    <w:qFormat/>
    <w:uiPriority w:val="0"/>
    <w:rPr>
      <w:color w:val="F9D452"/>
    </w:rPr>
  </w:style>
  <w:style w:type="character" w:customStyle="1" w:styleId="32">
    <w:name w:val="wx-space1"/>
    <w:basedOn w:val="6"/>
    <w:qFormat/>
    <w:uiPriority w:val="0"/>
  </w:style>
  <w:style w:type="character" w:customStyle="1" w:styleId="33">
    <w:name w:val="active3"/>
    <w:basedOn w:val="6"/>
    <w:qFormat/>
    <w:uiPriority w:val="0"/>
    <w:rPr>
      <w:shd w:val="clear" w:color="auto" w:fill="20A0E4"/>
    </w:rPr>
  </w:style>
  <w:style w:type="character" w:customStyle="1" w:styleId="34">
    <w:name w:val="active4"/>
    <w:basedOn w:val="6"/>
    <w:qFormat/>
    <w:uiPriority w:val="0"/>
    <w:rPr>
      <w:shd w:val="clear" w:color="auto" w:fill="20A0E4"/>
    </w:rPr>
  </w:style>
  <w:style w:type="character" w:customStyle="1" w:styleId="35">
    <w:name w:val="select2-selection__rendered"/>
    <w:basedOn w:val="6"/>
    <w:qFormat/>
    <w:uiPriority w:val="0"/>
    <w:rPr>
      <w:sz w:val="18"/>
      <w:szCs w:val="18"/>
    </w:rPr>
  </w:style>
  <w:style w:type="character" w:customStyle="1" w:styleId="36">
    <w:name w:val="hover36"/>
    <w:basedOn w:val="6"/>
    <w:qFormat/>
    <w:uiPriority w:val="0"/>
    <w:rPr>
      <w:color w:val="000000"/>
      <w:shd w:val="clear" w:color="auto" w:fill="FFFFFF"/>
    </w:rPr>
  </w:style>
  <w:style w:type="character" w:customStyle="1" w:styleId="37">
    <w:name w:val="box6"/>
    <w:basedOn w:val="6"/>
    <w:qFormat/>
    <w:uiPriority w:val="0"/>
    <w:rPr>
      <w:rFonts w:ascii="寰蒋闆呴粦" w:hAnsi="寰蒋闆呴粦" w:eastAsia="寰蒋闆呴粦" w:cs="寰蒋闆呴粦"/>
      <w:sz w:val="21"/>
      <w:szCs w:val="21"/>
    </w:rPr>
  </w:style>
  <w:style w:type="character" w:customStyle="1" w:styleId="38">
    <w:name w:val="nth-of-type(2)1"/>
    <w:basedOn w:val="6"/>
    <w:qFormat/>
    <w:uiPriority w:val="0"/>
  </w:style>
  <w:style w:type="character" w:customStyle="1" w:styleId="39">
    <w:name w:val="before5"/>
    <w:basedOn w:val="6"/>
    <w:qFormat/>
    <w:uiPriority w:val="0"/>
    <w:rPr>
      <w:shd w:val="clear" w:color="auto" w:fill="ECECEC"/>
    </w:rPr>
  </w:style>
  <w:style w:type="character" w:customStyle="1" w:styleId="40">
    <w:name w:val="before6"/>
    <w:basedOn w:val="6"/>
    <w:qFormat/>
    <w:uiPriority w:val="0"/>
  </w:style>
  <w:style w:type="paragraph" w:styleId="41">
    <w:name w:val="No Spacing"/>
    <w:qFormat/>
    <w:uiPriority w:val="1"/>
    <w:pPr>
      <w:widowControl w:val="0"/>
      <w:ind w:left="709"/>
      <w:jc w:val="both"/>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4180;\&#32508;&#21512;&#32929;\2022&#24180;\2021&#24180;&#32489;&#25928;&#35780;&#20272;\&#28583;&#21439;&#36130;&#25919;&#23616;&#20851;&#20110;&#24320;&#23637;2021&#24180;&#24230;&#39044;&#31639;&#25903;&#20986;&#32489;&#25928;&#33258;&#35780;&#24037;&#20316;&#30340;&#36890;&#30693;\&#28583;&#21439;&#36130;&#25919;&#23616;&#20851;&#20110;&#24320;&#23637;2021&#24180;&#24230;&#39044;&#31639;&#25903;&#20986;&#32489;&#25928;&#33258;&#35780;&#24037;&#20316;&#30340;&#36890;&#30693;\&#28583;&#21439;&#36130;&#25919;&#23616;&#20851;&#20110;&#24320;&#23637;2021&#24180;&#24230;&#39044;&#31639;&#25903;&#20986;&#32489;&#25928;&#33258;&#35780;&#24037;&#20316;&#30340;&#36890;&#30693;\&#38468;&#20214;6&#65306;2021&#24180;&#24230;&#37096;&#38376;&#25972;&#20307;&#25903;&#20986;&#32489;&#25928;&#33258;&#35780;&#25253;&#21578;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附件6：2021年度部门整体支出绩效自评报告1.dot</Template>
  <Pages>9</Pages>
  <Words>4476</Words>
  <Characters>4652</Characters>
  <Lines>4</Lines>
  <Paragraphs>1</Paragraphs>
  <TotalTime>12</TotalTime>
  <ScaleCrop>false</ScaleCrop>
  <LinksUpToDate>false</LinksUpToDate>
  <CharactersWithSpaces>4683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2022-06-09T01:31:00Z</dcterms:created>
  <dc:creator>Administrator</dc:creator>
  <cp:lastModifiedBy>ET</cp:lastModifiedBy>
  <cp:lastPrinted>2022-06-27T09:12:14Z</cp:lastPrinted>
  <dcterms:modified xsi:type="dcterms:W3CDTF">2022-06-27T09:13:28Z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F574D33BB67C48AE86D88086BA385C57</vt:lpwstr>
  </property>
</Properties>
</file>