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19" w:rsidRPr="00981C3B" w:rsidRDefault="002A7419">
      <w:pPr>
        <w:rPr>
          <w:rFonts w:ascii="Times New Roman" w:eastAsia="仿宋_GB2312" w:hAnsi="Times New Roman"/>
          <w:sz w:val="28"/>
          <w:szCs w:val="28"/>
        </w:rPr>
      </w:pPr>
      <w:r w:rsidRPr="00981C3B">
        <w:rPr>
          <w:rFonts w:ascii="Times New Roman" w:eastAsia="仿宋_GB2312" w:hAnsi="Times New Roman" w:hint="eastAsia"/>
          <w:sz w:val="28"/>
          <w:szCs w:val="28"/>
        </w:rPr>
        <w:t>附件</w:t>
      </w:r>
      <w:r w:rsidRPr="00981C3B">
        <w:rPr>
          <w:rFonts w:ascii="Times New Roman" w:eastAsia="仿宋_GB2312" w:hAnsi="Times New Roman"/>
          <w:sz w:val="28"/>
          <w:szCs w:val="28"/>
        </w:rPr>
        <w:t>6</w:t>
      </w:r>
    </w:p>
    <w:p w:rsidR="002A7419" w:rsidRPr="00F07D7E" w:rsidRDefault="002A7419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7419" w:rsidRPr="00F07D7E" w:rsidRDefault="002A7419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7419" w:rsidRPr="00F07D7E" w:rsidRDefault="002A7419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7419" w:rsidRPr="00F07D7E" w:rsidRDefault="002A7419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7419" w:rsidRDefault="002A7419">
      <w:pPr>
        <w:jc w:val="center"/>
        <w:rPr>
          <w:rFonts w:ascii="Times New Roman" w:hAnsi="Times New Roman"/>
          <w:b/>
          <w:sz w:val="48"/>
          <w:szCs w:val="48"/>
        </w:rPr>
      </w:pPr>
      <w:r w:rsidRPr="00F07D7E">
        <w:rPr>
          <w:rFonts w:ascii="Times New Roman" w:hAnsi="Times New Roman"/>
          <w:b/>
          <w:sz w:val="48"/>
          <w:szCs w:val="48"/>
        </w:rPr>
        <w:t>2021</w:t>
      </w:r>
      <w:r w:rsidRPr="00F07D7E">
        <w:rPr>
          <w:rFonts w:ascii="Times New Roman" w:hAnsi="Times New Roman" w:hint="eastAsia"/>
          <w:b/>
          <w:sz w:val="48"/>
          <w:szCs w:val="48"/>
        </w:rPr>
        <w:t>年度</w:t>
      </w:r>
      <w:r>
        <w:rPr>
          <w:rFonts w:ascii="Times New Roman" w:hAnsi="Times New Roman" w:hint="eastAsia"/>
          <w:b/>
          <w:sz w:val="48"/>
          <w:szCs w:val="48"/>
        </w:rPr>
        <w:t>澧县观音港电动排灌管理站</w:t>
      </w:r>
    </w:p>
    <w:p w:rsidR="002A7419" w:rsidRPr="00F07D7E" w:rsidRDefault="002A7419" w:rsidP="000A3670">
      <w:pPr>
        <w:jc w:val="center"/>
        <w:rPr>
          <w:rFonts w:ascii="Times New Roman" w:hAnsi="Times New Roman"/>
          <w:b/>
          <w:sz w:val="48"/>
          <w:szCs w:val="48"/>
        </w:rPr>
      </w:pPr>
      <w:r w:rsidRPr="00F07D7E">
        <w:rPr>
          <w:rFonts w:ascii="Times New Roman" w:hAnsi="Times New Roman" w:hint="eastAsia"/>
          <w:b/>
          <w:sz w:val="48"/>
          <w:szCs w:val="48"/>
        </w:rPr>
        <w:t>整体支出绩效自评报告</w:t>
      </w:r>
    </w:p>
    <w:p w:rsidR="002A7419" w:rsidRPr="00F07D7E" w:rsidRDefault="002A7419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2A7419" w:rsidRPr="00F07D7E" w:rsidRDefault="002A7419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2A7419" w:rsidRPr="00F07D7E" w:rsidRDefault="002A7419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2A7419" w:rsidRPr="00981C3B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F07D7E">
        <w:rPr>
          <w:rFonts w:ascii="Times New Roman" w:eastAsia="仿宋_GB2312" w:hAnsi="Times New Roman" w:hint="eastAsia"/>
          <w:sz w:val="32"/>
          <w:szCs w:val="32"/>
        </w:rPr>
        <w:t>单位名称：（盖章）</w:t>
      </w:r>
    </w:p>
    <w:p w:rsidR="002A7419" w:rsidRPr="00F07D7E" w:rsidRDefault="002A7419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 w:rsidRPr="00F07D7E">
        <w:rPr>
          <w:rFonts w:ascii="Times New Roman" w:eastAsia="仿宋_GB2312" w:hAnsi="Times New Roman" w:hint="eastAsia"/>
          <w:sz w:val="32"/>
          <w:szCs w:val="32"/>
        </w:rPr>
        <w:t>年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6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</w:t>
      </w:r>
      <w:r w:rsidRPr="00F07D7E">
        <w:rPr>
          <w:rFonts w:ascii="Times New Roman" w:eastAsia="仿宋_GB2312" w:hAnsi="Times New Roman" w:hint="eastAsia"/>
          <w:sz w:val="32"/>
          <w:szCs w:val="32"/>
        </w:rPr>
        <w:t>月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8</w:t>
      </w:r>
      <w:r w:rsidRPr="00F07D7E">
        <w:rPr>
          <w:rFonts w:ascii="Times New Roman" w:eastAsia="仿宋_GB2312" w:hAnsi="Times New Roman"/>
          <w:sz w:val="32"/>
          <w:szCs w:val="32"/>
        </w:rPr>
        <w:t xml:space="preserve"> </w:t>
      </w:r>
      <w:r w:rsidRPr="00F07D7E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A7419" w:rsidRPr="00F07D7E" w:rsidRDefault="002A7419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Pr="00F07D7E" w:rsidRDefault="002A7419">
      <w:pPr>
        <w:rPr>
          <w:rFonts w:ascii="Times New Roman" w:eastAsia="仿宋_GB2312" w:hAnsi="Times New Roman"/>
          <w:sz w:val="32"/>
          <w:szCs w:val="32"/>
        </w:rPr>
      </w:pPr>
    </w:p>
    <w:p w:rsidR="002A7419" w:rsidRDefault="002A7419">
      <w:pPr>
        <w:spacing w:line="58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2A7419" w:rsidRDefault="002A7419" w:rsidP="00CF6DE9"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2021</w:t>
      </w:r>
      <w:r>
        <w:rPr>
          <w:rFonts w:ascii="Times New Roman" w:hAnsi="Times New Roman" w:hint="eastAsia"/>
          <w:b/>
          <w:sz w:val="44"/>
          <w:szCs w:val="44"/>
        </w:rPr>
        <w:t>年度澧县观音港电动排灌管理站</w:t>
      </w:r>
    </w:p>
    <w:p w:rsidR="002A7419" w:rsidRDefault="002A7419" w:rsidP="000A3670"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整体支出绩效自评报告</w:t>
      </w:r>
    </w:p>
    <w:p w:rsidR="002A7419" w:rsidRDefault="002A7419" w:rsidP="000A3670">
      <w:pPr>
        <w:widowControl/>
        <w:spacing w:line="560" w:lineRule="exact"/>
        <w:ind w:firstLine="640"/>
        <w:rPr>
          <w:rFonts w:ascii="Times New Roman" w:eastAsia="仿宋_GB2312" w:hAnsi="Times New Roman"/>
          <w:color w:val="222222"/>
          <w:sz w:val="32"/>
          <w:szCs w:val="32"/>
        </w:rPr>
      </w:pPr>
    </w:p>
    <w:p w:rsidR="002A741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</w:rPr>
        <w:t>一、部门基本情况</w:t>
      </w:r>
    </w:p>
    <w:p w:rsidR="002A741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单位现有干部职工</w:t>
      </w:r>
      <w:r>
        <w:rPr>
          <w:rFonts w:ascii="仿宋" w:eastAsia="仿宋" w:hAnsi="仿宋" w:cs="仿宋"/>
          <w:sz w:val="30"/>
          <w:szCs w:val="30"/>
        </w:rPr>
        <w:t>64</w:t>
      </w:r>
      <w:r>
        <w:rPr>
          <w:rFonts w:ascii="仿宋" w:eastAsia="仿宋" w:hAnsi="仿宋" w:cs="仿宋" w:hint="eastAsia"/>
          <w:sz w:val="30"/>
          <w:szCs w:val="30"/>
        </w:rPr>
        <w:t>人，其中在岗</w:t>
      </w:r>
      <w:r>
        <w:rPr>
          <w:rFonts w:ascii="仿宋" w:eastAsia="仿宋" w:hAnsi="仿宋" w:cs="仿宋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人，分流人员</w:t>
      </w:r>
      <w:r>
        <w:rPr>
          <w:rFonts w:ascii="仿宋" w:eastAsia="仿宋" w:hAnsi="仿宋" w:cs="仿宋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人，退休</w:t>
      </w:r>
      <w:r>
        <w:rPr>
          <w:rFonts w:ascii="仿宋" w:eastAsia="仿宋" w:hAnsi="仿宋" w:cs="仿宋"/>
          <w:sz w:val="30"/>
          <w:szCs w:val="30"/>
        </w:rPr>
        <w:t>27</w:t>
      </w:r>
      <w:r>
        <w:rPr>
          <w:rFonts w:ascii="仿宋" w:eastAsia="仿宋" w:hAnsi="仿宋" w:cs="仿宋" w:hint="eastAsia"/>
          <w:sz w:val="30"/>
          <w:szCs w:val="30"/>
        </w:rPr>
        <w:t>人。单位内设股室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个，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分别是办公室、财务股、政工股、水政股、机电股、工会。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</w:rPr>
        <w:t>（二）</w:t>
      </w:r>
      <w:r>
        <w:rPr>
          <w:rFonts w:ascii="仿宋" w:eastAsia="仿宋" w:hAnsi="仿宋" w:cs="仿宋"/>
          <w:color w:val="222222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单位主要职责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1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）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认真学习和贯彻执行《中华人民共和国水法》、《中华人民共和国水土保持法》、《中华人民共和国防洪法》、《水政处罚实施办法》等相关法律法规。严厉打击破坏水利设施的违法行为。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br/>
        <w:t xml:space="preserve">    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2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）及时了解排区汛情，适时开机排渍，为排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区农作物丰收提供强有力的保障。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3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）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负责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泵站机组及水工设备设施的日常运行管理与维护。包括主机、辅机系统、高压输电设备、启闭机台、拦污栅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以及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上下</w:t>
      </w:r>
      <w:r>
        <w:rPr>
          <w:rFonts w:ascii="仿宋" w:eastAsia="仿宋" w:hAnsi="仿宋" w:cs="仿宋"/>
          <w:color w:val="222222"/>
          <w:sz w:val="30"/>
          <w:szCs w:val="30"/>
        </w:rPr>
        <w:t>2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㎞出水口及</w:t>
      </w:r>
      <w:r>
        <w:rPr>
          <w:rFonts w:ascii="仿宋" w:eastAsia="仿宋" w:hAnsi="仿宋" w:cs="仿宋"/>
          <w:color w:val="222222"/>
          <w:sz w:val="30"/>
          <w:szCs w:val="30"/>
        </w:rPr>
        <w:t>0.8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㎞引水渠的维护，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确保机组正常运行，确保各类水工设施的安全、完整。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br/>
        <w:t xml:space="preserve">    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4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）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积极向上级汇报泵站情况，争取项目资金，对泵站设备设施进行维修养护，确保汛期开机万无一失。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br/>
        <w:t xml:space="preserve">    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5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）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积极承办上级部门交办的其他工作任务。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二、一般公共预算支出情况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收入包括一般公共预算拨款经费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拨款和上级补助收入；支出包括保障本单位基本运行的经费，也包括泵站机组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维修费。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、收入预算：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2021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年年初预算数</w:t>
      </w:r>
      <w:r>
        <w:rPr>
          <w:rFonts w:ascii="仿宋" w:eastAsia="仿宋" w:hAnsi="仿宋" w:cs="仿宋"/>
          <w:color w:val="222222"/>
          <w:sz w:val="30"/>
          <w:szCs w:val="30"/>
        </w:rPr>
        <w:t>287.67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万元，其中，一般公共预算拨款</w:t>
      </w:r>
      <w:r>
        <w:rPr>
          <w:rFonts w:ascii="仿宋" w:eastAsia="仿宋" w:hAnsi="仿宋" w:cs="仿宋"/>
          <w:color w:val="222222"/>
          <w:sz w:val="30"/>
          <w:szCs w:val="30"/>
        </w:rPr>
        <w:t>255.67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万元，上级补助收入</w:t>
      </w:r>
      <w:r>
        <w:rPr>
          <w:rFonts w:ascii="仿宋" w:eastAsia="仿宋" w:hAnsi="仿宋" w:cs="仿宋"/>
          <w:color w:val="222222"/>
          <w:sz w:val="30"/>
          <w:szCs w:val="30"/>
        </w:rPr>
        <w:t>32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2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、支出预算：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2021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年年初预算</w:t>
      </w:r>
      <w:r>
        <w:rPr>
          <w:rFonts w:ascii="仿宋" w:eastAsia="仿宋" w:hAnsi="仿宋" w:cs="仿宋"/>
          <w:color w:val="222222"/>
          <w:sz w:val="30"/>
          <w:szCs w:val="30"/>
        </w:rPr>
        <w:t>287.67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万元，其中，农林水支出</w:t>
      </w:r>
      <w:r>
        <w:rPr>
          <w:rFonts w:ascii="仿宋" w:eastAsia="仿宋" w:hAnsi="仿宋" w:cs="仿宋"/>
          <w:color w:val="222222"/>
          <w:sz w:val="30"/>
          <w:szCs w:val="30"/>
        </w:rPr>
        <w:t>212.57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万元，社会保障和就业支出</w:t>
      </w:r>
      <w:r>
        <w:rPr>
          <w:rFonts w:ascii="仿宋" w:eastAsia="仿宋" w:hAnsi="仿宋" w:cs="仿宋"/>
          <w:color w:val="222222"/>
          <w:sz w:val="30"/>
          <w:szCs w:val="30"/>
        </w:rPr>
        <w:t>60.77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万元，住房保障支出</w:t>
      </w:r>
      <w:r>
        <w:rPr>
          <w:rFonts w:ascii="仿宋" w:eastAsia="仿宋" w:hAnsi="仿宋" w:cs="仿宋"/>
          <w:color w:val="222222"/>
          <w:sz w:val="30"/>
          <w:szCs w:val="30"/>
        </w:rPr>
        <w:t>14.33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2021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年一般公共预算拨款收入</w:t>
      </w:r>
      <w:r>
        <w:rPr>
          <w:rFonts w:ascii="仿宋" w:eastAsia="仿宋" w:hAnsi="仿宋" w:cs="仿宋"/>
          <w:color w:val="222222"/>
          <w:sz w:val="30"/>
          <w:szCs w:val="30"/>
        </w:rPr>
        <w:t>255.67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万元，具体安排情况如下：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）基本支出：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2021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年基本支出年初预算数为</w:t>
      </w:r>
      <w:r>
        <w:rPr>
          <w:rFonts w:ascii="仿宋" w:eastAsia="仿宋" w:hAnsi="仿宋" w:cs="仿宋"/>
          <w:color w:val="222222"/>
          <w:sz w:val="30"/>
          <w:szCs w:val="30"/>
        </w:rPr>
        <w:t>247.67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万元，是指为保障单位机构正常运转、完成日常工作任务而发生的各项支出，包括用于基本工资、绩效工资等人员经费以及办公费、印刷费、水电费、办公设备购置等日常公用经费。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（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2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）项目支出：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2021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年项目支出年初预算数为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8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万元，是指单位为完成防汛排渍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对机组及其附属设备的维修保养费用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，确保辖区农业丰收而发生的专项支出。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bookmarkStart w:id="0" w:name="_GoBack"/>
      <w:bookmarkEnd w:id="0"/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三、政府性基金预算支出情况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我单位无政府性基金预算。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四、国有资本经营预算支出情况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我单位无国有资本经营预算。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五、社会保险基金预算支出情况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我单位无社会保险基金预算。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六、单位整体支出绩效情况</w:t>
      </w:r>
    </w:p>
    <w:p w:rsidR="002A741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</w:rPr>
        <w:t>（一）部门绩效总目标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搞好站内机组及水工设备设施的日常运行管理与维护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，确保机组正常运行，确保各类水工设备设施的安全、完整。根据排区雨情、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汛情，适时开机排渍，保证辖区农作物丰收。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 xml:space="preserve"> </w:t>
      </w:r>
    </w:p>
    <w:p w:rsidR="002A741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 w:hint="eastAsia"/>
          <w:color w:val="222222"/>
          <w:sz w:val="30"/>
          <w:szCs w:val="30"/>
        </w:rPr>
        <w:t>（二）</w:t>
      </w:r>
      <w:r>
        <w:rPr>
          <w:rFonts w:ascii="仿宋" w:eastAsia="仿宋" w:hAnsi="仿宋" w:cs="仿宋"/>
          <w:color w:val="222222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年度部门绩效目标完成情况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、对站内主电机、辅机系统进行日常维修养护，确保机组设备正常运行。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2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、对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开关站进行维修保养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3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、对外河防洪门、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启闭机台、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拦污栅等水工设施进行维修养护，确保水工设施安全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、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完整。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4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、对</w:t>
      </w:r>
      <w:r>
        <w:rPr>
          <w:rFonts w:ascii="仿宋" w:eastAsia="仿宋" w:hAnsi="仿宋" w:cs="仿宋"/>
          <w:color w:val="222222"/>
          <w:sz w:val="30"/>
          <w:szCs w:val="30"/>
        </w:rPr>
        <w:t>0.8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km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引水渠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、</w:t>
      </w:r>
      <w:r>
        <w:rPr>
          <w:rFonts w:ascii="仿宋" w:eastAsia="仿宋" w:hAnsi="仿宋" w:cs="仿宋"/>
          <w:color w:val="222222"/>
          <w:sz w:val="30"/>
          <w:szCs w:val="30"/>
        </w:rPr>
        <w:t>2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km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出水口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进行扫障除杂，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确保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渠道畅通。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5</w:t>
      </w:r>
      <w:r>
        <w:rPr>
          <w:rFonts w:ascii="仿宋" w:eastAsia="仿宋" w:hAnsi="仿宋" w:cs="仿宋" w:hint="eastAsia"/>
          <w:color w:val="222222"/>
          <w:sz w:val="30"/>
          <w:szCs w:val="30"/>
        </w:rPr>
        <w:t>、服务地方经济发展。根据排区雨情、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汛情，适是开机排渍，确保辖区农作物免受渍涝灾害，为辖区农作物丰收提供强有力支撑。服务对象满意度达到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90%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以上。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6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、加强组织建设，大力改进站风，加强经费及资产管理，降低行政成本。完善机关有关制度。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7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、加强站内机组及水工设备设施的日常运行管理与维护，确保汛期开机万无一失。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</w:rPr>
        <w:t>七、</w:t>
      </w: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绩效评价工作情况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/>
          <w:color w:val="222222"/>
          <w:sz w:val="30"/>
          <w:szCs w:val="30"/>
        </w:rPr>
        <w:t>2021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年，我单位按照财政绩效评价要求，结合本单位实际情况，成立绩效评价领导小组，确定合理的绩效评价指标体系，针对项目完成质量、财务管理制度、项目产生的效益目标、满意度问卷调查等进行详细记录、量化打分。针对部门支出绩效评价指标进行量化打分。结合综合评价结果形成评价报告征求意见稿，详列评价过程中发现的问题，并提出整改意见，出具绩效评价报告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</w:rPr>
        <w:t>八、</w:t>
      </w: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综合评价结果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>
        <w:rPr>
          <w:rFonts w:ascii="仿宋" w:eastAsia="仿宋" w:hAnsi="仿宋" w:cs="仿宋"/>
          <w:color w:val="222222"/>
          <w:sz w:val="30"/>
          <w:szCs w:val="30"/>
        </w:rPr>
        <w:t xml:space="preserve"> 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评价领导小组对项目完成质量、财务管理制度、项目产生的效益目标、满意度问卷调查等综合评价，评价结果良好。部门整体支出绩效评价量化打分，得分</w:t>
      </w:r>
      <w:r w:rsidRPr="00CF6DE9">
        <w:rPr>
          <w:rFonts w:ascii="仿宋" w:eastAsia="仿宋" w:hAnsi="仿宋" w:cs="仿宋"/>
          <w:color w:val="222222"/>
          <w:sz w:val="30"/>
          <w:szCs w:val="30"/>
        </w:rPr>
        <w:t>98</w:t>
      </w: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分，总体评价结果良好。</w:t>
      </w:r>
    </w:p>
    <w:p w:rsidR="002A7419" w:rsidRPr="00CF6DE9" w:rsidRDefault="002A7419" w:rsidP="000A3670">
      <w:pPr>
        <w:widowControl/>
        <w:ind w:firstLineChars="200" w:firstLine="640"/>
        <w:rPr>
          <w:rFonts w:ascii="黑体" w:eastAsia="黑体" w:hAnsi="黑体" w:cs="黑体"/>
          <w:color w:val="222222"/>
          <w:sz w:val="32"/>
          <w:szCs w:val="32"/>
        </w:rPr>
      </w:pPr>
      <w:r w:rsidRPr="00CF6DE9">
        <w:rPr>
          <w:rFonts w:ascii="黑体" w:eastAsia="黑体" w:hAnsi="黑体" w:cs="黑体" w:hint="eastAsia"/>
          <w:color w:val="222222"/>
          <w:sz w:val="32"/>
          <w:szCs w:val="32"/>
        </w:rPr>
        <w:t>九、存在的问题及原因分析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  <w:r w:rsidRPr="00CF6DE9">
        <w:rPr>
          <w:rFonts w:ascii="仿宋" w:eastAsia="仿宋" w:hAnsi="仿宋" w:cs="仿宋" w:hint="eastAsia"/>
          <w:color w:val="222222"/>
          <w:sz w:val="30"/>
          <w:szCs w:val="30"/>
        </w:rPr>
        <w:t>由于绩效评价工作开展时间短，涉及面广，专业性强，绩效评价管理制度尚不健全，绩效评价指标体系还不完善，对绩效评价工作还不够重视，认为绩效评价只是财务部门的事，相关项目职责部门配合不够等原因，在一定程度上影响了绩效评价工作质量。</w:t>
      </w: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</w:p>
    <w:p w:rsidR="002A7419" w:rsidRPr="00CF6DE9" w:rsidRDefault="002A7419" w:rsidP="000A3670">
      <w:pPr>
        <w:widowControl/>
        <w:shd w:val="clear" w:color="auto" w:fill="FFFFFF"/>
        <w:spacing w:line="600" w:lineRule="atLeast"/>
        <w:ind w:firstLineChars="200" w:firstLine="600"/>
        <w:jc w:val="left"/>
        <w:rPr>
          <w:rFonts w:ascii="仿宋" w:eastAsia="仿宋" w:hAnsi="仿宋" w:cs="仿宋"/>
          <w:color w:val="222222"/>
          <w:sz w:val="30"/>
          <w:szCs w:val="30"/>
        </w:rPr>
      </w:pPr>
    </w:p>
    <w:sectPr w:rsidR="002A7419" w:rsidRPr="00CF6DE9" w:rsidSect="00B9329D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19" w:rsidRDefault="002A7419" w:rsidP="00F07D7E">
      <w:r>
        <w:separator/>
      </w:r>
    </w:p>
  </w:endnote>
  <w:endnote w:type="continuationSeparator" w:id="0">
    <w:p w:rsidR="002A7419" w:rsidRDefault="002A7419" w:rsidP="00F0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19" w:rsidRDefault="002A7419" w:rsidP="00F07D7E">
      <w:r>
        <w:separator/>
      </w:r>
    </w:p>
  </w:footnote>
  <w:footnote w:type="continuationSeparator" w:id="0">
    <w:p w:rsidR="002A7419" w:rsidRDefault="002A7419" w:rsidP="00F07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C64"/>
    <w:multiLevelType w:val="hybridMultilevel"/>
    <w:tmpl w:val="67FCBFE2"/>
    <w:lvl w:ilvl="0" w:tplc="C63A46F4">
      <w:start w:val="7"/>
      <w:numFmt w:val="japaneseCounting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D94564"/>
    <w:rsid w:val="00023939"/>
    <w:rsid w:val="000A3670"/>
    <w:rsid w:val="0015323E"/>
    <w:rsid w:val="001B7DC3"/>
    <w:rsid w:val="00226E16"/>
    <w:rsid w:val="002A7419"/>
    <w:rsid w:val="002E1183"/>
    <w:rsid w:val="003365ED"/>
    <w:rsid w:val="003929F6"/>
    <w:rsid w:val="004B3093"/>
    <w:rsid w:val="005A3C2A"/>
    <w:rsid w:val="005B1BAF"/>
    <w:rsid w:val="00626EFA"/>
    <w:rsid w:val="006638A9"/>
    <w:rsid w:val="0078553D"/>
    <w:rsid w:val="007859C1"/>
    <w:rsid w:val="007E5281"/>
    <w:rsid w:val="007F1240"/>
    <w:rsid w:val="0085501F"/>
    <w:rsid w:val="00981C3B"/>
    <w:rsid w:val="009942A8"/>
    <w:rsid w:val="00A36BC5"/>
    <w:rsid w:val="00AF797A"/>
    <w:rsid w:val="00B148A3"/>
    <w:rsid w:val="00B34B54"/>
    <w:rsid w:val="00B415B1"/>
    <w:rsid w:val="00B45373"/>
    <w:rsid w:val="00B61F79"/>
    <w:rsid w:val="00B9329D"/>
    <w:rsid w:val="00BC04E7"/>
    <w:rsid w:val="00C13285"/>
    <w:rsid w:val="00C140B6"/>
    <w:rsid w:val="00CF6DE9"/>
    <w:rsid w:val="00D4318A"/>
    <w:rsid w:val="00D63937"/>
    <w:rsid w:val="00E40EA6"/>
    <w:rsid w:val="00F07D7E"/>
    <w:rsid w:val="00F92C09"/>
    <w:rsid w:val="02E602C3"/>
    <w:rsid w:val="0569626F"/>
    <w:rsid w:val="1F5E5F75"/>
    <w:rsid w:val="225C4890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9D"/>
    <w:pPr>
      <w:widowControl w:val="0"/>
      <w:jc w:val="both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65ED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329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F6DE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ListParagraph">
    <w:name w:val="List Paragraph"/>
    <w:basedOn w:val="Normal"/>
    <w:uiPriority w:val="99"/>
    <w:qFormat/>
    <w:rsid w:val="00CF6DE9"/>
    <w:pPr>
      <w:ind w:firstLineChars="200" w:firstLine="420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5</Pages>
  <Words>271</Words>
  <Characters>1549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小明同学</dc:creator>
  <cp:keywords/>
  <dc:description/>
  <cp:lastModifiedBy>shendu</cp:lastModifiedBy>
  <cp:revision>5</cp:revision>
  <cp:lastPrinted>2022-06-07T03:01:00Z</cp:lastPrinted>
  <dcterms:created xsi:type="dcterms:W3CDTF">2022-06-09T08:09:00Z</dcterms:created>
  <dcterms:modified xsi:type="dcterms:W3CDTF">2022-06-12T12:49:00Z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2C748869A0314D468FCA60B514AE4557</vt:lpwstr>
  </property>
</Properties>
</file>