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 w:hAnsi="仿宋" w:eastAsia="仿宋" w:cs="仿宋_GB2312"/>
          <w:sz w:val="32"/>
          <w:szCs w:val="32"/>
        </w:rPr>
      </w:pPr>
      <w:r>
        <w:rPr>
          <w:rFonts w:hint="eastAsia" w:ascii="仿宋" w:hAnsi="仿宋" w:eastAsia="仿宋" w:cs="仿宋_GB2312"/>
          <w:sz w:val="32"/>
          <w:szCs w:val="32"/>
        </w:rPr>
        <w:t>附件2：</w:t>
      </w:r>
    </w:p>
    <w:p>
      <w:pPr>
        <w:spacing w:line="560" w:lineRule="exact"/>
        <w:jc w:val="center"/>
        <w:rPr>
          <w:rFonts w:ascii="Times New Roman" w:hAnsi="Times New Roman" w:eastAsia="方正小标宋_GBK" w:cs="Times New Roman"/>
          <w:b/>
          <w:bCs/>
          <w:kern w:val="0"/>
          <w:sz w:val="36"/>
          <w:szCs w:val="36"/>
        </w:rPr>
      </w:pPr>
    </w:p>
    <w:p>
      <w:pPr>
        <w:spacing w:line="560" w:lineRule="exact"/>
        <w:jc w:val="center"/>
        <w:rPr>
          <w:rFonts w:ascii="Times New Roman" w:hAnsi="Times New Roman" w:cs="Times New Roman"/>
          <w:b/>
          <w:bCs/>
          <w:kern w:val="0"/>
          <w:sz w:val="44"/>
          <w:szCs w:val="44"/>
        </w:rPr>
      </w:pPr>
      <w:r>
        <w:rPr>
          <w:rFonts w:ascii="Times New Roman" w:hAnsi="Times New Roman" w:cs="Times New Roman"/>
          <w:b/>
          <w:bCs/>
          <w:kern w:val="0"/>
          <w:sz w:val="44"/>
          <w:szCs w:val="44"/>
        </w:rPr>
        <w:t>20</w:t>
      </w:r>
      <w:r>
        <w:rPr>
          <w:rFonts w:hint="eastAsia" w:ascii="Times New Roman" w:hAnsi="Times New Roman" w:cs="Times New Roman"/>
          <w:b/>
          <w:bCs/>
          <w:kern w:val="0"/>
          <w:sz w:val="44"/>
          <w:szCs w:val="44"/>
        </w:rPr>
        <w:t>21</w:t>
      </w:r>
      <w:r>
        <w:rPr>
          <w:rFonts w:hint="eastAsia" w:ascii="Times New Roman" w:hAnsi="Times New Roman" w:cs="宋体"/>
          <w:b/>
          <w:bCs/>
          <w:kern w:val="0"/>
          <w:sz w:val="44"/>
          <w:szCs w:val="44"/>
        </w:rPr>
        <w:t>年度澧县洈水灌区管理处</w:t>
      </w:r>
    </w:p>
    <w:p>
      <w:pPr>
        <w:spacing w:line="560" w:lineRule="exact"/>
        <w:jc w:val="center"/>
        <w:rPr>
          <w:rFonts w:ascii="Times New Roman" w:hAnsi="Times New Roman" w:cs="宋体"/>
          <w:b/>
          <w:bCs/>
          <w:kern w:val="0"/>
          <w:sz w:val="44"/>
          <w:szCs w:val="44"/>
        </w:rPr>
      </w:pPr>
      <w:r>
        <w:rPr>
          <w:rFonts w:hint="eastAsia" w:ascii="Times New Roman" w:hAnsi="Times New Roman" w:cs="宋体"/>
          <w:b/>
          <w:bCs/>
          <w:kern w:val="0"/>
          <w:sz w:val="44"/>
          <w:szCs w:val="44"/>
        </w:rPr>
        <w:t>部门整体支出绩效评价报告</w:t>
      </w:r>
    </w:p>
    <w:p>
      <w:pPr>
        <w:spacing w:line="560" w:lineRule="exact"/>
        <w:jc w:val="center"/>
        <w:rPr>
          <w:rFonts w:ascii="Times New Roman" w:hAnsi="Times New Roman" w:cs="Times New Roman"/>
          <w:b/>
          <w:bCs/>
          <w:kern w:val="0"/>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按照中发〔</w:t>
      </w:r>
      <w:r>
        <w:rPr>
          <w:rFonts w:ascii="仿宋" w:hAnsi="仿宋" w:eastAsia="仿宋" w:cs="Times New Roman"/>
          <w:sz w:val="32"/>
          <w:szCs w:val="32"/>
        </w:rPr>
        <w:t>20</w:t>
      </w:r>
      <w:r>
        <w:rPr>
          <w:rFonts w:hint="eastAsia" w:ascii="仿宋" w:hAnsi="仿宋" w:eastAsia="仿宋" w:cs="Times New Roman"/>
          <w:sz w:val="32"/>
          <w:szCs w:val="32"/>
        </w:rPr>
        <w:t>18〕34号、湘办法〔</w:t>
      </w:r>
      <w:r>
        <w:rPr>
          <w:rFonts w:ascii="仿宋" w:hAnsi="仿宋" w:eastAsia="仿宋" w:cs="Times New Roman"/>
          <w:sz w:val="32"/>
          <w:szCs w:val="32"/>
        </w:rPr>
        <w:t>20</w:t>
      </w:r>
      <w:r>
        <w:rPr>
          <w:rFonts w:hint="eastAsia" w:ascii="仿宋" w:hAnsi="仿宋" w:eastAsia="仿宋" w:cs="Times New Roman"/>
          <w:sz w:val="32"/>
          <w:szCs w:val="32"/>
        </w:rPr>
        <w:t>19〕10号、湘财绩〔</w:t>
      </w:r>
      <w:r>
        <w:rPr>
          <w:rFonts w:ascii="仿宋" w:hAnsi="仿宋" w:eastAsia="仿宋" w:cs="Times New Roman"/>
          <w:sz w:val="32"/>
          <w:szCs w:val="32"/>
        </w:rPr>
        <w:t>202</w:t>
      </w:r>
      <w:r>
        <w:rPr>
          <w:rFonts w:hint="eastAsia" w:ascii="仿宋" w:hAnsi="仿宋" w:eastAsia="仿宋" w:cs="Times New Roman"/>
          <w:sz w:val="32"/>
          <w:szCs w:val="32"/>
        </w:rPr>
        <w:t>0〕7号和澧财发〔</w:t>
      </w:r>
      <w:r>
        <w:rPr>
          <w:rFonts w:ascii="仿宋" w:hAnsi="仿宋" w:eastAsia="仿宋" w:cs="Times New Roman"/>
          <w:sz w:val="32"/>
          <w:szCs w:val="32"/>
        </w:rPr>
        <w:t>20</w:t>
      </w:r>
      <w:r>
        <w:rPr>
          <w:rFonts w:hint="eastAsia" w:ascii="仿宋" w:hAnsi="仿宋" w:eastAsia="仿宋" w:cs="Times New Roman"/>
          <w:sz w:val="32"/>
          <w:szCs w:val="32"/>
        </w:rPr>
        <w:t>22〕11号文件要求，我单位对部门整体支出绩效开展了自评，绩效评价结果显示，我单位</w:t>
      </w:r>
      <w:r>
        <w:rPr>
          <w:rFonts w:ascii="仿宋" w:hAnsi="仿宋" w:eastAsia="仿宋" w:cs="Times New Roman"/>
          <w:sz w:val="32"/>
          <w:szCs w:val="32"/>
        </w:rPr>
        <w:t>20</w:t>
      </w:r>
      <w:r>
        <w:rPr>
          <w:rFonts w:hint="eastAsia" w:ascii="仿宋" w:hAnsi="仿宋" w:eastAsia="仿宋" w:cs="Times New Roman"/>
          <w:sz w:val="32"/>
          <w:szCs w:val="32"/>
        </w:rPr>
        <w:t>21年度绩效目标完成较好，在预算配置、预算执行、预算管理等方面较好的支持了各项工作发展。</w:t>
      </w:r>
      <w:r>
        <w:rPr>
          <w:rFonts w:ascii="仿宋" w:hAnsi="仿宋" w:eastAsia="仿宋" w:cs="Times New Roman"/>
          <w:sz w:val="32"/>
          <w:szCs w:val="32"/>
        </w:rPr>
        <w:t>20</w:t>
      </w:r>
      <w:r>
        <w:rPr>
          <w:rFonts w:hint="eastAsia" w:ascii="仿宋" w:hAnsi="仿宋" w:eastAsia="仿宋" w:cs="Times New Roman"/>
          <w:sz w:val="32"/>
          <w:szCs w:val="32"/>
        </w:rPr>
        <w:t>21年，我单位深入学习贯彻习近平总书记系列重要讲话精神，紧紧围绕上级的决策部署，有效发挥单位职能作用，统筹做好稳增长、促改革、调结构、惠民生、防风险各项工作。</w:t>
      </w:r>
    </w:p>
    <w:p>
      <w:pPr>
        <w:widowControl/>
        <w:ind w:firstLine="643" w:firstLineChars="200"/>
        <w:rPr>
          <w:rFonts w:ascii="仿宋" w:hAnsi="仿宋" w:eastAsia="仿宋" w:cs="Times New Roman"/>
          <w:b/>
          <w:color w:val="222222"/>
          <w:kern w:val="0"/>
          <w:sz w:val="32"/>
          <w:szCs w:val="32"/>
        </w:rPr>
      </w:pPr>
      <w:r>
        <w:rPr>
          <w:rFonts w:hint="eastAsia" w:ascii="仿宋" w:hAnsi="仿宋" w:eastAsia="仿宋" w:cs="黑体"/>
          <w:b/>
          <w:color w:val="222222"/>
          <w:kern w:val="0"/>
          <w:sz w:val="32"/>
          <w:szCs w:val="32"/>
        </w:rPr>
        <w:t>一、部门概况</w:t>
      </w:r>
    </w:p>
    <w:p>
      <w:pPr>
        <w:widowControl/>
        <w:ind w:firstLine="640" w:firstLineChars="200"/>
        <w:rPr>
          <w:rFonts w:ascii="仿宋" w:hAnsi="仿宋" w:eastAsia="仿宋" w:cs="Times New Roman"/>
          <w:sz w:val="32"/>
          <w:szCs w:val="32"/>
        </w:rPr>
      </w:pPr>
      <w:r>
        <w:rPr>
          <w:rFonts w:hint="eastAsia" w:ascii="仿宋" w:hAnsi="仿宋" w:eastAsia="仿宋" w:cs="仿宋_GB2312"/>
          <w:sz w:val="32"/>
          <w:szCs w:val="32"/>
        </w:rPr>
        <w:t>（一）</w:t>
      </w:r>
      <w:r>
        <w:rPr>
          <w:rFonts w:ascii="仿宋" w:hAnsi="仿宋" w:eastAsia="仿宋" w:cs="仿宋_GB2312"/>
          <w:sz w:val="32"/>
          <w:szCs w:val="32"/>
        </w:rPr>
        <w:t xml:space="preserve"> </w:t>
      </w:r>
      <w:r>
        <w:rPr>
          <w:rFonts w:hint="eastAsia" w:ascii="仿宋" w:hAnsi="仿宋" w:eastAsia="仿宋" w:cs="仿宋_GB2312"/>
          <w:sz w:val="32"/>
          <w:szCs w:val="32"/>
        </w:rPr>
        <w:t>机构、人员构成</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澧县洈水灌区管理处地处盐井镇，属于部门预算一级单位，执行政府会计制度，是县财政全额拨款、财务独立核算的正科级事业单位。根据编委核定和单位实际工作需要，我单位内设五个机关股室（办公室、工程股、水政股、政工股和计财股）和下设四个渠道管理所（康家桥所、洪家所、盐井所和复兴所），完善了机构设置。</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w:t>
      </w:r>
      <w:r>
        <w:rPr>
          <w:rFonts w:ascii="仿宋" w:hAnsi="仿宋" w:eastAsia="仿宋" w:cs="Times New Roman"/>
          <w:sz w:val="32"/>
          <w:szCs w:val="32"/>
        </w:rPr>
        <w:t>20</w:t>
      </w:r>
      <w:r>
        <w:rPr>
          <w:rFonts w:hint="eastAsia" w:ascii="仿宋" w:hAnsi="仿宋" w:eastAsia="仿宋" w:cs="Times New Roman"/>
          <w:sz w:val="32"/>
          <w:szCs w:val="32"/>
        </w:rPr>
        <w:t>21年单位财政供养人员共有27人，其中核定编制数</w:t>
      </w:r>
      <w:r>
        <w:rPr>
          <w:rFonts w:ascii="仿宋" w:hAnsi="仿宋" w:eastAsia="仿宋" w:cs="Times New Roman"/>
          <w:sz w:val="32"/>
          <w:szCs w:val="32"/>
        </w:rPr>
        <w:t>25</w:t>
      </w:r>
      <w:r>
        <w:rPr>
          <w:rFonts w:hint="eastAsia" w:ascii="仿宋" w:hAnsi="仿宋" w:eastAsia="仿宋" w:cs="Times New Roman"/>
          <w:sz w:val="32"/>
          <w:szCs w:val="32"/>
        </w:rPr>
        <w:t>人，实际在岗27人。</w:t>
      </w:r>
    </w:p>
    <w:p>
      <w:pPr>
        <w:ind w:firstLine="640" w:firstLineChars="200"/>
        <w:rPr>
          <w:rFonts w:ascii="仿宋" w:hAnsi="仿宋" w:eastAsia="仿宋" w:cs="Times New Roman"/>
          <w:sz w:val="32"/>
          <w:szCs w:val="32"/>
        </w:rPr>
      </w:pPr>
    </w:p>
    <w:p>
      <w:pPr>
        <w:widowControl/>
        <w:ind w:firstLine="640" w:firstLineChars="200"/>
        <w:rPr>
          <w:rFonts w:ascii="仿宋" w:hAnsi="仿宋" w:eastAsia="仿宋" w:cs="Times New Roman"/>
          <w:sz w:val="32"/>
          <w:szCs w:val="32"/>
        </w:rPr>
      </w:pPr>
      <w:r>
        <w:rPr>
          <w:rFonts w:hint="eastAsia" w:ascii="仿宋" w:hAnsi="仿宋" w:eastAsia="仿宋" w:cs="仿宋_GB2312"/>
          <w:sz w:val="32"/>
          <w:szCs w:val="32"/>
        </w:rPr>
        <w:t>（二）</w:t>
      </w:r>
      <w:r>
        <w:rPr>
          <w:rFonts w:ascii="仿宋" w:hAnsi="仿宋" w:eastAsia="仿宋" w:cs="仿宋_GB2312"/>
          <w:sz w:val="32"/>
          <w:szCs w:val="32"/>
        </w:rPr>
        <w:t xml:space="preserve"> </w:t>
      </w:r>
      <w:r>
        <w:rPr>
          <w:rFonts w:hint="eastAsia" w:ascii="仿宋" w:hAnsi="仿宋" w:eastAsia="仿宋" w:cs="仿宋_GB2312"/>
          <w:sz w:val="32"/>
          <w:szCs w:val="32"/>
        </w:rPr>
        <w:t>单位主要职责</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澧县洈水灌区是从湖北荆州市洈水水库引水灌溉的跨省水利工程，</w:t>
      </w:r>
      <w:r>
        <w:rPr>
          <w:rFonts w:ascii="仿宋" w:hAnsi="仿宋" w:eastAsia="仿宋" w:cs="仿宋_GB2312"/>
          <w:sz w:val="32"/>
          <w:szCs w:val="32"/>
        </w:rPr>
        <w:t>1975</w:t>
      </w:r>
      <w:r>
        <w:rPr>
          <w:rFonts w:hint="eastAsia" w:ascii="仿宋" w:hAnsi="仿宋" w:eastAsia="仿宋" w:cs="仿宋_GB2312"/>
          <w:sz w:val="32"/>
          <w:szCs w:val="32"/>
        </w:rPr>
        <w:t>年元月建成通水，设计灌溉面积</w:t>
      </w:r>
      <w:r>
        <w:rPr>
          <w:rFonts w:ascii="仿宋" w:hAnsi="仿宋" w:eastAsia="仿宋" w:cs="仿宋_GB2312"/>
          <w:sz w:val="32"/>
          <w:szCs w:val="32"/>
        </w:rPr>
        <w:t>15.32</w:t>
      </w:r>
      <w:r>
        <w:rPr>
          <w:rFonts w:hint="eastAsia" w:ascii="仿宋" w:hAnsi="仿宋" w:eastAsia="仿宋" w:cs="仿宋_GB2312"/>
          <w:sz w:val="32"/>
          <w:szCs w:val="32"/>
        </w:rPr>
        <w:t>万亩，为澧县涔北地区工农业发展作出了巨大贡献。根据上级相关规定和灌区的具体情况，本单位依法履行以下职能与职责：</w:t>
      </w:r>
    </w:p>
    <w:p>
      <w:pPr>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 xml:space="preserve">    1</w:t>
      </w:r>
      <w:r>
        <w:rPr>
          <w:rFonts w:hint="eastAsia" w:ascii="仿宋" w:hAnsi="仿宋" w:eastAsia="仿宋" w:cs="仿宋_GB2312"/>
          <w:sz w:val="32"/>
          <w:szCs w:val="32"/>
        </w:rPr>
        <w:t>、认真学习和贯彻执行《中华人民共和国水法》、《中华人民共和国水土保持法》等相关法律法规，严格管理</w:t>
      </w:r>
      <w:r>
        <w:rPr>
          <w:rFonts w:ascii="仿宋" w:hAnsi="仿宋" w:eastAsia="仿宋" w:cs="仿宋_GB2312"/>
          <w:sz w:val="32"/>
          <w:szCs w:val="32"/>
        </w:rPr>
        <w:t>63</w:t>
      </w:r>
      <w:r>
        <w:rPr>
          <w:rFonts w:hint="eastAsia" w:ascii="仿宋" w:hAnsi="仿宋" w:eastAsia="仿宋" w:cs="仿宋_GB2312"/>
          <w:sz w:val="32"/>
          <w:szCs w:val="32"/>
        </w:rPr>
        <w:t>公里干渠以及附属建筑物。</w:t>
      </w:r>
    </w:p>
    <w:p>
      <w:pPr>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 xml:space="preserve">    2</w:t>
      </w:r>
      <w:r>
        <w:rPr>
          <w:rFonts w:hint="eastAsia" w:ascii="仿宋" w:hAnsi="仿宋" w:eastAsia="仿宋" w:cs="仿宋_GB2312"/>
          <w:sz w:val="32"/>
          <w:szCs w:val="32"/>
        </w:rPr>
        <w:t>、及时了解灌区旱情，适时引水灌溉，保证灌区农作物旱涝保收。</w:t>
      </w:r>
    </w:p>
    <w:p>
      <w:pPr>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 xml:space="preserve">    3</w:t>
      </w:r>
      <w:r>
        <w:rPr>
          <w:rFonts w:hint="eastAsia" w:ascii="仿宋" w:hAnsi="仿宋" w:eastAsia="仿宋" w:cs="仿宋_GB2312"/>
          <w:sz w:val="32"/>
          <w:szCs w:val="32"/>
        </w:rPr>
        <w:t>、积极向上级汇报灌区情况，争取项目资金，对干渠以及附属建筑物更新改造，改善灌溉条件，提高水的利用率，节约水资源。</w:t>
      </w:r>
    </w:p>
    <w:p>
      <w:pPr>
        <w:ind w:firstLine="640" w:firstLineChars="200"/>
        <w:rPr>
          <w:rFonts w:hint="eastAsia" w:ascii="仿宋" w:hAnsi="仿宋" w:eastAsia="仿宋" w:cs="仿宋_GB2312"/>
          <w:sz w:val="32"/>
          <w:szCs w:val="32"/>
          <w:lang w:eastAsia="zh-CN"/>
        </w:rPr>
      </w:pPr>
      <w:r>
        <w:rPr>
          <w:rFonts w:ascii="仿宋" w:hAnsi="仿宋" w:eastAsia="仿宋" w:cs="仿宋_GB2312"/>
          <w:sz w:val="32"/>
          <w:szCs w:val="32"/>
        </w:rPr>
        <w:t xml:space="preserve">    4</w:t>
      </w:r>
      <w:r>
        <w:rPr>
          <w:rFonts w:hint="eastAsia" w:ascii="仿宋" w:hAnsi="仿宋" w:eastAsia="仿宋" w:cs="仿宋_GB2312"/>
          <w:sz w:val="32"/>
          <w:szCs w:val="32"/>
        </w:rPr>
        <w:t>、严厉打击破坏水利设施的违法行为，妥善处理灌溉期间的水事纠纷，坚决保障灌溉工作的顺利进行。</w:t>
      </w:r>
    </w:p>
    <w:p>
      <w:pPr>
        <w:ind w:firstLine="640" w:firstLineChars="200"/>
        <w:rPr>
          <w:rFonts w:ascii="仿宋" w:hAnsi="仿宋" w:eastAsia="仿宋" w:cs="Times New Roman"/>
          <w:sz w:val="32"/>
          <w:szCs w:val="32"/>
        </w:rPr>
      </w:pPr>
      <w:r>
        <w:rPr>
          <w:rFonts w:ascii="仿宋" w:hAnsi="仿宋" w:eastAsia="仿宋" w:cs="仿宋_GB2312"/>
          <w:sz w:val="32"/>
          <w:szCs w:val="32"/>
        </w:rPr>
        <w:t xml:space="preserve">    5</w:t>
      </w:r>
      <w:r>
        <w:rPr>
          <w:rFonts w:hint="eastAsia" w:ascii="仿宋" w:hAnsi="仿宋" w:eastAsia="仿宋" w:cs="仿宋_GB2312"/>
          <w:sz w:val="32"/>
          <w:szCs w:val="32"/>
        </w:rPr>
        <w:t>、积极承办上级部门交办的其他工作任务。</w:t>
      </w:r>
    </w:p>
    <w:p>
      <w:pPr>
        <w:widowControl/>
        <w:ind w:firstLine="643" w:firstLineChars="200"/>
        <w:rPr>
          <w:rFonts w:ascii="仿宋" w:hAnsi="仿宋" w:eastAsia="仿宋" w:cs="Times New Roman"/>
          <w:b/>
          <w:bCs/>
          <w:color w:val="222222"/>
          <w:kern w:val="0"/>
          <w:sz w:val="32"/>
          <w:szCs w:val="32"/>
        </w:rPr>
      </w:pPr>
      <w:r>
        <w:rPr>
          <w:rFonts w:hint="eastAsia" w:ascii="仿宋" w:hAnsi="仿宋" w:eastAsia="仿宋" w:cs="黑体"/>
          <w:b/>
          <w:bCs/>
          <w:color w:val="222222"/>
          <w:kern w:val="0"/>
          <w:sz w:val="32"/>
          <w:szCs w:val="32"/>
        </w:rPr>
        <w:t>二、部门财务情况</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（一）部门整体收支情况</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2021年部门整体收入978.41万元，其中：本年收入951.16万元，上年结转27.25万元。部门整体支出978.41万元，其中：基本支出390.63万元，项目支出587.78万元,2020年结转资金为27.25万元。2021年无结转结余资金。</w:t>
      </w:r>
    </w:p>
    <w:p>
      <w:pPr>
        <w:widowControl/>
        <w:ind w:firstLine="640" w:firstLineChars="200"/>
        <w:rPr>
          <w:rFonts w:ascii="仿宋" w:hAnsi="仿宋" w:eastAsia="仿宋" w:cs="Times New Roman"/>
          <w:sz w:val="32"/>
          <w:szCs w:val="32"/>
        </w:rPr>
      </w:pPr>
      <w:r>
        <w:rPr>
          <w:rFonts w:hint="eastAsia" w:ascii="仿宋" w:hAnsi="仿宋" w:eastAsia="仿宋" w:cs="仿宋_GB2312"/>
          <w:sz w:val="32"/>
          <w:szCs w:val="32"/>
        </w:rPr>
        <w:t>（二）部门预算收支决算情况</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2021年年初部门预算收入1158.21万元，其中一般公共预算内拨款340.29万元，上级补助收入817.92万元。年初部分预算支出1158.21万元。2021年财政决算收入978.41万元，其中本年收入951.16万元，上年结转27.25万元，财政决算各类支出978.41万元。2021年无结转结余资金。</w:t>
      </w:r>
    </w:p>
    <w:p>
      <w:pPr>
        <w:widowControl/>
        <w:ind w:firstLine="640" w:firstLineChars="200"/>
        <w:rPr>
          <w:rFonts w:ascii="仿宋" w:hAnsi="仿宋" w:eastAsia="仿宋" w:cs="Times New Roman"/>
          <w:sz w:val="32"/>
          <w:szCs w:val="32"/>
        </w:rPr>
      </w:pPr>
      <w:r>
        <w:rPr>
          <w:rFonts w:hint="eastAsia" w:ascii="仿宋" w:hAnsi="仿宋" w:eastAsia="仿宋" w:cs="仿宋_GB2312"/>
          <w:sz w:val="32"/>
          <w:szCs w:val="32"/>
        </w:rPr>
        <w:t>（三）</w:t>
      </w:r>
      <w:r>
        <w:rPr>
          <w:rFonts w:ascii="仿宋" w:hAnsi="仿宋" w:eastAsia="仿宋" w:cs="仿宋_GB2312"/>
          <w:sz w:val="32"/>
          <w:szCs w:val="32"/>
        </w:rPr>
        <w:t xml:space="preserve"> </w:t>
      </w:r>
      <w:r>
        <w:rPr>
          <w:rFonts w:hint="eastAsia" w:ascii="仿宋" w:hAnsi="仿宋" w:eastAsia="仿宋" w:cs="仿宋_GB2312"/>
          <w:sz w:val="32"/>
          <w:szCs w:val="32"/>
        </w:rPr>
        <w:t>“三公经费”支出使用和管理情况</w:t>
      </w:r>
    </w:p>
    <w:p>
      <w:pPr>
        <w:spacing w:line="360" w:lineRule="auto"/>
        <w:ind w:firstLine="736" w:firstLineChars="230"/>
        <w:rPr>
          <w:rFonts w:ascii="仿宋" w:hAnsi="仿宋" w:eastAsia="仿宋" w:cs="Times New Roman"/>
          <w:sz w:val="32"/>
          <w:szCs w:val="32"/>
        </w:rPr>
      </w:pPr>
      <w:r>
        <w:rPr>
          <w:rFonts w:ascii="仿宋" w:hAnsi="仿宋" w:eastAsia="仿宋" w:cs="Times New Roman"/>
          <w:sz w:val="32"/>
          <w:szCs w:val="32"/>
        </w:rPr>
        <w:t>20</w:t>
      </w:r>
      <w:r>
        <w:rPr>
          <w:rFonts w:hint="eastAsia" w:ascii="仿宋" w:hAnsi="仿宋" w:eastAsia="仿宋" w:cs="Times New Roman"/>
          <w:sz w:val="32"/>
          <w:szCs w:val="32"/>
        </w:rPr>
        <w:t>21年“三公”经费支出</w:t>
      </w:r>
      <w:r>
        <w:rPr>
          <w:rFonts w:ascii="仿宋" w:hAnsi="仿宋" w:eastAsia="仿宋" w:cs="Times New Roman"/>
          <w:sz w:val="32"/>
          <w:szCs w:val="32"/>
        </w:rPr>
        <w:t>2.</w:t>
      </w:r>
      <w:r>
        <w:rPr>
          <w:rFonts w:hint="eastAsia" w:ascii="仿宋" w:hAnsi="仿宋" w:eastAsia="仿宋" w:cs="Times New Roman"/>
          <w:sz w:val="32"/>
          <w:szCs w:val="32"/>
        </w:rPr>
        <w:t>35万元，其中：因公出国（境）费</w:t>
      </w:r>
      <w:r>
        <w:rPr>
          <w:rFonts w:ascii="仿宋" w:hAnsi="仿宋" w:eastAsia="仿宋" w:cs="Times New Roman"/>
          <w:sz w:val="32"/>
          <w:szCs w:val="32"/>
        </w:rPr>
        <w:t>0</w:t>
      </w:r>
      <w:r>
        <w:rPr>
          <w:rFonts w:hint="eastAsia" w:ascii="仿宋" w:hAnsi="仿宋" w:eastAsia="仿宋" w:cs="Times New Roman"/>
          <w:sz w:val="32"/>
          <w:szCs w:val="32"/>
        </w:rPr>
        <w:t>万元。公务用车购置及运行维护费（公务用车运行维护费）</w:t>
      </w:r>
      <w:r>
        <w:rPr>
          <w:rFonts w:ascii="仿宋" w:hAnsi="仿宋" w:eastAsia="仿宋" w:cs="Times New Roman"/>
          <w:sz w:val="32"/>
          <w:szCs w:val="32"/>
        </w:rPr>
        <w:t>0</w:t>
      </w:r>
      <w:r>
        <w:rPr>
          <w:rFonts w:hint="eastAsia" w:ascii="仿宋" w:hAnsi="仿宋" w:eastAsia="仿宋" w:cs="Times New Roman"/>
          <w:sz w:val="32"/>
          <w:szCs w:val="32"/>
        </w:rPr>
        <w:t>万元，公务接待费</w:t>
      </w:r>
      <w:r>
        <w:rPr>
          <w:rFonts w:ascii="仿宋" w:hAnsi="仿宋" w:eastAsia="仿宋" w:cs="Times New Roman"/>
          <w:sz w:val="32"/>
          <w:szCs w:val="32"/>
        </w:rPr>
        <w:t>2.</w:t>
      </w:r>
      <w:r>
        <w:rPr>
          <w:rFonts w:hint="eastAsia" w:ascii="仿宋" w:hAnsi="仿宋" w:eastAsia="仿宋" w:cs="Times New Roman"/>
          <w:sz w:val="32"/>
          <w:szCs w:val="32"/>
        </w:rPr>
        <w:t>35万元。同上年对比减少0.33万元，减少12.31%；年初预算3.8万元，两者比较减少1.45万元，减少38.16%。没有超过纪检部门核定的标准，也没有超过2020发生的公务接待费。</w:t>
      </w:r>
    </w:p>
    <w:p>
      <w:pPr>
        <w:widowControl/>
        <w:ind w:firstLine="643" w:firstLineChars="200"/>
        <w:rPr>
          <w:rFonts w:ascii="仿宋" w:hAnsi="仿宋" w:eastAsia="仿宋" w:cs="Times New Roman"/>
          <w:b/>
          <w:color w:val="222222"/>
          <w:kern w:val="0"/>
          <w:sz w:val="32"/>
          <w:szCs w:val="32"/>
        </w:rPr>
      </w:pPr>
      <w:r>
        <w:rPr>
          <w:rFonts w:hint="eastAsia" w:ascii="仿宋" w:hAnsi="仿宋" w:eastAsia="仿宋" w:cs="黑体"/>
          <w:b/>
          <w:color w:val="222222"/>
          <w:kern w:val="0"/>
          <w:sz w:val="32"/>
          <w:szCs w:val="32"/>
        </w:rPr>
        <w:t>三、部门绩效目标</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（一）部门绩效总目标</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按照我单位的职能职责，部门绩效总目标是：认真学习和贯彻执行《中华人民共和国水法》、《中华人民共和国水土保持法》等相关法律法规，严格管理</w:t>
      </w:r>
      <w:r>
        <w:rPr>
          <w:rFonts w:ascii="仿宋" w:hAnsi="仿宋" w:eastAsia="仿宋" w:cs="Times New Roman"/>
          <w:sz w:val="32"/>
          <w:szCs w:val="32"/>
        </w:rPr>
        <w:t>63</w:t>
      </w:r>
      <w:r>
        <w:rPr>
          <w:rFonts w:hint="eastAsia" w:ascii="仿宋" w:hAnsi="仿宋" w:eastAsia="仿宋" w:cs="Times New Roman"/>
          <w:sz w:val="32"/>
          <w:szCs w:val="32"/>
        </w:rPr>
        <w:t>公里干渠以及附属建筑物；及时了解灌区旱情，适时引水灌溉，保证灌区农作物旱涝保收；积极向上级汇报灌区情况，争取项目资金，对干渠以及附属建筑物更新改造，改善灌溉条件，提高水的利用率，节约水资源；严厉打击破坏水利设施的违法行为，妥善处理灌溉期间的水事纠纷，坚决保障灌溉工作的顺利进行；积极承办上级部门交办的其他工作任务。</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（二）</w:t>
      </w:r>
      <w:r>
        <w:rPr>
          <w:rFonts w:ascii="仿宋" w:hAnsi="仿宋" w:eastAsia="仿宋" w:cs="仿宋_GB2312"/>
          <w:sz w:val="32"/>
          <w:szCs w:val="32"/>
        </w:rPr>
        <w:t>20</w:t>
      </w:r>
      <w:r>
        <w:rPr>
          <w:rFonts w:hint="eastAsia" w:ascii="仿宋" w:hAnsi="仿宋" w:eastAsia="仿宋" w:cs="仿宋_GB2312"/>
          <w:sz w:val="32"/>
          <w:szCs w:val="32"/>
        </w:rPr>
        <w:t>21年度部门完成绩效目标</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工程建设方面。一是2020年续建配套扫尾工程全部完工，并已完成审计。二是进行渠道安全大检查，对全线主干渠渠道建筑物、设施设备进行了油漆油洗，除险加固3处交通桥改造，1处干渠底涵改造，干渠清淤扫障3000米，干渠险工险段防渗除险2处220米，外堤脚浆石砌石除险1处70米。三是从湖北洈水引水灌溉8天，灌溉水方580万方保抗旱。四是灌区工程改造和水价改革项目已通过市水利局初审，待省厅审核。五是2021年灌区内各乡镇秋冬修已完成任务90%以上。</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（2）渠道管养方面。一是年初就和养护人员签订了养护合同，7月、11月分别对养护工作进行了检查验收。二是6月份由“一把手”带队，相关股室、站所联合进行了全线主干渠安全大检查。</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3）水政执法方面。一是配合县水政大队处理洈水曾家村3组主干渠损毁一处，责成当事人迅速恢复损毁渠道。二是处理简易水事违法事件3次（电线干移走、保护范围内砍树苗30颗、渠内废弃树枝）。三是积极处理安全隐患。在安全巡查中发现复兴镇向阳渡槽上方的白杨树逐年长高壮大，对渡槽自身和路上的车辆、行人存在严重的安全隐患。管理处联合林业、交警、电力、电信等部门相继采取了交通临时管制和断电断网等措施，并立即对白杨树进行了砍伐。四是对干渠进行了每月不低于4次以上的巡查检查。</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4）政工党建方面。一是齐抓共管，落实党建责任。组织“主题党日”活动，积极参与党员志愿者服务活动。二是加强单位党史学习，制定学习计划，营造了良好的学习氛，把党史学习落到实处。三是积极开展建党100周年庆祝活动，参加了县、水利系统的各项活动。四是扎实推进党风廉政建设。通过完善制度、严格考勤、及时提醒、作风讲评、谈心谈话、严肃问责等方式开展作风整训，工作作风明显得到好转。五是认真摸排单位干部职工高考，积极宣传不办“谢师宴”、不吃“升学酒”，抵制陈规陋习，推进移风易俗。六是领导小组强化舆情管控，按照“一岗双责”要求，研究部署意识形态工作，制定了工作措施，开展了意识形态分析研判。</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（5）综治维稳方面。一是化解单位退休上访人员问题。二是因地制宜采取治安巡逻、交通疏导、学校等重点路段值守等多种形式开展众创平安活动，并大力开展扫黑</w:t>
      </w:r>
      <w:r>
        <w:rPr>
          <w:rFonts w:hint="eastAsia" w:ascii="仿宋" w:hAnsi="仿宋" w:eastAsia="仿宋" w:cs="Times New Roman"/>
          <w:sz w:val="32"/>
          <w:szCs w:val="32"/>
          <w:lang w:eastAsia="zh-CN"/>
        </w:rPr>
        <w:t>除恶</w:t>
      </w:r>
      <w:r>
        <w:rPr>
          <w:rFonts w:ascii="仿宋" w:hAnsi="仿宋" w:eastAsia="仿宋" w:cs="Times New Roman"/>
          <w:sz w:val="32"/>
          <w:szCs w:val="32"/>
        </w:rPr>
        <w:t>专项斗争。</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（6）基本完成县委巡察整改工作。</w:t>
      </w:r>
    </w:p>
    <w:p>
      <w:pPr>
        <w:ind w:firstLine="643" w:firstLineChars="200"/>
        <w:rPr>
          <w:rFonts w:ascii="仿宋" w:hAnsi="仿宋" w:eastAsia="仿宋" w:cs="Times New Roman"/>
          <w:b/>
          <w:color w:val="222222"/>
          <w:kern w:val="0"/>
          <w:sz w:val="32"/>
          <w:szCs w:val="32"/>
        </w:rPr>
      </w:pPr>
      <w:r>
        <w:rPr>
          <w:rFonts w:hint="eastAsia" w:ascii="仿宋" w:hAnsi="仿宋" w:eastAsia="仿宋" w:cs="黑体"/>
          <w:b/>
          <w:color w:val="222222"/>
          <w:kern w:val="0"/>
          <w:sz w:val="32"/>
          <w:szCs w:val="32"/>
        </w:rPr>
        <w:t>四、绩效评价工作情况</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我单位高度重视绩效评价工作，按县财政局相关文件精神，坚持“谁花钱、评价谁”、“花钱无效要问责”的评价原则，将部门年初预算细化到各股室，明确专人负责，</w:t>
      </w:r>
      <w:bookmarkStart w:id="0" w:name="_GoBack"/>
      <w:bookmarkEnd w:id="0"/>
      <w:r>
        <w:rPr>
          <w:rFonts w:hint="eastAsia" w:ascii="仿宋" w:hAnsi="仿宋" w:eastAsia="仿宋" w:cs="仿宋_GB2312"/>
          <w:sz w:val="32"/>
          <w:szCs w:val="32"/>
        </w:rPr>
        <w:t>及时组织自评自查。</w:t>
      </w:r>
    </w:p>
    <w:p>
      <w:pPr>
        <w:widowControl/>
        <w:ind w:firstLine="643" w:firstLineChars="200"/>
        <w:rPr>
          <w:rFonts w:ascii="仿宋" w:hAnsi="仿宋" w:eastAsia="仿宋" w:cs="Times New Roman"/>
          <w:b/>
          <w:color w:val="000000"/>
          <w:sz w:val="32"/>
          <w:szCs w:val="32"/>
        </w:rPr>
      </w:pPr>
      <w:r>
        <w:rPr>
          <w:rFonts w:hint="eastAsia" w:ascii="仿宋" w:hAnsi="仿宋" w:eastAsia="仿宋" w:cs="黑体"/>
          <w:b/>
          <w:color w:val="000000"/>
          <w:sz w:val="32"/>
          <w:szCs w:val="32"/>
        </w:rPr>
        <w:t>五、综合评价结果</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按部门整体支出绩效评价指标从投入、过程、产出及效率方面细化评分：综合评价得分91分。</w:t>
      </w:r>
    </w:p>
    <w:p>
      <w:pPr>
        <w:widowControl/>
        <w:ind w:firstLine="643" w:firstLineChars="200"/>
        <w:rPr>
          <w:rFonts w:ascii="仿宋" w:hAnsi="仿宋" w:eastAsia="仿宋" w:cs="Times New Roman"/>
          <w:b/>
          <w:color w:val="222222"/>
          <w:kern w:val="0"/>
          <w:sz w:val="32"/>
          <w:szCs w:val="32"/>
        </w:rPr>
      </w:pPr>
      <w:r>
        <w:rPr>
          <w:rFonts w:hint="eastAsia" w:ascii="仿宋" w:hAnsi="仿宋" w:eastAsia="仿宋" w:cs="黑体"/>
          <w:b/>
          <w:color w:val="222222"/>
          <w:kern w:val="0"/>
          <w:sz w:val="32"/>
          <w:szCs w:val="32"/>
        </w:rPr>
        <w:t>六、部门整体支出绩效情况</w:t>
      </w:r>
    </w:p>
    <w:p>
      <w:pPr>
        <w:widowControl/>
        <w:autoSpaceDE w:val="0"/>
        <w:ind w:firstLine="640" w:firstLineChars="200"/>
        <w:rPr>
          <w:rFonts w:ascii="仿宋" w:hAnsi="仿宋" w:eastAsia="仿宋" w:cs="Times New Roman"/>
          <w:sz w:val="32"/>
          <w:szCs w:val="32"/>
        </w:rPr>
      </w:pPr>
      <w:r>
        <w:rPr>
          <w:rFonts w:hint="eastAsia" w:ascii="仿宋" w:hAnsi="仿宋" w:eastAsia="仿宋" w:cs="仿宋_GB2312"/>
          <w:sz w:val="32"/>
          <w:szCs w:val="32"/>
        </w:rPr>
        <w:t>投入方面：在职人员控制率</w:t>
      </w:r>
      <w:r>
        <w:rPr>
          <w:rFonts w:ascii="仿宋" w:hAnsi="仿宋" w:eastAsia="仿宋" w:cs="仿宋_GB2312"/>
          <w:sz w:val="32"/>
          <w:szCs w:val="32"/>
        </w:rPr>
        <w:t>2</w:t>
      </w:r>
      <w:r>
        <w:rPr>
          <w:rFonts w:hint="eastAsia" w:ascii="仿宋" w:hAnsi="仿宋" w:eastAsia="仿宋" w:cs="仿宋_GB2312"/>
          <w:sz w:val="32"/>
          <w:szCs w:val="32"/>
        </w:rPr>
        <w:t>7</w:t>
      </w:r>
      <w:r>
        <w:rPr>
          <w:rFonts w:ascii="仿宋" w:hAnsi="仿宋" w:eastAsia="仿宋" w:cs="仿宋_GB2312"/>
          <w:sz w:val="32"/>
          <w:szCs w:val="32"/>
        </w:rPr>
        <w:t>/25*100%=1</w:t>
      </w:r>
      <w:r>
        <w:rPr>
          <w:rFonts w:hint="eastAsia" w:ascii="仿宋" w:hAnsi="仿宋" w:eastAsia="仿宋" w:cs="仿宋_GB2312"/>
          <w:sz w:val="32"/>
          <w:szCs w:val="32"/>
        </w:rPr>
        <w:t>08</w:t>
      </w:r>
      <w:r>
        <w:rPr>
          <w:rFonts w:ascii="仿宋" w:hAnsi="仿宋" w:eastAsia="仿宋" w:cs="仿宋_GB2312"/>
          <w:sz w:val="32"/>
          <w:szCs w:val="32"/>
        </w:rPr>
        <w:t>%</w:t>
      </w:r>
      <w:r>
        <w:rPr>
          <w:rFonts w:hint="eastAsia" w:ascii="仿宋" w:hAnsi="仿宋" w:eastAsia="仿宋" w:cs="仿宋_GB2312"/>
          <w:sz w:val="32"/>
          <w:szCs w:val="32"/>
        </w:rPr>
        <w:t>，三公经费变动率（3.80</w:t>
      </w:r>
      <w:r>
        <w:rPr>
          <w:rFonts w:ascii="仿宋" w:hAnsi="仿宋" w:eastAsia="仿宋" w:cs="仿宋_GB2312"/>
          <w:sz w:val="32"/>
          <w:szCs w:val="32"/>
        </w:rPr>
        <w:t>-</w:t>
      </w:r>
      <w:r>
        <w:rPr>
          <w:rFonts w:hint="eastAsia" w:ascii="仿宋" w:hAnsi="仿宋" w:eastAsia="仿宋" w:cs="仿宋_GB2312"/>
          <w:sz w:val="32"/>
          <w:szCs w:val="32"/>
        </w:rPr>
        <w:t>4.00）</w:t>
      </w:r>
      <w:r>
        <w:rPr>
          <w:rFonts w:ascii="仿宋" w:hAnsi="仿宋" w:eastAsia="仿宋" w:cs="仿宋_GB2312"/>
          <w:sz w:val="32"/>
          <w:szCs w:val="32"/>
        </w:rPr>
        <w:t>/</w:t>
      </w:r>
      <w:r>
        <w:rPr>
          <w:rFonts w:hint="eastAsia" w:ascii="仿宋" w:hAnsi="仿宋" w:eastAsia="仿宋" w:cs="仿宋_GB2312"/>
          <w:sz w:val="32"/>
          <w:szCs w:val="32"/>
        </w:rPr>
        <w:t>4.00</w:t>
      </w:r>
      <w:r>
        <w:rPr>
          <w:rFonts w:ascii="仿宋" w:hAnsi="仿宋" w:eastAsia="仿宋" w:cs="仿宋_GB2312"/>
          <w:sz w:val="32"/>
          <w:szCs w:val="32"/>
        </w:rPr>
        <w:t>*100%=</w:t>
      </w:r>
      <w:r>
        <w:rPr>
          <w:rFonts w:hint="eastAsia" w:ascii="仿宋" w:hAnsi="仿宋" w:eastAsia="仿宋" w:cs="仿宋_GB2312"/>
          <w:sz w:val="32"/>
          <w:szCs w:val="32"/>
        </w:rPr>
        <w:t>-5.00</w:t>
      </w:r>
      <w:r>
        <w:rPr>
          <w:rFonts w:ascii="仿宋" w:hAnsi="仿宋" w:eastAsia="仿宋" w:cs="仿宋_GB2312"/>
          <w:sz w:val="32"/>
          <w:szCs w:val="32"/>
        </w:rPr>
        <w:t>%</w:t>
      </w:r>
      <w:r>
        <w:rPr>
          <w:rFonts w:hint="eastAsia" w:ascii="仿宋" w:hAnsi="仿宋" w:eastAsia="仿宋" w:cs="仿宋_GB2312"/>
          <w:sz w:val="32"/>
          <w:szCs w:val="32"/>
        </w:rPr>
        <w:t>；</w:t>
      </w:r>
    </w:p>
    <w:p>
      <w:pPr>
        <w:widowControl/>
        <w:autoSpaceDE w:val="0"/>
        <w:ind w:firstLine="640" w:firstLineChars="200"/>
        <w:rPr>
          <w:rFonts w:ascii="仿宋" w:hAnsi="仿宋" w:eastAsia="仿宋" w:cs="Times New Roman"/>
          <w:sz w:val="32"/>
          <w:szCs w:val="32"/>
        </w:rPr>
      </w:pPr>
      <w:r>
        <w:rPr>
          <w:rFonts w:ascii="仿宋" w:hAnsi="仿宋" w:eastAsia="仿宋" w:cs="仿宋_GB2312"/>
          <w:sz w:val="32"/>
          <w:szCs w:val="32"/>
        </w:rPr>
        <w:t>2</w:t>
      </w:r>
      <w:r>
        <w:rPr>
          <w:rFonts w:hint="eastAsia" w:ascii="仿宋" w:hAnsi="仿宋" w:eastAsia="仿宋" w:cs="仿宋_GB2312"/>
          <w:sz w:val="32"/>
          <w:szCs w:val="32"/>
        </w:rPr>
        <w:t>、过程方面：预算完成率978.41</w:t>
      </w:r>
      <w:r>
        <w:rPr>
          <w:rFonts w:ascii="仿宋" w:hAnsi="仿宋" w:eastAsia="仿宋" w:cs="仿宋_GB2312"/>
          <w:sz w:val="32"/>
          <w:szCs w:val="32"/>
        </w:rPr>
        <w:t>/</w:t>
      </w:r>
      <w:r>
        <w:rPr>
          <w:rFonts w:hint="eastAsia" w:ascii="仿宋" w:hAnsi="仿宋" w:eastAsia="仿宋" w:cs="仿宋_GB2312"/>
          <w:sz w:val="32"/>
          <w:szCs w:val="32"/>
        </w:rPr>
        <w:t>1158.214</w:t>
      </w:r>
      <w:r>
        <w:rPr>
          <w:rFonts w:ascii="仿宋" w:hAnsi="仿宋" w:eastAsia="仿宋" w:cs="仿宋_GB2312"/>
          <w:sz w:val="32"/>
          <w:szCs w:val="32"/>
        </w:rPr>
        <w:t>*100%=</w:t>
      </w:r>
      <w:r>
        <w:rPr>
          <w:rFonts w:hint="eastAsia" w:ascii="仿宋" w:hAnsi="仿宋" w:eastAsia="仿宋" w:cs="仿宋_GB2312"/>
          <w:sz w:val="32"/>
          <w:szCs w:val="32"/>
        </w:rPr>
        <w:t>84.48</w:t>
      </w:r>
      <w:r>
        <w:rPr>
          <w:rFonts w:ascii="仿宋" w:hAnsi="仿宋" w:eastAsia="仿宋" w:cs="仿宋_GB2312"/>
          <w:sz w:val="32"/>
          <w:szCs w:val="32"/>
        </w:rPr>
        <w:t>%</w:t>
      </w:r>
      <w:r>
        <w:rPr>
          <w:rFonts w:hint="eastAsia" w:ascii="仿宋" w:hAnsi="仿宋" w:eastAsia="仿宋" w:cs="仿宋_GB2312"/>
          <w:sz w:val="32"/>
          <w:szCs w:val="32"/>
        </w:rPr>
        <w:t>，预算控制率0</w:t>
      </w:r>
      <w:r>
        <w:rPr>
          <w:rFonts w:ascii="仿宋" w:hAnsi="仿宋" w:eastAsia="仿宋" w:cs="仿宋_GB2312"/>
          <w:sz w:val="32"/>
          <w:szCs w:val="32"/>
        </w:rPr>
        <w:t>/</w:t>
      </w:r>
      <w:r>
        <w:rPr>
          <w:rFonts w:hint="eastAsia" w:ascii="仿宋" w:hAnsi="仿宋" w:eastAsia="仿宋" w:cs="仿宋_GB2312"/>
          <w:sz w:val="32"/>
          <w:szCs w:val="32"/>
        </w:rPr>
        <w:t>1158.21</w:t>
      </w:r>
      <w:r>
        <w:rPr>
          <w:rFonts w:ascii="仿宋" w:hAnsi="仿宋" w:eastAsia="仿宋" w:cs="仿宋_GB2312"/>
          <w:sz w:val="32"/>
          <w:szCs w:val="32"/>
        </w:rPr>
        <w:t>*100%=</w:t>
      </w:r>
      <w:r>
        <w:rPr>
          <w:rFonts w:hint="eastAsia" w:ascii="仿宋" w:hAnsi="仿宋" w:eastAsia="仿宋" w:cs="仿宋_GB2312"/>
          <w:sz w:val="32"/>
          <w:szCs w:val="32"/>
        </w:rPr>
        <w:t>0.00</w:t>
      </w:r>
      <w:r>
        <w:rPr>
          <w:rFonts w:ascii="仿宋" w:hAnsi="仿宋" w:eastAsia="仿宋" w:cs="仿宋_GB2312"/>
          <w:sz w:val="32"/>
          <w:szCs w:val="32"/>
        </w:rPr>
        <w:t>%</w:t>
      </w:r>
      <w:r>
        <w:rPr>
          <w:rFonts w:hint="eastAsia" w:ascii="仿宋" w:hAnsi="仿宋" w:eastAsia="仿宋" w:cs="仿宋_GB2312"/>
          <w:sz w:val="32"/>
          <w:szCs w:val="32"/>
        </w:rPr>
        <w:t>，新建楼堂馆所面积控制率无，新建楼堂馆所投资概算控制率无</w:t>
      </w:r>
      <w:r>
        <w:rPr>
          <w:rFonts w:ascii="仿宋" w:hAnsi="仿宋" w:eastAsia="仿宋" w:cs="仿宋_GB2312"/>
          <w:sz w:val="32"/>
          <w:szCs w:val="32"/>
        </w:rPr>
        <w:t>,</w:t>
      </w:r>
      <w:r>
        <w:rPr>
          <w:rFonts w:hint="eastAsia" w:ascii="仿宋" w:hAnsi="仿宋" w:eastAsia="仿宋" w:cs="仿宋_GB2312"/>
          <w:sz w:val="32"/>
          <w:szCs w:val="32"/>
        </w:rPr>
        <w:t>公用经费控制率40.6</w:t>
      </w:r>
      <w:r>
        <w:rPr>
          <w:rFonts w:ascii="仿宋" w:hAnsi="仿宋" w:eastAsia="仿宋" w:cs="仿宋_GB2312"/>
          <w:sz w:val="32"/>
          <w:szCs w:val="32"/>
        </w:rPr>
        <w:t>/</w:t>
      </w:r>
      <w:r>
        <w:rPr>
          <w:rFonts w:hint="eastAsia" w:ascii="仿宋" w:hAnsi="仿宋" w:eastAsia="仿宋" w:cs="仿宋_GB2312"/>
          <w:sz w:val="32"/>
          <w:szCs w:val="32"/>
        </w:rPr>
        <w:t>45.08</w:t>
      </w:r>
      <w:r>
        <w:rPr>
          <w:rFonts w:ascii="仿宋" w:hAnsi="仿宋" w:eastAsia="仿宋" w:cs="仿宋_GB2312"/>
          <w:sz w:val="32"/>
          <w:szCs w:val="32"/>
        </w:rPr>
        <w:t>*100%=</w:t>
      </w:r>
      <w:r>
        <w:rPr>
          <w:rFonts w:hint="eastAsia" w:ascii="仿宋" w:hAnsi="仿宋" w:eastAsia="仿宋" w:cs="仿宋_GB2312"/>
          <w:sz w:val="32"/>
          <w:szCs w:val="32"/>
        </w:rPr>
        <w:t>90.06</w:t>
      </w:r>
      <w:r>
        <w:rPr>
          <w:rFonts w:ascii="仿宋" w:hAnsi="仿宋" w:eastAsia="仿宋" w:cs="仿宋_GB2312"/>
          <w:sz w:val="32"/>
          <w:szCs w:val="32"/>
        </w:rPr>
        <w:t>%,</w:t>
      </w:r>
      <w:r>
        <w:rPr>
          <w:rFonts w:hint="eastAsia" w:ascii="仿宋" w:hAnsi="仿宋" w:eastAsia="仿宋" w:cs="仿宋_GB2312"/>
          <w:sz w:val="32"/>
          <w:szCs w:val="32"/>
        </w:rPr>
        <w:t>三公经费控制率2.35</w:t>
      </w:r>
      <w:r>
        <w:rPr>
          <w:rFonts w:ascii="仿宋" w:hAnsi="仿宋" w:eastAsia="仿宋" w:cs="仿宋_GB2312"/>
          <w:sz w:val="32"/>
          <w:szCs w:val="32"/>
        </w:rPr>
        <w:t>/</w:t>
      </w:r>
      <w:r>
        <w:rPr>
          <w:rFonts w:hint="eastAsia" w:ascii="仿宋" w:hAnsi="仿宋" w:eastAsia="仿宋" w:cs="仿宋_GB2312"/>
          <w:sz w:val="32"/>
          <w:szCs w:val="32"/>
        </w:rPr>
        <w:t>3.8</w:t>
      </w:r>
      <w:r>
        <w:rPr>
          <w:rFonts w:ascii="仿宋" w:hAnsi="仿宋" w:eastAsia="仿宋" w:cs="仿宋_GB2312"/>
          <w:sz w:val="32"/>
          <w:szCs w:val="32"/>
        </w:rPr>
        <w:t>=</w:t>
      </w:r>
      <w:r>
        <w:rPr>
          <w:rFonts w:hint="eastAsia" w:ascii="仿宋" w:hAnsi="仿宋" w:eastAsia="仿宋" w:cs="仿宋_GB2312"/>
          <w:sz w:val="32"/>
          <w:szCs w:val="32"/>
        </w:rPr>
        <w:t>61.84</w:t>
      </w:r>
      <w:r>
        <w:rPr>
          <w:rFonts w:ascii="仿宋" w:hAnsi="仿宋" w:eastAsia="仿宋" w:cs="仿宋_GB2312"/>
          <w:sz w:val="32"/>
          <w:szCs w:val="32"/>
        </w:rPr>
        <w:t>%</w:t>
      </w:r>
      <w:r>
        <w:rPr>
          <w:rFonts w:hint="eastAsia" w:ascii="仿宋" w:hAnsi="仿宋" w:eastAsia="仿宋" w:cs="仿宋_GB2312"/>
          <w:sz w:val="32"/>
          <w:szCs w:val="32"/>
        </w:rPr>
        <w:t>，政府采购执行率0.00/0.00</w:t>
      </w:r>
      <w:r>
        <w:rPr>
          <w:rFonts w:ascii="仿宋" w:hAnsi="仿宋" w:eastAsia="仿宋" w:cs="仿宋_GB2312"/>
          <w:sz w:val="32"/>
          <w:szCs w:val="32"/>
        </w:rPr>
        <w:t>=</w:t>
      </w:r>
      <w:r>
        <w:rPr>
          <w:rFonts w:hint="eastAsia" w:ascii="仿宋" w:hAnsi="仿宋" w:eastAsia="仿宋" w:cs="仿宋_GB2312"/>
          <w:sz w:val="32"/>
          <w:szCs w:val="32"/>
        </w:rPr>
        <w:t>0.00</w:t>
      </w:r>
      <w:r>
        <w:rPr>
          <w:rFonts w:ascii="仿宋" w:hAnsi="仿宋" w:eastAsia="仿宋" w:cs="仿宋_GB2312"/>
          <w:sz w:val="32"/>
          <w:szCs w:val="32"/>
        </w:rPr>
        <w:t>%</w:t>
      </w:r>
      <w:r>
        <w:rPr>
          <w:rFonts w:hint="eastAsia" w:ascii="仿宋" w:hAnsi="仿宋" w:eastAsia="仿宋" w:cs="仿宋_GB2312"/>
          <w:sz w:val="32"/>
          <w:szCs w:val="32"/>
        </w:rPr>
        <w:t>，管理制度健全，资金使用合规，预决算信息公开；</w:t>
      </w:r>
    </w:p>
    <w:p>
      <w:pPr>
        <w:widowControl/>
        <w:autoSpaceDE w:val="0"/>
        <w:ind w:firstLine="640" w:firstLineChars="200"/>
        <w:rPr>
          <w:rFonts w:ascii="仿宋" w:hAnsi="仿宋" w:eastAsia="仿宋" w:cs="Times New Roman"/>
          <w:sz w:val="32"/>
          <w:szCs w:val="32"/>
        </w:rPr>
      </w:pPr>
      <w:r>
        <w:rPr>
          <w:rFonts w:ascii="仿宋" w:hAnsi="仿宋" w:eastAsia="仿宋" w:cs="仿宋_GB2312"/>
          <w:sz w:val="32"/>
          <w:szCs w:val="32"/>
        </w:rPr>
        <w:t>3</w:t>
      </w:r>
      <w:r>
        <w:rPr>
          <w:rFonts w:hint="eastAsia" w:ascii="仿宋" w:hAnsi="仿宋" w:eastAsia="仿宋" w:cs="仿宋_GB2312"/>
          <w:sz w:val="32"/>
          <w:szCs w:val="32"/>
        </w:rPr>
        <w:t>、产出及效率方面：重点工作完成及时，经济效益、社会效益、行政效能良好，社会公众满意度较高。</w:t>
      </w:r>
    </w:p>
    <w:p>
      <w:pPr>
        <w:widowControl/>
        <w:ind w:firstLine="643" w:firstLineChars="200"/>
        <w:rPr>
          <w:rFonts w:ascii="仿宋" w:hAnsi="仿宋" w:eastAsia="仿宋" w:cs="Times New Roman"/>
          <w:b/>
          <w:color w:val="222222"/>
          <w:kern w:val="0"/>
          <w:sz w:val="32"/>
          <w:szCs w:val="32"/>
        </w:rPr>
      </w:pPr>
      <w:r>
        <w:rPr>
          <w:rFonts w:hint="eastAsia" w:ascii="仿宋" w:hAnsi="仿宋" w:eastAsia="仿宋" w:cs="黑体"/>
          <w:b/>
          <w:color w:val="222222"/>
          <w:kern w:val="0"/>
          <w:sz w:val="32"/>
          <w:szCs w:val="32"/>
        </w:rPr>
        <w:t>七、存在的主要问题</w:t>
      </w:r>
    </w:p>
    <w:p>
      <w:pPr>
        <w:widowControl/>
        <w:autoSpaceDE w:val="0"/>
        <w:ind w:firstLine="640" w:firstLineChars="200"/>
        <w:rPr>
          <w:rFonts w:ascii="仿宋" w:hAnsi="仿宋" w:eastAsia="仿宋" w:cs="Times New Roman"/>
          <w:sz w:val="32"/>
          <w:szCs w:val="32"/>
        </w:rPr>
      </w:pPr>
      <w:r>
        <w:rPr>
          <w:rFonts w:ascii="仿宋" w:hAnsi="仿宋" w:eastAsia="仿宋" w:cs="仿宋_GB2312"/>
          <w:sz w:val="32"/>
          <w:szCs w:val="32"/>
        </w:rPr>
        <w:t>1</w:t>
      </w:r>
      <w:r>
        <w:rPr>
          <w:rFonts w:hint="eastAsia" w:ascii="仿宋" w:hAnsi="仿宋" w:eastAsia="仿宋" w:cs="仿宋_GB2312"/>
          <w:sz w:val="32"/>
          <w:szCs w:val="32"/>
        </w:rPr>
        <w:t>、在职人员控制率差。差异原因，我单位核定编制数</w:t>
      </w:r>
      <w:r>
        <w:rPr>
          <w:rFonts w:ascii="仿宋" w:hAnsi="仿宋" w:eastAsia="仿宋" w:cs="仿宋_GB2312"/>
          <w:sz w:val="32"/>
          <w:szCs w:val="32"/>
        </w:rPr>
        <w:t>25</w:t>
      </w:r>
      <w:r>
        <w:rPr>
          <w:rFonts w:hint="eastAsia" w:ascii="仿宋" w:hAnsi="仿宋" w:eastAsia="仿宋" w:cs="仿宋_GB2312"/>
          <w:sz w:val="32"/>
          <w:szCs w:val="32"/>
        </w:rPr>
        <w:t>人，实际上岗人数</w:t>
      </w:r>
      <w:r>
        <w:rPr>
          <w:rFonts w:ascii="仿宋" w:hAnsi="仿宋" w:eastAsia="仿宋" w:cs="仿宋_GB2312"/>
          <w:sz w:val="32"/>
          <w:szCs w:val="32"/>
        </w:rPr>
        <w:t>2</w:t>
      </w:r>
      <w:r>
        <w:rPr>
          <w:rFonts w:hint="eastAsia" w:ascii="仿宋" w:hAnsi="仿宋" w:eastAsia="仿宋" w:cs="仿宋_GB2312"/>
          <w:sz w:val="32"/>
          <w:szCs w:val="32"/>
        </w:rPr>
        <w:t>7人，其中有两人是政府任命配备班子成员，另有两人是伤残军人，属政府特殊照顾人员，虽未纳入岗位编制，但享受与在编人员同等待遇。</w:t>
      </w:r>
    </w:p>
    <w:p>
      <w:pPr>
        <w:widowControl/>
        <w:autoSpaceDE w:val="0"/>
        <w:ind w:firstLine="640" w:firstLineChars="200"/>
        <w:rPr>
          <w:rFonts w:ascii="仿宋" w:hAnsi="仿宋" w:eastAsia="仿宋" w:cs="Times New Roman"/>
          <w:color w:val="222222"/>
          <w:kern w:val="0"/>
          <w:sz w:val="32"/>
          <w:szCs w:val="32"/>
        </w:rPr>
      </w:pPr>
      <w:r>
        <w:rPr>
          <w:rFonts w:ascii="仿宋" w:hAnsi="仿宋" w:eastAsia="仿宋" w:cs="仿宋_GB2312"/>
          <w:sz w:val="32"/>
          <w:szCs w:val="32"/>
        </w:rPr>
        <w:t>2</w:t>
      </w:r>
      <w:r>
        <w:rPr>
          <w:rFonts w:hint="eastAsia" w:ascii="仿宋" w:hAnsi="仿宋" w:eastAsia="仿宋" w:cs="仿宋_GB2312"/>
          <w:sz w:val="32"/>
          <w:szCs w:val="32"/>
        </w:rPr>
        <w:t>、预算控制率差。差异原因，</w:t>
      </w:r>
      <w:r>
        <w:rPr>
          <w:rFonts w:hint="eastAsia" w:ascii="仿宋" w:hAnsi="仿宋" w:eastAsia="仿宋" w:cs="仿宋"/>
          <w:color w:val="000000"/>
          <w:sz w:val="32"/>
          <w:szCs w:val="32"/>
        </w:rPr>
        <w:t>水利系统“两五及分流”人员经费预算不足和年初</w:t>
      </w:r>
      <w:r>
        <w:rPr>
          <w:rFonts w:hint="eastAsia" w:ascii="仿宋" w:hAnsi="仿宋" w:eastAsia="仿宋" w:cs="仿宋"/>
          <w:color w:val="222222"/>
          <w:kern w:val="0"/>
          <w:sz w:val="32"/>
          <w:szCs w:val="32"/>
        </w:rPr>
        <w:t>项目的不确定性无法精准做好</w:t>
      </w:r>
      <w:r>
        <w:rPr>
          <w:rFonts w:hint="eastAsia" w:ascii="仿宋" w:hAnsi="仿宋" w:eastAsia="仿宋" w:cs="仿宋"/>
          <w:color w:val="000000"/>
          <w:sz w:val="32"/>
          <w:szCs w:val="32"/>
        </w:rPr>
        <w:t>预算</w:t>
      </w:r>
      <w:r>
        <w:rPr>
          <w:rFonts w:hint="eastAsia" w:ascii="仿宋" w:hAnsi="仿宋" w:eastAsia="仿宋" w:cs="仿宋"/>
          <w:color w:val="222222"/>
          <w:kern w:val="0"/>
          <w:sz w:val="32"/>
          <w:szCs w:val="32"/>
        </w:rPr>
        <w:t>。</w:t>
      </w:r>
    </w:p>
    <w:p>
      <w:pPr>
        <w:widowControl/>
        <w:ind w:firstLine="643" w:firstLineChars="200"/>
        <w:rPr>
          <w:rFonts w:ascii="仿宋" w:hAnsi="仿宋" w:eastAsia="仿宋" w:cs="Times New Roman"/>
          <w:b/>
          <w:color w:val="000000"/>
          <w:sz w:val="32"/>
          <w:szCs w:val="32"/>
        </w:rPr>
      </w:pPr>
      <w:r>
        <w:rPr>
          <w:rFonts w:hint="eastAsia" w:ascii="仿宋" w:hAnsi="仿宋" w:eastAsia="仿宋" w:cs="黑体"/>
          <w:b/>
          <w:color w:val="000000"/>
          <w:sz w:val="32"/>
          <w:szCs w:val="32"/>
        </w:rPr>
        <w:t>八、有关建议</w:t>
      </w:r>
    </w:p>
    <w:p>
      <w:pPr>
        <w:widowControl/>
        <w:autoSpaceDE w:val="0"/>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、合理预算，要有前瞻性，及时和有关部门沟通协调，把工作做细致，政府采购及水利工程预算额度很难把握，尽量做到预算与决算无偏差。</w:t>
      </w:r>
    </w:p>
    <w:p>
      <w:pPr>
        <w:widowControl/>
        <w:ind w:firstLine="640" w:firstLineChars="200"/>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、保障水利系统“两五及分流”人员经费，加大水利专业技术人员的培养，为防汛抗旱提供有力保障。</w:t>
      </w: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仿宋"/>
          <w:color w:val="000000"/>
          <w:sz w:val="32"/>
          <w:szCs w:val="32"/>
        </w:rPr>
      </w:pPr>
    </w:p>
    <w:p>
      <w:pPr>
        <w:widowControl/>
        <w:ind w:firstLine="640" w:firstLineChars="200"/>
        <w:rPr>
          <w:rFonts w:ascii="仿宋" w:hAnsi="仿宋" w:eastAsia="仿宋" w:cs="Times New Roman"/>
          <w:color w:val="000000"/>
          <w:sz w:val="32"/>
          <w:szCs w:val="32"/>
        </w:rPr>
      </w:pPr>
    </w:p>
    <w:p/>
    <w:p>
      <w:pPr>
        <w:widowControl/>
        <w:autoSpaceDE w:val="0"/>
        <w:ind w:firstLine="640" w:firstLineChars="200"/>
        <w:rPr>
          <w:rFonts w:ascii="仿宋" w:hAnsi="仿宋" w:eastAsia="仿宋" w:cs="Times New Roman"/>
          <w:sz w:val="32"/>
          <w:szCs w:val="32"/>
        </w:rPr>
      </w:pPr>
    </w:p>
    <w:p>
      <w:pPr>
        <w:spacing w:line="560" w:lineRule="exact"/>
        <w:jc w:val="center"/>
        <w:rPr>
          <w:rFonts w:ascii="宋体" w:cs="Times New Roman"/>
          <w:b/>
          <w:bCs/>
          <w:kern w:val="0"/>
          <w:sz w:val="36"/>
          <w:szCs w:val="36"/>
        </w:rPr>
      </w:pPr>
      <w:r>
        <w:rPr>
          <w:rFonts w:hint="eastAsia" w:ascii="宋体" w:hAnsi="宋体" w:cs="宋体"/>
          <w:b/>
          <w:bCs/>
          <w:kern w:val="0"/>
          <w:sz w:val="36"/>
          <w:szCs w:val="36"/>
        </w:rPr>
        <w:t>部门整体支出绩效评价指标表</w:t>
      </w:r>
    </w:p>
    <w:p>
      <w:pPr>
        <w:spacing w:line="560" w:lineRule="exact"/>
        <w:jc w:val="center"/>
        <w:rPr>
          <w:rFonts w:ascii="Times New Roman" w:hAnsi="Times New Roman" w:cs="Times New Roman"/>
          <w:kern w:val="0"/>
          <w:sz w:val="24"/>
          <w:szCs w:val="24"/>
        </w:rPr>
      </w:pPr>
    </w:p>
    <w:tbl>
      <w:tblPr>
        <w:tblStyle w:val="12"/>
        <w:tblW w:w="10771" w:type="dxa"/>
        <w:jc w:val="center"/>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三级</w:t>
            </w:r>
          </w:p>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nil"/>
              <w:right w:val="nil"/>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宋体" w:hAnsi="宋体" w:cs="宋体"/>
                <w:kern w:val="0"/>
                <w:sz w:val="20"/>
                <w:szCs w:val="20"/>
              </w:rPr>
              <w:t>≦</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cs="Times New Roman"/>
                <w:kern w:val="0"/>
                <w:sz w:val="20"/>
                <w:szCs w:val="20"/>
              </w:rPr>
              <w:t>0.5</w:t>
            </w:r>
            <w:r>
              <w:rPr>
                <w:rFonts w:hint="eastAsia" w:ascii="Times New Roman" w:hAnsi="Times New Roman" w:eastAsia="仿宋_GB2312" w:cs="仿宋_GB2312"/>
                <w:kern w:val="0"/>
                <w:sz w:val="20"/>
                <w:szCs w:val="20"/>
              </w:rPr>
              <w:t>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在职人员控制率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p>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hint="eastAsia" w:ascii="Times New Roman" w:hAnsi="Times New Roman" w:cs="Times New Roman"/>
                <w:kern w:val="0"/>
                <w:sz w:val="24"/>
                <w:szCs w:val="24"/>
              </w:rPr>
              <w:t>1</w:t>
            </w:r>
          </w:p>
        </w:tc>
      </w:tr>
      <w:tr>
        <w:tblPrEx>
          <w:tblCellMar>
            <w:top w:w="0" w:type="dxa"/>
            <w:left w:w="108" w:type="dxa"/>
            <w:bottom w:w="0" w:type="dxa"/>
            <w:right w:w="108" w:type="dxa"/>
          </w:tblCellMar>
        </w:tblPrEx>
        <w:trPr>
          <w:trHeight w:val="14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变动率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变动率</w:t>
            </w:r>
            <w:r>
              <w:rPr>
                <w:rFonts w:hint="eastAsia" w:ascii="宋体" w:hAnsi="宋体" w:cs="宋体"/>
                <w:kern w:val="0"/>
                <w:sz w:val="20"/>
                <w:szCs w:val="20"/>
              </w:rPr>
              <w:t>≦</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8</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cs="Times New Roman"/>
                <w:kern w:val="0"/>
                <w:sz w:val="20"/>
                <w:szCs w:val="20"/>
              </w:rPr>
              <w:t>0.8</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变动率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（本年度</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预算数</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8</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过程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hint="eastAsia" w:ascii="Times New Roman" w:hAnsi="Times New Roman" w:cs="Times New Roman"/>
                <w:kern w:val="0"/>
                <w:sz w:val="24"/>
                <w:szCs w:val="24"/>
              </w:rPr>
              <w:t>0</w:t>
            </w:r>
          </w:p>
        </w:tc>
      </w:tr>
      <w:tr>
        <w:tblPrEx>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cs="Times New Roman"/>
                <w:kern w:val="0"/>
                <w:sz w:val="20"/>
                <w:szCs w:val="20"/>
              </w:rPr>
              <w:t>30%</w:t>
            </w:r>
            <w:r>
              <w:rPr>
                <w:rFonts w:hint="eastAsia" w:ascii="Times New Roman" w:hAnsi="Times New Roman" w:eastAsia="仿宋_GB2312" w:cs="仿宋_GB2312"/>
                <w:kern w:val="0"/>
                <w:sz w:val="20"/>
                <w:szCs w:val="20"/>
              </w:rPr>
              <w:t>不得分。</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hint="eastAsia" w:ascii="Times New Roman" w:hAnsi="Times New Roman" w:cs="Times New Roman"/>
                <w:kern w:val="0"/>
                <w:sz w:val="24"/>
                <w:szCs w:val="24"/>
              </w:rPr>
              <w:t>5</w:t>
            </w:r>
          </w:p>
        </w:tc>
      </w:tr>
      <w:tr>
        <w:tblPrEx>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p>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5</w:t>
            </w:r>
          </w:p>
        </w:tc>
      </w:tr>
      <w:tr>
        <w:tblPrEx>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p>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5</w:t>
            </w:r>
          </w:p>
        </w:tc>
      </w:tr>
      <w:tr>
        <w:tblPrEx>
          <w:tblCellMar>
            <w:top w:w="0" w:type="dxa"/>
            <w:left w:w="108" w:type="dxa"/>
            <w:bottom w:w="0" w:type="dxa"/>
            <w:right w:w="108" w:type="dxa"/>
          </w:tblCellMar>
        </w:tblPrEx>
        <w:trPr>
          <w:trHeight w:val="167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公用经费控制率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8</w:t>
            </w:r>
          </w:p>
        </w:tc>
      </w:tr>
      <w:tr>
        <w:tblPrEx>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控制率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实际支出数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预算安排数）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8</w:t>
            </w:r>
          </w:p>
        </w:tc>
      </w:tr>
      <w:tr>
        <w:tblPrEx>
          <w:tblCellMar>
            <w:top w:w="0" w:type="dxa"/>
            <w:left w:w="108" w:type="dxa"/>
            <w:bottom w:w="0" w:type="dxa"/>
            <w:right w:w="108" w:type="dxa"/>
          </w:tblCellMar>
        </w:tblPrEx>
        <w:trPr>
          <w:trHeight w:val="1085"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3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6</w:t>
            </w:r>
          </w:p>
        </w:tc>
      </w:tr>
      <w:tr>
        <w:tblPrEx>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过程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28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p>
            <w:pPr>
              <w:widowControl/>
              <w:spacing w:line="28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5</w:t>
            </w:r>
          </w:p>
        </w:tc>
      </w:tr>
      <w:tr>
        <w:tblPrEx>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1074" w:type="dxa"/>
            <w:tcBorders>
              <w:top w:val="nil"/>
              <w:left w:val="nil"/>
              <w:bottom w:val="nil"/>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hint="eastAsia" w:ascii="Times New Roman" w:hAnsi="Times New Roman" w:eastAsia="仿宋_GB2312" w:cs="仿宋_GB2312"/>
                <w:kern w:val="0"/>
                <w:sz w:val="20"/>
                <w:szCs w:val="20"/>
                <w:lang w:eastAsia="zh-CN"/>
              </w:rPr>
            </w:pPr>
            <w:r>
              <w:rPr>
                <w:rFonts w:hint="eastAsia" w:ascii="Times New Roman" w:hAnsi="Times New Roman" w:eastAsia="仿宋_GB2312" w:cs="仿宋_GB2312"/>
                <w:kern w:val="0"/>
                <w:sz w:val="20"/>
                <w:szCs w:val="20"/>
              </w:rPr>
              <w:t>根据绩效办</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p>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该项得分</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cs="Times New Roman"/>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*8</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8</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履职效益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CellMar>
            <w:top w:w="0" w:type="dxa"/>
            <w:left w:w="108" w:type="dxa"/>
            <w:bottom w:w="0" w:type="dxa"/>
            <w:right w:w="108" w:type="dxa"/>
          </w:tblCellMar>
        </w:tblPrEx>
        <w:trPr>
          <w:trHeight w:val="758"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22" w:type="dxa"/>
            <w:tcBorders>
              <w:top w:val="nil"/>
              <w:left w:val="nil"/>
              <w:bottom w:val="nil"/>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6</w:t>
            </w:r>
          </w:p>
        </w:tc>
      </w:tr>
      <w:tr>
        <w:tblPrEx>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6</w:t>
            </w:r>
          </w:p>
        </w:tc>
      </w:tr>
      <w:tr>
        <w:tblPrEx>
          <w:tblCellMar>
            <w:top w:w="0" w:type="dxa"/>
            <w:left w:w="108" w:type="dxa"/>
            <w:bottom w:w="0" w:type="dxa"/>
            <w:right w:w="108" w:type="dxa"/>
          </w:tblCellMar>
        </w:tblPrEx>
        <w:trPr>
          <w:trHeight w:val="377"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280" w:lineRule="exact"/>
              <w:jc w:val="left"/>
              <w:rPr>
                <w:rFonts w:hint="eastAsia" w:ascii="Times New Roman" w:hAnsi="Times New Roman" w:eastAsia="仿宋_GB2312" w:cs="仿宋_GB2312"/>
                <w:kern w:val="0"/>
                <w:sz w:val="20"/>
                <w:szCs w:val="20"/>
                <w:lang w:eastAsia="zh-CN"/>
              </w:rPr>
            </w:pP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w:t>
            </w:r>
          </w:p>
          <w:p>
            <w:pPr>
              <w:widowControl/>
              <w:spacing w:line="280" w:lineRule="exact"/>
              <w:jc w:val="left"/>
              <w:rPr>
                <w:rFonts w:hint="eastAsia" w:ascii="Times New Roman" w:hAnsi="Times New Roman" w:eastAsia="仿宋_GB2312" w:cs="仿宋_GB2312"/>
                <w:kern w:val="0"/>
                <w:sz w:val="20"/>
                <w:szCs w:val="20"/>
                <w:lang w:eastAsia="zh-CN"/>
              </w:rPr>
            </w:pP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p>
          <w:p>
            <w:pPr>
              <w:widowControl/>
              <w:spacing w:line="280" w:lineRule="exact"/>
              <w:jc w:val="left"/>
              <w:rPr>
                <w:rFonts w:hint="eastAsia" w:ascii="Times New Roman" w:hAnsi="Times New Roman" w:eastAsia="仿宋_GB2312" w:cs="仿宋_GB2312"/>
                <w:kern w:val="0"/>
                <w:sz w:val="20"/>
                <w:szCs w:val="20"/>
                <w:lang w:eastAsia="zh-CN"/>
              </w:rPr>
            </w:pP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低于</w:t>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r>
              <w:rPr>
                <w:rFonts w:ascii="Times New Roman" w:hAnsi="Times New Roman" w:cs="Times New Roman"/>
                <w:kern w:val="0"/>
                <w:sz w:val="24"/>
                <w:szCs w:val="24"/>
              </w:rPr>
              <w:t>6</w:t>
            </w:r>
          </w:p>
        </w:tc>
      </w:tr>
      <w:tr>
        <w:tblPrEx>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90</w:t>
            </w:r>
          </w:p>
        </w:tc>
        <w:tc>
          <w:tcPr>
            <w:tcW w:w="622"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imes New Roman" w:hAnsi="Times New Roman" w:cs="Times New Roman"/>
                <w:kern w:val="0"/>
                <w:sz w:val="24"/>
                <w:szCs w:val="24"/>
              </w:rPr>
            </w:pPr>
            <w:r>
              <w:rPr>
                <w:rFonts w:ascii="Times New Roman" w:hAnsi="Times New Roman" w:cs="Times New Roman"/>
                <w:kern w:val="0"/>
                <w:sz w:val="24"/>
                <w:szCs w:val="24"/>
              </w:rPr>
              <w:t>9</w:t>
            </w:r>
            <w:r>
              <w:rPr>
                <w:rFonts w:hint="eastAsia" w:ascii="Times New Roman" w:hAnsi="Times New Roman" w:cs="Times New Roman"/>
                <w:kern w:val="0"/>
                <w:sz w:val="24"/>
                <w:szCs w:val="24"/>
              </w:rPr>
              <w:t>1</w:t>
            </w:r>
          </w:p>
        </w:tc>
      </w:tr>
    </w:tbl>
    <w:p>
      <w:pPr>
        <w:spacing w:line="560" w:lineRule="exact"/>
        <w:jc w:val="center"/>
        <w:rPr>
          <w:rFonts w:ascii="宋体" w:cs="Times New Roman"/>
          <w:b/>
          <w:bCs/>
          <w:kern w:val="0"/>
          <w:sz w:val="32"/>
          <w:szCs w:val="32"/>
        </w:rPr>
      </w:pPr>
      <w:r>
        <w:rPr>
          <w:rFonts w:ascii="Times New Roman" w:hAnsi="Times New Roman" w:eastAsia="黑体" w:cs="Times New Roman"/>
          <w:sz w:val="28"/>
          <w:szCs w:val="28"/>
        </w:rPr>
        <w:br w:type="page"/>
      </w:r>
      <w:r>
        <w:rPr>
          <w:rFonts w:hint="eastAsia" w:ascii="宋体" w:hAnsi="宋体" w:cs="宋体"/>
          <w:b/>
          <w:bCs/>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填报单位：澧县洈水灌区管理处</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12"/>
        <w:tblW w:w="5352" w:type="pct"/>
        <w:jc w:val="center"/>
        <w:tblLayout w:type="autofit"/>
        <w:tblCellMar>
          <w:top w:w="0" w:type="dxa"/>
          <w:left w:w="108" w:type="dxa"/>
          <w:bottom w:w="0" w:type="dxa"/>
          <w:right w:w="108" w:type="dxa"/>
        </w:tblCellMar>
      </w:tblPr>
      <w:tblGrid>
        <w:gridCol w:w="3391"/>
        <w:gridCol w:w="939"/>
        <w:gridCol w:w="1267"/>
        <w:gridCol w:w="755"/>
        <w:gridCol w:w="1676"/>
        <w:gridCol w:w="814"/>
        <w:gridCol w:w="977"/>
      </w:tblGrid>
      <w:tr>
        <w:tblPrEx>
          <w:tblCellMar>
            <w:top w:w="0" w:type="dxa"/>
            <w:left w:w="108" w:type="dxa"/>
            <w:bottom w:w="0" w:type="dxa"/>
            <w:right w:w="108" w:type="dxa"/>
          </w:tblCellMar>
        </w:tblPrEx>
        <w:trPr>
          <w:trHeight w:val="202" w:hRule="atLeast"/>
          <w:jc w:val="center"/>
        </w:trPr>
        <w:tc>
          <w:tcPr>
            <w:tcW w:w="173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财政供养人员情况</w:t>
            </w:r>
          </w:p>
        </w:tc>
        <w:tc>
          <w:tcPr>
            <w:tcW w:w="1085"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编制数</w:t>
            </w:r>
          </w:p>
        </w:tc>
        <w:tc>
          <w:tcPr>
            <w:tcW w:w="1253"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w:t>
            </w:r>
            <w:r>
              <w:rPr>
                <w:rFonts w:hint="eastAsia" w:ascii="Times New Roman" w:hAnsi="Times New Roman" w:eastAsia="仿宋_GB2312" w:cs="Times New Roman"/>
                <w:b/>
                <w:bCs/>
                <w:kern w:val="0"/>
                <w:sz w:val="24"/>
                <w:szCs w:val="24"/>
              </w:rPr>
              <w:t>21</w:t>
            </w:r>
            <w:r>
              <w:rPr>
                <w:rFonts w:hint="eastAsia" w:ascii="Times New Roman" w:hAnsi="Times New Roman" w:eastAsia="仿宋_GB2312" w:cs="仿宋_GB2312"/>
                <w:b/>
                <w:bCs/>
                <w:kern w:val="0"/>
                <w:sz w:val="24"/>
                <w:szCs w:val="24"/>
              </w:rPr>
              <w:t>年实际在职人数</w:t>
            </w:r>
          </w:p>
        </w:tc>
        <w:tc>
          <w:tcPr>
            <w:tcW w:w="926"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控制率</w:t>
            </w:r>
          </w:p>
        </w:tc>
      </w:tr>
      <w:tr>
        <w:tblPrEx>
          <w:tblCellMar>
            <w:top w:w="0" w:type="dxa"/>
            <w:left w:w="108" w:type="dxa"/>
            <w:bottom w:w="0" w:type="dxa"/>
            <w:right w:w="108" w:type="dxa"/>
          </w:tblCellMar>
        </w:tblPrEx>
        <w:trPr>
          <w:trHeight w:val="31" w:hRule="atLeast"/>
          <w:jc w:val="center"/>
        </w:trPr>
        <w:tc>
          <w:tcPr>
            <w:tcW w:w="173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85"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25</w:t>
            </w: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w:t>
            </w:r>
          </w:p>
        </w:tc>
        <w:tc>
          <w:tcPr>
            <w:tcW w:w="926" w:type="pct"/>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rPr>
              <w:t>08</w:t>
            </w:r>
            <w:r>
              <w:rPr>
                <w:rFonts w:ascii="Times New Roman" w:hAnsi="Times New Roman" w:eastAsia="仿宋_GB2312" w:cs="Times New Roman"/>
                <w:kern w:val="0"/>
                <w:sz w:val="24"/>
                <w:szCs w:val="24"/>
              </w:rPr>
              <w:t>%</w:t>
            </w: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经费控制情况</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w:t>
            </w:r>
            <w:r>
              <w:rPr>
                <w:rFonts w:hint="eastAsia" w:ascii="Times New Roman" w:hAnsi="Times New Roman" w:eastAsia="仿宋_GB2312" w:cs="Times New Roman"/>
                <w:b/>
                <w:bCs/>
                <w:kern w:val="0"/>
                <w:sz w:val="24"/>
                <w:szCs w:val="24"/>
              </w:rPr>
              <w:t>20</w:t>
            </w:r>
            <w:r>
              <w:rPr>
                <w:rFonts w:hint="eastAsia" w:ascii="Times New Roman" w:hAnsi="Times New Roman" w:eastAsia="仿宋_GB2312" w:cs="仿宋_GB2312"/>
                <w:b/>
                <w:bCs/>
                <w:kern w:val="0"/>
                <w:sz w:val="24"/>
                <w:szCs w:val="24"/>
              </w:rPr>
              <w:t>年决算数</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w:t>
            </w:r>
            <w:r>
              <w:rPr>
                <w:rFonts w:hint="eastAsia" w:ascii="Times New Roman" w:hAnsi="Times New Roman" w:eastAsia="仿宋_GB2312" w:cs="Times New Roman"/>
                <w:b/>
                <w:bCs/>
                <w:kern w:val="0"/>
                <w:sz w:val="24"/>
                <w:szCs w:val="24"/>
              </w:rPr>
              <w:t>21</w:t>
            </w:r>
            <w:r>
              <w:rPr>
                <w:rFonts w:hint="eastAsia" w:ascii="Times New Roman" w:hAnsi="Times New Roman" w:eastAsia="仿宋_GB2312" w:cs="仿宋_GB2312"/>
                <w:b/>
                <w:bCs/>
                <w:kern w:val="0"/>
                <w:sz w:val="24"/>
                <w:szCs w:val="24"/>
              </w:rPr>
              <w:t>年预算数</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20</w:t>
            </w:r>
            <w:r>
              <w:rPr>
                <w:rFonts w:hint="eastAsia" w:ascii="Times New Roman" w:hAnsi="Times New Roman" w:eastAsia="仿宋_GB2312" w:cs="Times New Roman"/>
                <w:b/>
                <w:bCs/>
                <w:kern w:val="0"/>
                <w:sz w:val="24"/>
                <w:szCs w:val="24"/>
              </w:rPr>
              <w:t>21</w:t>
            </w:r>
            <w:r>
              <w:rPr>
                <w:rFonts w:hint="eastAsia" w:ascii="Times New Roman" w:hAnsi="Times New Roman" w:eastAsia="仿宋_GB2312" w:cs="仿宋_GB2312"/>
                <w:b/>
                <w:bCs/>
                <w:kern w:val="0"/>
                <w:sz w:val="24"/>
                <w:szCs w:val="24"/>
              </w:rPr>
              <w:t>年决算数</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三公经费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3.8</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2.35</w:t>
            </w:r>
          </w:p>
        </w:tc>
      </w:tr>
      <w:tr>
        <w:tblPrEx>
          <w:tblCellMar>
            <w:top w:w="0" w:type="dxa"/>
            <w:left w:w="108" w:type="dxa"/>
            <w:bottom w:w="0" w:type="dxa"/>
            <w:right w:w="108" w:type="dxa"/>
          </w:tblCellMar>
        </w:tblPrEx>
        <w:trPr>
          <w:trHeight w:val="197"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1</w:t>
            </w:r>
            <w:r>
              <w:rPr>
                <w:rFonts w:hint="eastAsia" w:ascii="Times New Roman" w:hAnsi="Times New Roman" w:eastAsia="仿宋_GB2312" w:cs="仿宋_GB2312"/>
                <w:kern w:val="0"/>
                <w:sz w:val="24"/>
                <w:szCs w:val="24"/>
              </w:rPr>
              <w:t>、公务用车购置和维护经费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其中：公车购置</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公车运行维护</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2</w:t>
            </w:r>
            <w:r>
              <w:rPr>
                <w:rFonts w:hint="eastAsia" w:ascii="Times New Roman" w:hAnsi="Times New Roman" w:eastAsia="仿宋_GB2312" w:cs="仿宋_GB2312"/>
                <w:kern w:val="0"/>
                <w:sz w:val="24"/>
                <w:szCs w:val="24"/>
              </w:rPr>
              <w:t>、出国经费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3</w:t>
            </w:r>
            <w:r>
              <w:rPr>
                <w:rFonts w:hint="eastAsia" w:ascii="Times New Roman" w:hAnsi="Times New Roman" w:eastAsia="仿宋_GB2312" w:cs="仿宋_GB2312"/>
                <w:kern w:val="0"/>
                <w:sz w:val="24"/>
                <w:szCs w:val="24"/>
              </w:rPr>
              <w:t>、公务接待</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3.8</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2.35</w:t>
            </w:r>
          </w:p>
        </w:tc>
      </w:tr>
      <w:tr>
        <w:tblPrEx>
          <w:tblCellMar>
            <w:top w:w="0" w:type="dxa"/>
            <w:left w:w="108" w:type="dxa"/>
            <w:bottom w:w="0" w:type="dxa"/>
            <w:right w:w="108" w:type="dxa"/>
          </w:tblCellMar>
        </w:tblPrEx>
        <w:trPr>
          <w:trHeight w:val="68"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项目支出：</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1</w:t>
            </w:r>
            <w:r>
              <w:rPr>
                <w:rFonts w:hint="eastAsia" w:ascii="Times New Roman" w:hAnsi="Times New Roman" w:eastAsia="仿宋_GB2312" w:cs="仿宋_GB2312"/>
                <w:kern w:val="0"/>
                <w:sz w:val="24"/>
                <w:szCs w:val="24"/>
              </w:rPr>
              <w:t>、业务工作专项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30　</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30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2</w:t>
            </w:r>
            <w:r>
              <w:rPr>
                <w:rFonts w:hint="eastAsia" w:ascii="Times New Roman" w:hAnsi="Times New Roman" w:eastAsia="仿宋_GB2312" w:cs="仿宋_GB2312"/>
                <w:kern w:val="0"/>
                <w:sz w:val="24"/>
                <w:szCs w:val="24"/>
              </w:rPr>
              <w:t>、运行维护专项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60</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44.2</w:t>
            </w:r>
          </w:p>
        </w:tc>
      </w:tr>
      <w:tr>
        <w:tblPrEx>
          <w:tblCellMar>
            <w:top w:w="0" w:type="dxa"/>
            <w:left w:w="108" w:type="dxa"/>
            <w:bottom w:w="0" w:type="dxa"/>
            <w:right w:w="108" w:type="dxa"/>
          </w:tblCellMar>
        </w:tblPrEx>
        <w:trPr>
          <w:trHeight w:val="951"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480" w:firstLineChars="2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3、续建配套与节水改造专项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521.08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649.92</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513.59　</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公用经费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77.13</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45.08</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40.06</w:t>
            </w:r>
          </w:p>
        </w:tc>
      </w:tr>
      <w:tr>
        <w:tblPrEx>
          <w:tblCellMar>
            <w:top w:w="0" w:type="dxa"/>
            <w:left w:w="108" w:type="dxa"/>
            <w:bottom w:w="0" w:type="dxa"/>
            <w:right w:w="108" w:type="dxa"/>
          </w:tblCellMar>
        </w:tblPrEx>
        <w:trPr>
          <w:trHeight w:val="68"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其中：办公经费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2.6</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xml:space="preserve">      水电费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2.62</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4</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720" w:firstLineChars="300"/>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差旅费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2.85</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8.5</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2.6</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720" w:firstLineChars="300"/>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会议费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720" w:firstLineChars="300"/>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培训费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720" w:firstLineChars="300"/>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福利费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720" w:firstLineChars="300"/>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工会经费</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9.5</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ind w:firstLine="480" w:firstLineChars="200"/>
              <w:jc w:val="left"/>
              <w:rPr>
                <w:rFonts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其他商品和服务支出</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51.36</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8.38</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30.04</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政府采购金额</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521.08</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32"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部门整体支出预算调整</w:t>
            </w:r>
          </w:p>
        </w:tc>
        <w:tc>
          <w:tcPr>
            <w:tcW w:w="1085"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948.99</w:t>
            </w:r>
          </w:p>
        </w:tc>
        <w:tc>
          <w:tcPr>
            <w:tcW w:w="1253"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1158.21</w:t>
            </w:r>
          </w:p>
        </w:tc>
        <w:tc>
          <w:tcPr>
            <w:tcW w:w="926" w:type="pct"/>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hint="eastAsia" w:ascii="Times New Roman" w:hAnsi="Times New Roman" w:eastAsia="仿宋_GB2312" w:cs="Times New Roman"/>
                <w:kern w:val="0"/>
                <w:sz w:val="24"/>
                <w:szCs w:val="24"/>
              </w:rPr>
              <w:t>978.41</w:t>
            </w:r>
          </w:p>
        </w:tc>
      </w:tr>
      <w:tr>
        <w:tblPrEx>
          <w:tblCellMar>
            <w:top w:w="0" w:type="dxa"/>
            <w:left w:w="108" w:type="dxa"/>
            <w:bottom w:w="0" w:type="dxa"/>
            <w:right w:w="108" w:type="dxa"/>
          </w:tblCellMar>
        </w:tblPrEx>
        <w:trPr>
          <w:trHeight w:val="200" w:hRule="atLeast"/>
          <w:jc w:val="center"/>
        </w:trPr>
        <w:tc>
          <w:tcPr>
            <w:tcW w:w="1735" w:type="pct"/>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仿宋_GB2312"/>
                <w:kern w:val="0"/>
                <w:sz w:val="24"/>
                <w:szCs w:val="24"/>
                <w:lang w:eastAsia="zh-CN"/>
              </w:rPr>
            </w:pPr>
            <w:r>
              <w:rPr>
                <w:rFonts w:hint="eastAsia" w:ascii="Times New Roman" w:hAnsi="Times New Roman" w:eastAsia="仿宋_GB2312" w:cs="仿宋_GB2312"/>
                <w:kern w:val="0"/>
                <w:sz w:val="24"/>
                <w:szCs w:val="24"/>
              </w:rPr>
              <w:t>楼堂馆所控制情况</w:t>
            </w:r>
          </w:p>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w:t>
            </w:r>
            <w:r>
              <w:rPr>
                <w:rFonts w:ascii="Times New Roman" w:hAnsi="Times New Roman" w:eastAsia="仿宋_GB2312" w:cs="Times New Roman"/>
                <w:kern w:val="0"/>
                <w:sz w:val="24"/>
                <w:szCs w:val="24"/>
              </w:rPr>
              <w:t>20</w:t>
            </w:r>
            <w:r>
              <w:rPr>
                <w:rFonts w:hint="eastAsia" w:ascii="Times New Roman" w:hAnsi="Times New Roman" w:eastAsia="仿宋_GB2312" w:cs="Times New Roman"/>
                <w:kern w:val="0"/>
                <w:sz w:val="24"/>
                <w:szCs w:val="24"/>
              </w:rPr>
              <w:t>20</w:t>
            </w:r>
            <w:r>
              <w:rPr>
                <w:rFonts w:hint="eastAsia" w:ascii="Times New Roman" w:hAnsi="Times New Roman" w:eastAsia="仿宋_GB2312" w:cs="仿宋_GB2312"/>
                <w:kern w:val="0"/>
                <w:sz w:val="24"/>
                <w:szCs w:val="24"/>
              </w:rPr>
              <w:t>年完工项目）</w:t>
            </w:r>
          </w:p>
        </w:tc>
        <w:tc>
          <w:tcPr>
            <w:tcW w:w="432" w:type="pct"/>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仿宋_GB2312"/>
                <w:b/>
                <w:bCs/>
                <w:kern w:val="0"/>
                <w:sz w:val="24"/>
                <w:szCs w:val="24"/>
                <w:lang w:eastAsia="zh-CN"/>
              </w:rPr>
            </w:pPr>
            <w:r>
              <w:rPr>
                <w:rFonts w:hint="eastAsia" w:ascii="Times New Roman" w:hAnsi="Times New Roman" w:eastAsia="仿宋_GB2312" w:cs="仿宋_GB2312"/>
                <w:b/>
                <w:bCs/>
                <w:kern w:val="0"/>
                <w:sz w:val="24"/>
                <w:szCs w:val="24"/>
              </w:rPr>
              <w:t>批复规模</w:t>
            </w:r>
          </w:p>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653"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实际规模（</w:t>
            </w:r>
            <w:r>
              <w:rPr>
                <w:rFonts w:hint="eastAsia" w:ascii="Times New Roman" w:hAnsi="Times New Roman" w:cs="宋体"/>
                <w:b/>
                <w:bCs/>
                <w:kern w:val="0"/>
                <w:sz w:val="24"/>
                <w:szCs w:val="24"/>
              </w:rPr>
              <w:t>㎡</w:t>
            </w:r>
            <w:r>
              <w:rPr>
                <w:rFonts w:hint="eastAsia" w:ascii="Times New Roman" w:hAnsi="Times New Roman" w:eastAsia="仿宋_GB2312" w:cs="仿宋_GB2312"/>
                <w:b/>
                <w:bCs/>
                <w:kern w:val="0"/>
                <w:sz w:val="24"/>
                <w:szCs w:val="24"/>
              </w:rPr>
              <w:t>）</w:t>
            </w:r>
          </w:p>
        </w:tc>
        <w:tc>
          <w:tcPr>
            <w:tcW w:w="392"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规模控制率</w:t>
            </w:r>
          </w:p>
        </w:tc>
        <w:tc>
          <w:tcPr>
            <w:tcW w:w="861"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预算投资（万元）</w:t>
            </w:r>
          </w:p>
        </w:tc>
        <w:tc>
          <w:tcPr>
            <w:tcW w:w="422"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实际投资（万元）</w:t>
            </w:r>
          </w:p>
        </w:tc>
        <w:tc>
          <w:tcPr>
            <w:tcW w:w="504"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 w:val="24"/>
                <w:szCs w:val="24"/>
              </w:rPr>
            </w:pPr>
            <w:r>
              <w:rPr>
                <w:rFonts w:hint="eastAsia" w:ascii="Times New Roman" w:hAnsi="Times New Roman" w:eastAsia="仿宋_GB2312" w:cs="仿宋_GB2312"/>
                <w:b/>
                <w:bCs/>
                <w:kern w:val="0"/>
                <w:sz w:val="24"/>
                <w:szCs w:val="24"/>
              </w:rPr>
              <w:t>投资概算控制率</w:t>
            </w:r>
          </w:p>
        </w:tc>
      </w:tr>
      <w:tr>
        <w:tblPrEx>
          <w:tblCellMar>
            <w:top w:w="0" w:type="dxa"/>
            <w:left w:w="108" w:type="dxa"/>
            <w:bottom w:w="0" w:type="dxa"/>
            <w:right w:w="108" w:type="dxa"/>
          </w:tblCellMar>
        </w:tblPrEx>
        <w:trPr>
          <w:trHeight w:val="31" w:hRule="atLeast"/>
          <w:jc w:val="center"/>
        </w:trPr>
        <w:tc>
          <w:tcPr>
            <w:tcW w:w="1735"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32" w:type="pct"/>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0</w:t>
            </w:r>
            <w:r>
              <w:rPr>
                <w:rFonts w:hint="eastAsia" w:ascii="Times New Roman" w:hAnsi="Times New Roman" w:eastAsia="仿宋_GB2312" w:cs="仿宋_GB2312"/>
                <w:kern w:val="0"/>
                <w:sz w:val="24"/>
                <w:szCs w:val="24"/>
              </w:rPr>
              <w:t>　</w:t>
            </w:r>
          </w:p>
        </w:tc>
        <w:tc>
          <w:tcPr>
            <w:tcW w:w="653" w:type="pct"/>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c>
          <w:tcPr>
            <w:tcW w:w="392" w:type="pct"/>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c>
          <w:tcPr>
            <w:tcW w:w="861" w:type="pct"/>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c>
          <w:tcPr>
            <w:tcW w:w="422" w:type="pct"/>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c>
          <w:tcPr>
            <w:tcW w:w="504" w:type="pct"/>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r>
              <w:rPr>
                <w:rFonts w:ascii="Times New Roman" w:hAnsi="Times New Roman" w:eastAsia="仿宋_GB2312" w:cs="Times New Roman"/>
                <w:kern w:val="0"/>
                <w:sz w:val="24"/>
                <w:szCs w:val="24"/>
              </w:rPr>
              <w:t>0</w:t>
            </w:r>
          </w:p>
        </w:tc>
      </w:tr>
      <w:tr>
        <w:tblPrEx>
          <w:tblCellMar>
            <w:top w:w="0" w:type="dxa"/>
            <w:left w:w="108" w:type="dxa"/>
            <w:bottom w:w="0" w:type="dxa"/>
            <w:right w:w="108" w:type="dxa"/>
          </w:tblCellMar>
        </w:tblPrEx>
        <w:trPr>
          <w:trHeight w:val="64" w:hRule="atLeast"/>
          <w:jc w:val="center"/>
        </w:trPr>
        <w:tc>
          <w:tcPr>
            <w:tcW w:w="1735" w:type="pc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厉行节约保障措施</w:t>
            </w:r>
          </w:p>
        </w:tc>
        <w:tc>
          <w:tcPr>
            <w:tcW w:w="3265" w:type="pct"/>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仿宋_GB2312"/>
                <w:kern w:val="0"/>
                <w:sz w:val="24"/>
                <w:szCs w:val="24"/>
              </w:rPr>
              <w:t>　</w:t>
            </w:r>
          </w:p>
        </w:tc>
      </w:tr>
    </w:tbl>
    <w:p>
      <w:pPr>
        <w:widowControl/>
        <w:jc w:val="left"/>
        <w:rPr>
          <w:rFonts w:ascii="Times New Roman" w:hAnsi="Times New Roman" w:cs="Times New Roman"/>
        </w:rPr>
      </w:pPr>
      <w:r>
        <w:rPr>
          <w:rFonts w:hint="eastAsia" w:ascii="Times New Roman" w:hAnsi="Times New Roman" w:eastAsia="仿宋_GB2312" w:cs="仿宋_GB2312"/>
          <w:kern w:val="0"/>
          <w:sz w:val="22"/>
          <w:szCs w:val="22"/>
        </w:rPr>
        <w:t>说明：</w:t>
      </w:r>
      <w:r>
        <w:rPr>
          <w:rFonts w:ascii="Times New Roman" w:hAnsi="Times New Roman" w:eastAsia="仿宋_GB2312" w:cs="Times New Roman"/>
          <w:kern w:val="0"/>
          <w:sz w:val="22"/>
          <w:szCs w:val="22"/>
        </w:rPr>
        <w:t>“</w:t>
      </w:r>
      <w:r>
        <w:rPr>
          <w:rFonts w:hint="eastAsia" w:ascii="Times New Roman" w:hAnsi="Times New Roman" w:eastAsia="仿宋_GB2312" w:cs="仿宋_GB2312"/>
          <w:kern w:val="0"/>
          <w:sz w:val="22"/>
          <w:szCs w:val="22"/>
        </w:rPr>
        <w:t>项目支出</w:t>
      </w:r>
      <w:r>
        <w:rPr>
          <w:rFonts w:ascii="Times New Roman" w:hAnsi="Times New Roman" w:eastAsia="仿宋_GB2312" w:cs="Times New Roman"/>
          <w:kern w:val="0"/>
          <w:sz w:val="22"/>
          <w:szCs w:val="22"/>
        </w:rPr>
        <w:t>”</w:t>
      </w:r>
      <w:r>
        <w:rPr>
          <w:rFonts w:hint="eastAsia" w:ascii="Times New Roman" w:hAnsi="Times New Roman" w:eastAsia="仿宋_GB2312" w:cs="仿宋_GB2312"/>
          <w:kern w:val="0"/>
          <w:sz w:val="22"/>
          <w:szCs w:val="22"/>
        </w:rPr>
        <w:t>需要填报除专项资金和基本支出以外的所有项目情况，包括业务工作项目、运行维护项目等；</w:t>
      </w:r>
      <w:r>
        <w:rPr>
          <w:rFonts w:ascii="Times New Roman" w:hAnsi="Times New Roman" w:eastAsia="仿宋_GB2312" w:cs="Times New Roman"/>
          <w:kern w:val="0"/>
          <w:sz w:val="22"/>
          <w:szCs w:val="22"/>
        </w:rPr>
        <w:t>“</w:t>
      </w:r>
      <w:r>
        <w:rPr>
          <w:rFonts w:hint="eastAsia" w:ascii="Times New Roman" w:hAnsi="Times New Roman" w:eastAsia="仿宋_GB2312" w:cs="仿宋_GB2312"/>
          <w:kern w:val="0"/>
          <w:sz w:val="22"/>
          <w:szCs w:val="22"/>
        </w:rPr>
        <w:t>公用经费</w:t>
      </w:r>
      <w:r>
        <w:rPr>
          <w:rFonts w:ascii="Times New Roman" w:hAnsi="Times New Roman" w:eastAsia="仿宋_GB2312" w:cs="Times New Roman"/>
          <w:kern w:val="0"/>
          <w:sz w:val="22"/>
          <w:szCs w:val="22"/>
        </w:rPr>
        <w:t>”</w:t>
      </w:r>
      <w:r>
        <w:rPr>
          <w:rFonts w:hint="eastAsia" w:ascii="Times New Roman" w:hAnsi="Times New Roman" w:eastAsia="仿宋_GB2312" w:cs="仿宋_GB2312"/>
          <w:kern w:val="0"/>
          <w:sz w:val="22"/>
          <w:szCs w:val="22"/>
        </w:rPr>
        <w:t>填报基本支出中的一般商品和服务支出。</w:t>
      </w:r>
    </w:p>
    <w:p>
      <w:pPr>
        <w:widowControl/>
        <w:spacing w:line="560" w:lineRule="exact"/>
        <w:rPr>
          <w:rFonts w:ascii="Times New Roman" w:hAnsi="Times New Roman" w:eastAsia="黑体" w:cs="Times New Roman"/>
          <w:color w:val="000000"/>
          <w:sz w:val="32"/>
          <w:szCs w:val="32"/>
        </w:rPr>
      </w:pPr>
    </w:p>
    <w:sectPr>
      <w:headerReference r:id="rId3" w:type="default"/>
      <w:footerReference r:id="rId4" w:type="default"/>
      <w:pgSz w:w="11906" w:h="16838"/>
      <w:pgMar w:top="1361"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cs="Times New Roman"/>
      </w:rPr>
    </w:pPr>
    <w:r>
      <w:fldChar w:fldCharType="begin"/>
    </w:r>
    <w:r>
      <w:instrText xml:space="preserve"> PAGE   \* MERGEFORMAT </w:instrText>
    </w:r>
    <w:r>
      <w:fldChar w:fldCharType="separate"/>
    </w:r>
    <w:r>
      <w:rPr>
        <w:lang w:val="zh-CN"/>
      </w:rPr>
      <w:t>10</w:t>
    </w:r>
    <w:r>
      <w:rPr>
        <w:lang w:val="zh-CN"/>
      </w:rPr>
      <w:fldChar w:fldCharType="end"/>
    </w:r>
  </w:p>
  <w:p>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k2YTE0MzIwNmQ1Yzg1ZGY1YWM4ODc4NDU1ZDRiNWQifQ=="/>
  </w:docVars>
  <w:rsids>
    <w:rsidRoot w:val="007974AB"/>
    <w:rsid w:val="000004BA"/>
    <w:rsid w:val="0000298E"/>
    <w:rsid w:val="00002AE4"/>
    <w:rsid w:val="00005794"/>
    <w:rsid w:val="00021E9E"/>
    <w:rsid w:val="00031747"/>
    <w:rsid w:val="00032771"/>
    <w:rsid w:val="00033FA7"/>
    <w:rsid w:val="0003456A"/>
    <w:rsid w:val="00034710"/>
    <w:rsid w:val="00037035"/>
    <w:rsid w:val="00041F09"/>
    <w:rsid w:val="000469BA"/>
    <w:rsid w:val="000516DC"/>
    <w:rsid w:val="00051798"/>
    <w:rsid w:val="00053F71"/>
    <w:rsid w:val="000544EB"/>
    <w:rsid w:val="000552F3"/>
    <w:rsid w:val="00061085"/>
    <w:rsid w:val="00061675"/>
    <w:rsid w:val="00070B5F"/>
    <w:rsid w:val="00071248"/>
    <w:rsid w:val="000740AD"/>
    <w:rsid w:val="000747B8"/>
    <w:rsid w:val="00075715"/>
    <w:rsid w:val="00083406"/>
    <w:rsid w:val="0008487A"/>
    <w:rsid w:val="00085A99"/>
    <w:rsid w:val="00087EA5"/>
    <w:rsid w:val="00091B80"/>
    <w:rsid w:val="00092609"/>
    <w:rsid w:val="00095977"/>
    <w:rsid w:val="000A0E81"/>
    <w:rsid w:val="000A48BD"/>
    <w:rsid w:val="000A6894"/>
    <w:rsid w:val="000A6E3A"/>
    <w:rsid w:val="000B1FC2"/>
    <w:rsid w:val="000B5143"/>
    <w:rsid w:val="000B57D7"/>
    <w:rsid w:val="000B74BA"/>
    <w:rsid w:val="000C2252"/>
    <w:rsid w:val="000C4701"/>
    <w:rsid w:val="000D6179"/>
    <w:rsid w:val="000E240C"/>
    <w:rsid w:val="000E4F36"/>
    <w:rsid w:val="000E763F"/>
    <w:rsid w:val="000F1978"/>
    <w:rsid w:val="000F21D6"/>
    <w:rsid w:val="000F61BE"/>
    <w:rsid w:val="000F73AE"/>
    <w:rsid w:val="00102B0A"/>
    <w:rsid w:val="00104797"/>
    <w:rsid w:val="001062E8"/>
    <w:rsid w:val="00112EB7"/>
    <w:rsid w:val="00114AFB"/>
    <w:rsid w:val="001167EB"/>
    <w:rsid w:val="00121B82"/>
    <w:rsid w:val="00122D73"/>
    <w:rsid w:val="00123D38"/>
    <w:rsid w:val="001303A4"/>
    <w:rsid w:val="00134670"/>
    <w:rsid w:val="0013478D"/>
    <w:rsid w:val="001415B7"/>
    <w:rsid w:val="00145A6A"/>
    <w:rsid w:val="0014663A"/>
    <w:rsid w:val="0014702D"/>
    <w:rsid w:val="00151316"/>
    <w:rsid w:val="00152351"/>
    <w:rsid w:val="001536DE"/>
    <w:rsid w:val="00160267"/>
    <w:rsid w:val="00160F9E"/>
    <w:rsid w:val="001636F5"/>
    <w:rsid w:val="0016425E"/>
    <w:rsid w:val="00167150"/>
    <w:rsid w:val="00167BE7"/>
    <w:rsid w:val="00180DA0"/>
    <w:rsid w:val="00181657"/>
    <w:rsid w:val="00182289"/>
    <w:rsid w:val="00190E24"/>
    <w:rsid w:val="00191FD7"/>
    <w:rsid w:val="0019209D"/>
    <w:rsid w:val="00195053"/>
    <w:rsid w:val="00197BA7"/>
    <w:rsid w:val="001A5697"/>
    <w:rsid w:val="001A64A0"/>
    <w:rsid w:val="001B465B"/>
    <w:rsid w:val="001C15DF"/>
    <w:rsid w:val="001C7486"/>
    <w:rsid w:val="001D121C"/>
    <w:rsid w:val="001D65E5"/>
    <w:rsid w:val="001D6602"/>
    <w:rsid w:val="001E4F39"/>
    <w:rsid w:val="001E5B80"/>
    <w:rsid w:val="001E6BFE"/>
    <w:rsid w:val="001F6D73"/>
    <w:rsid w:val="001F766E"/>
    <w:rsid w:val="0020447B"/>
    <w:rsid w:val="00205328"/>
    <w:rsid w:val="00205440"/>
    <w:rsid w:val="002102DB"/>
    <w:rsid w:val="00210557"/>
    <w:rsid w:val="002109E7"/>
    <w:rsid w:val="002129C1"/>
    <w:rsid w:val="00214D7C"/>
    <w:rsid w:val="00221B76"/>
    <w:rsid w:val="00222E30"/>
    <w:rsid w:val="00225256"/>
    <w:rsid w:val="002305A2"/>
    <w:rsid w:val="00231C6E"/>
    <w:rsid w:val="00232F9D"/>
    <w:rsid w:val="0023666C"/>
    <w:rsid w:val="002367FF"/>
    <w:rsid w:val="00240287"/>
    <w:rsid w:val="00242B1E"/>
    <w:rsid w:val="00246B87"/>
    <w:rsid w:val="00254482"/>
    <w:rsid w:val="00261A82"/>
    <w:rsid w:val="0026227A"/>
    <w:rsid w:val="00273F87"/>
    <w:rsid w:val="00286A75"/>
    <w:rsid w:val="00291511"/>
    <w:rsid w:val="00292E06"/>
    <w:rsid w:val="002A1611"/>
    <w:rsid w:val="002A336C"/>
    <w:rsid w:val="002A3ED2"/>
    <w:rsid w:val="002A4788"/>
    <w:rsid w:val="002B0367"/>
    <w:rsid w:val="002B1E16"/>
    <w:rsid w:val="002B2BEF"/>
    <w:rsid w:val="002B54F4"/>
    <w:rsid w:val="002B5987"/>
    <w:rsid w:val="002B778F"/>
    <w:rsid w:val="002C064D"/>
    <w:rsid w:val="002D3E5B"/>
    <w:rsid w:val="002D6D4A"/>
    <w:rsid w:val="002E1781"/>
    <w:rsid w:val="002E1DF4"/>
    <w:rsid w:val="002F7643"/>
    <w:rsid w:val="00303890"/>
    <w:rsid w:val="003053A5"/>
    <w:rsid w:val="003057FE"/>
    <w:rsid w:val="0031038E"/>
    <w:rsid w:val="003134F7"/>
    <w:rsid w:val="00313CA6"/>
    <w:rsid w:val="003160B0"/>
    <w:rsid w:val="00317AB2"/>
    <w:rsid w:val="00323F6D"/>
    <w:rsid w:val="00324952"/>
    <w:rsid w:val="00332598"/>
    <w:rsid w:val="00341012"/>
    <w:rsid w:val="00342BE8"/>
    <w:rsid w:val="00344BD5"/>
    <w:rsid w:val="00344CA7"/>
    <w:rsid w:val="00345B18"/>
    <w:rsid w:val="00345CBA"/>
    <w:rsid w:val="00346169"/>
    <w:rsid w:val="003478B2"/>
    <w:rsid w:val="00351E0E"/>
    <w:rsid w:val="00356C0A"/>
    <w:rsid w:val="00362473"/>
    <w:rsid w:val="00362E31"/>
    <w:rsid w:val="00372621"/>
    <w:rsid w:val="00374987"/>
    <w:rsid w:val="0037729A"/>
    <w:rsid w:val="0038212B"/>
    <w:rsid w:val="00383377"/>
    <w:rsid w:val="00383992"/>
    <w:rsid w:val="00392B58"/>
    <w:rsid w:val="00394ABB"/>
    <w:rsid w:val="00397A98"/>
    <w:rsid w:val="003A485F"/>
    <w:rsid w:val="003A4ACA"/>
    <w:rsid w:val="003A7FDD"/>
    <w:rsid w:val="003B23EB"/>
    <w:rsid w:val="003B2F4F"/>
    <w:rsid w:val="003B7FA2"/>
    <w:rsid w:val="003C7CF2"/>
    <w:rsid w:val="003D0257"/>
    <w:rsid w:val="003D02BC"/>
    <w:rsid w:val="003D4854"/>
    <w:rsid w:val="003E2D78"/>
    <w:rsid w:val="003E3CB2"/>
    <w:rsid w:val="003E4674"/>
    <w:rsid w:val="003E52E4"/>
    <w:rsid w:val="003E7E12"/>
    <w:rsid w:val="00404BE5"/>
    <w:rsid w:val="00407F8F"/>
    <w:rsid w:val="00410AE1"/>
    <w:rsid w:val="00410FF6"/>
    <w:rsid w:val="00411330"/>
    <w:rsid w:val="00412456"/>
    <w:rsid w:val="00415D60"/>
    <w:rsid w:val="00417BC1"/>
    <w:rsid w:val="0042330A"/>
    <w:rsid w:val="00424240"/>
    <w:rsid w:val="004276A2"/>
    <w:rsid w:val="00427D07"/>
    <w:rsid w:val="00427D9D"/>
    <w:rsid w:val="00431F52"/>
    <w:rsid w:val="00434341"/>
    <w:rsid w:val="00434B10"/>
    <w:rsid w:val="00446886"/>
    <w:rsid w:val="00446CFB"/>
    <w:rsid w:val="004506ED"/>
    <w:rsid w:val="004527DA"/>
    <w:rsid w:val="004561C6"/>
    <w:rsid w:val="004621CC"/>
    <w:rsid w:val="00470490"/>
    <w:rsid w:val="00471C7A"/>
    <w:rsid w:val="00473D54"/>
    <w:rsid w:val="00477B78"/>
    <w:rsid w:val="00481926"/>
    <w:rsid w:val="00483F92"/>
    <w:rsid w:val="004914DF"/>
    <w:rsid w:val="004948B2"/>
    <w:rsid w:val="00496F6D"/>
    <w:rsid w:val="004A0757"/>
    <w:rsid w:val="004A4CE5"/>
    <w:rsid w:val="004A5FDA"/>
    <w:rsid w:val="004B09F8"/>
    <w:rsid w:val="004B4B8D"/>
    <w:rsid w:val="004B7D51"/>
    <w:rsid w:val="004C2AEE"/>
    <w:rsid w:val="004C7633"/>
    <w:rsid w:val="004D5F90"/>
    <w:rsid w:val="004E04FB"/>
    <w:rsid w:val="004E1AF5"/>
    <w:rsid w:val="004E2593"/>
    <w:rsid w:val="004E394D"/>
    <w:rsid w:val="004E6E44"/>
    <w:rsid w:val="004E6F12"/>
    <w:rsid w:val="004F40BB"/>
    <w:rsid w:val="004F4E0C"/>
    <w:rsid w:val="004F53C1"/>
    <w:rsid w:val="00505F55"/>
    <w:rsid w:val="00507BC7"/>
    <w:rsid w:val="00510B86"/>
    <w:rsid w:val="00527F71"/>
    <w:rsid w:val="005345AE"/>
    <w:rsid w:val="00535F7E"/>
    <w:rsid w:val="00536A21"/>
    <w:rsid w:val="005377C3"/>
    <w:rsid w:val="005438D0"/>
    <w:rsid w:val="0054486C"/>
    <w:rsid w:val="00545097"/>
    <w:rsid w:val="005473E0"/>
    <w:rsid w:val="0055022D"/>
    <w:rsid w:val="00550C9A"/>
    <w:rsid w:val="00553B29"/>
    <w:rsid w:val="00553BA4"/>
    <w:rsid w:val="0056602A"/>
    <w:rsid w:val="0057789D"/>
    <w:rsid w:val="00580922"/>
    <w:rsid w:val="00585BED"/>
    <w:rsid w:val="00590B0C"/>
    <w:rsid w:val="005916AB"/>
    <w:rsid w:val="00592496"/>
    <w:rsid w:val="00592A23"/>
    <w:rsid w:val="00593595"/>
    <w:rsid w:val="00596B83"/>
    <w:rsid w:val="00596BFF"/>
    <w:rsid w:val="005A3424"/>
    <w:rsid w:val="005A662C"/>
    <w:rsid w:val="005A6E3C"/>
    <w:rsid w:val="005B1236"/>
    <w:rsid w:val="005B70C2"/>
    <w:rsid w:val="005C488D"/>
    <w:rsid w:val="005C60E3"/>
    <w:rsid w:val="005C6D48"/>
    <w:rsid w:val="005C778B"/>
    <w:rsid w:val="005D5007"/>
    <w:rsid w:val="005D50CB"/>
    <w:rsid w:val="005E0ACC"/>
    <w:rsid w:val="005E0C80"/>
    <w:rsid w:val="005E2D8F"/>
    <w:rsid w:val="005E4BD1"/>
    <w:rsid w:val="005E549B"/>
    <w:rsid w:val="005E63A3"/>
    <w:rsid w:val="005F1452"/>
    <w:rsid w:val="005F1576"/>
    <w:rsid w:val="005F247D"/>
    <w:rsid w:val="005F2E6C"/>
    <w:rsid w:val="005F5DF0"/>
    <w:rsid w:val="006024A8"/>
    <w:rsid w:val="0061181B"/>
    <w:rsid w:val="0061768E"/>
    <w:rsid w:val="00620930"/>
    <w:rsid w:val="00640E29"/>
    <w:rsid w:val="00640FE9"/>
    <w:rsid w:val="006412C9"/>
    <w:rsid w:val="00643D4F"/>
    <w:rsid w:val="00647EE7"/>
    <w:rsid w:val="00655F15"/>
    <w:rsid w:val="00661AED"/>
    <w:rsid w:val="0066304C"/>
    <w:rsid w:val="00664139"/>
    <w:rsid w:val="00665A08"/>
    <w:rsid w:val="00666EBB"/>
    <w:rsid w:val="00671561"/>
    <w:rsid w:val="00672718"/>
    <w:rsid w:val="006769A7"/>
    <w:rsid w:val="00676BCC"/>
    <w:rsid w:val="0067774C"/>
    <w:rsid w:val="00682EDF"/>
    <w:rsid w:val="006858E7"/>
    <w:rsid w:val="00686123"/>
    <w:rsid w:val="00687554"/>
    <w:rsid w:val="00693448"/>
    <w:rsid w:val="00695008"/>
    <w:rsid w:val="00697173"/>
    <w:rsid w:val="006A3A89"/>
    <w:rsid w:val="006A68E9"/>
    <w:rsid w:val="006A6FDC"/>
    <w:rsid w:val="006A7287"/>
    <w:rsid w:val="006C3E4B"/>
    <w:rsid w:val="006C5D54"/>
    <w:rsid w:val="006C6956"/>
    <w:rsid w:val="006D0B0B"/>
    <w:rsid w:val="006D0B89"/>
    <w:rsid w:val="006D15DD"/>
    <w:rsid w:val="006D6969"/>
    <w:rsid w:val="006D78F5"/>
    <w:rsid w:val="006E11DA"/>
    <w:rsid w:val="006E4E54"/>
    <w:rsid w:val="006F1419"/>
    <w:rsid w:val="006F3092"/>
    <w:rsid w:val="00700CD4"/>
    <w:rsid w:val="00701DF4"/>
    <w:rsid w:val="00704174"/>
    <w:rsid w:val="00704536"/>
    <w:rsid w:val="0071201B"/>
    <w:rsid w:val="0072181A"/>
    <w:rsid w:val="00723417"/>
    <w:rsid w:val="007272B2"/>
    <w:rsid w:val="0073058B"/>
    <w:rsid w:val="0073252F"/>
    <w:rsid w:val="007349D4"/>
    <w:rsid w:val="00735AA4"/>
    <w:rsid w:val="00737891"/>
    <w:rsid w:val="0075049A"/>
    <w:rsid w:val="007514D4"/>
    <w:rsid w:val="00754120"/>
    <w:rsid w:val="00756B93"/>
    <w:rsid w:val="00757357"/>
    <w:rsid w:val="0076124E"/>
    <w:rsid w:val="00764823"/>
    <w:rsid w:val="00767ED7"/>
    <w:rsid w:val="007707CC"/>
    <w:rsid w:val="00770932"/>
    <w:rsid w:val="00771214"/>
    <w:rsid w:val="0077217D"/>
    <w:rsid w:val="00784182"/>
    <w:rsid w:val="00786728"/>
    <w:rsid w:val="007923FD"/>
    <w:rsid w:val="00793BCC"/>
    <w:rsid w:val="007974AB"/>
    <w:rsid w:val="007A0A4C"/>
    <w:rsid w:val="007B039C"/>
    <w:rsid w:val="007B13FA"/>
    <w:rsid w:val="007B280E"/>
    <w:rsid w:val="007B333C"/>
    <w:rsid w:val="007B46F9"/>
    <w:rsid w:val="007B4DD3"/>
    <w:rsid w:val="007B4F12"/>
    <w:rsid w:val="007B57E2"/>
    <w:rsid w:val="007B6779"/>
    <w:rsid w:val="007B6F8C"/>
    <w:rsid w:val="007C062F"/>
    <w:rsid w:val="007C0768"/>
    <w:rsid w:val="007C23B2"/>
    <w:rsid w:val="007C536F"/>
    <w:rsid w:val="007D16E0"/>
    <w:rsid w:val="007D5CA1"/>
    <w:rsid w:val="007D637D"/>
    <w:rsid w:val="007E06A2"/>
    <w:rsid w:val="007E1245"/>
    <w:rsid w:val="007E3B70"/>
    <w:rsid w:val="007F05A2"/>
    <w:rsid w:val="007F1636"/>
    <w:rsid w:val="007F1ED1"/>
    <w:rsid w:val="007F7875"/>
    <w:rsid w:val="00800AE0"/>
    <w:rsid w:val="0080336A"/>
    <w:rsid w:val="008248AE"/>
    <w:rsid w:val="00827E67"/>
    <w:rsid w:val="00832102"/>
    <w:rsid w:val="00832E46"/>
    <w:rsid w:val="00833FA8"/>
    <w:rsid w:val="0084564C"/>
    <w:rsid w:val="00851F1E"/>
    <w:rsid w:val="00862CBD"/>
    <w:rsid w:val="00864AA7"/>
    <w:rsid w:val="008662AB"/>
    <w:rsid w:val="00867DE4"/>
    <w:rsid w:val="00872009"/>
    <w:rsid w:val="00875512"/>
    <w:rsid w:val="008840E3"/>
    <w:rsid w:val="00885497"/>
    <w:rsid w:val="008862A7"/>
    <w:rsid w:val="00892869"/>
    <w:rsid w:val="008971EA"/>
    <w:rsid w:val="008A2647"/>
    <w:rsid w:val="008B03AA"/>
    <w:rsid w:val="008B1FF5"/>
    <w:rsid w:val="008B33CC"/>
    <w:rsid w:val="008B3530"/>
    <w:rsid w:val="008B569B"/>
    <w:rsid w:val="008C3B87"/>
    <w:rsid w:val="008D36D8"/>
    <w:rsid w:val="008D5026"/>
    <w:rsid w:val="008D5A07"/>
    <w:rsid w:val="008D614F"/>
    <w:rsid w:val="008D7CE8"/>
    <w:rsid w:val="008E45A8"/>
    <w:rsid w:val="008E6AF7"/>
    <w:rsid w:val="008E7DED"/>
    <w:rsid w:val="008F0E86"/>
    <w:rsid w:val="008F4E51"/>
    <w:rsid w:val="008F5384"/>
    <w:rsid w:val="0090366D"/>
    <w:rsid w:val="00905011"/>
    <w:rsid w:val="00911DD8"/>
    <w:rsid w:val="00915212"/>
    <w:rsid w:val="00917770"/>
    <w:rsid w:val="00921D22"/>
    <w:rsid w:val="00921EF0"/>
    <w:rsid w:val="00923483"/>
    <w:rsid w:val="00931A23"/>
    <w:rsid w:val="00934E16"/>
    <w:rsid w:val="0094137E"/>
    <w:rsid w:val="00943B87"/>
    <w:rsid w:val="009442C5"/>
    <w:rsid w:val="0094685F"/>
    <w:rsid w:val="00956048"/>
    <w:rsid w:val="009571CA"/>
    <w:rsid w:val="009615EB"/>
    <w:rsid w:val="00961BF1"/>
    <w:rsid w:val="0096338E"/>
    <w:rsid w:val="009709F2"/>
    <w:rsid w:val="00973370"/>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3D05"/>
    <w:rsid w:val="009C406D"/>
    <w:rsid w:val="009C5DDA"/>
    <w:rsid w:val="009D6DA7"/>
    <w:rsid w:val="009E02A8"/>
    <w:rsid w:val="009E265C"/>
    <w:rsid w:val="009E5A22"/>
    <w:rsid w:val="009E6103"/>
    <w:rsid w:val="009F10E7"/>
    <w:rsid w:val="009F404C"/>
    <w:rsid w:val="00A00330"/>
    <w:rsid w:val="00A031DE"/>
    <w:rsid w:val="00A06F8A"/>
    <w:rsid w:val="00A14698"/>
    <w:rsid w:val="00A15119"/>
    <w:rsid w:val="00A17B06"/>
    <w:rsid w:val="00A219F9"/>
    <w:rsid w:val="00A264D5"/>
    <w:rsid w:val="00A3151A"/>
    <w:rsid w:val="00A31FCC"/>
    <w:rsid w:val="00A329A2"/>
    <w:rsid w:val="00A36DBC"/>
    <w:rsid w:val="00A413AD"/>
    <w:rsid w:val="00A42F44"/>
    <w:rsid w:val="00A430F4"/>
    <w:rsid w:val="00A43B0D"/>
    <w:rsid w:val="00A44A41"/>
    <w:rsid w:val="00A50EDE"/>
    <w:rsid w:val="00A53396"/>
    <w:rsid w:val="00A57284"/>
    <w:rsid w:val="00A6409C"/>
    <w:rsid w:val="00A64DAD"/>
    <w:rsid w:val="00A656D9"/>
    <w:rsid w:val="00A66B32"/>
    <w:rsid w:val="00A747A4"/>
    <w:rsid w:val="00A76E82"/>
    <w:rsid w:val="00A910BC"/>
    <w:rsid w:val="00A949AD"/>
    <w:rsid w:val="00A9563F"/>
    <w:rsid w:val="00AA2DC0"/>
    <w:rsid w:val="00AA4750"/>
    <w:rsid w:val="00AB11DB"/>
    <w:rsid w:val="00AC2C79"/>
    <w:rsid w:val="00AC3596"/>
    <w:rsid w:val="00AD0292"/>
    <w:rsid w:val="00AD09F4"/>
    <w:rsid w:val="00AD3B96"/>
    <w:rsid w:val="00AD43EA"/>
    <w:rsid w:val="00AD797A"/>
    <w:rsid w:val="00AE4204"/>
    <w:rsid w:val="00AE777B"/>
    <w:rsid w:val="00AF1354"/>
    <w:rsid w:val="00B04987"/>
    <w:rsid w:val="00B067B2"/>
    <w:rsid w:val="00B07A1C"/>
    <w:rsid w:val="00B10F70"/>
    <w:rsid w:val="00B11003"/>
    <w:rsid w:val="00B11427"/>
    <w:rsid w:val="00B12151"/>
    <w:rsid w:val="00B13F7B"/>
    <w:rsid w:val="00B1669E"/>
    <w:rsid w:val="00B16D84"/>
    <w:rsid w:val="00B21F2B"/>
    <w:rsid w:val="00B222D1"/>
    <w:rsid w:val="00B23A19"/>
    <w:rsid w:val="00B26C1D"/>
    <w:rsid w:val="00B3064B"/>
    <w:rsid w:val="00B30E1F"/>
    <w:rsid w:val="00B32F56"/>
    <w:rsid w:val="00B3549C"/>
    <w:rsid w:val="00B40E37"/>
    <w:rsid w:val="00B4249E"/>
    <w:rsid w:val="00B444AD"/>
    <w:rsid w:val="00B5069E"/>
    <w:rsid w:val="00B54FA2"/>
    <w:rsid w:val="00B55373"/>
    <w:rsid w:val="00B559AE"/>
    <w:rsid w:val="00B57490"/>
    <w:rsid w:val="00B576D4"/>
    <w:rsid w:val="00B605B4"/>
    <w:rsid w:val="00B62FC4"/>
    <w:rsid w:val="00B65994"/>
    <w:rsid w:val="00B661AA"/>
    <w:rsid w:val="00B718B5"/>
    <w:rsid w:val="00B73031"/>
    <w:rsid w:val="00B7695F"/>
    <w:rsid w:val="00B80545"/>
    <w:rsid w:val="00B80C73"/>
    <w:rsid w:val="00B824FB"/>
    <w:rsid w:val="00B847A1"/>
    <w:rsid w:val="00B8579B"/>
    <w:rsid w:val="00B85D54"/>
    <w:rsid w:val="00B86E61"/>
    <w:rsid w:val="00B90483"/>
    <w:rsid w:val="00B90FCE"/>
    <w:rsid w:val="00B9269A"/>
    <w:rsid w:val="00B93DBC"/>
    <w:rsid w:val="00BA21E0"/>
    <w:rsid w:val="00BA3557"/>
    <w:rsid w:val="00BB02A3"/>
    <w:rsid w:val="00BB7153"/>
    <w:rsid w:val="00BD1277"/>
    <w:rsid w:val="00BD265C"/>
    <w:rsid w:val="00BD4472"/>
    <w:rsid w:val="00BD551E"/>
    <w:rsid w:val="00BD600A"/>
    <w:rsid w:val="00BE1DBF"/>
    <w:rsid w:val="00BE2E9A"/>
    <w:rsid w:val="00BF20DB"/>
    <w:rsid w:val="00BF73DD"/>
    <w:rsid w:val="00C005AA"/>
    <w:rsid w:val="00C0088E"/>
    <w:rsid w:val="00C02189"/>
    <w:rsid w:val="00C11606"/>
    <w:rsid w:val="00C20029"/>
    <w:rsid w:val="00C30FDC"/>
    <w:rsid w:val="00C319C9"/>
    <w:rsid w:val="00C33895"/>
    <w:rsid w:val="00C34980"/>
    <w:rsid w:val="00C3680C"/>
    <w:rsid w:val="00C374C7"/>
    <w:rsid w:val="00C4425F"/>
    <w:rsid w:val="00C44C07"/>
    <w:rsid w:val="00C4612E"/>
    <w:rsid w:val="00C47EB6"/>
    <w:rsid w:val="00C54E49"/>
    <w:rsid w:val="00C5586C"/>
    <w:rsid w:val="00C573B5"/>
    <w:rsid w:val="00C60E03"/>
    <w:rsid w:val="00C61D31"/>
    <w:rsid w:val="00C62F43"/>
    <w:rsid w:val="00C63B42"/>
    <w:rsid w:val="00C70CB5"/>
    <w:rsid w:val="00C72DCE"/>
    <w:rsid w:val="00C74EB0"/>
    <w:rsid w:val="00C77D77"/>
    <w:rsid w:val="00C935BF"/>
    <w:rsid w:val="00C9597D"/>
    <w:rsid w:val="00C95A24"/>
    <w:rsid w:val="00CA0A79"/>
    <w:rsid w:val="00CA163D"/>
    <w:rsid w:val="00CA33BA"/>
    <w:rsid w:val="00CB37E3"/>
    <w:rsid w:val="00CB5102"/>
    <w:rsid w:val="00CB781F"/>
    <w:rsid w:val="00CC0774"/>
    <w:rsid w:val="00CC3862"/>
    <w:rsid w:val="00CC4ADD"/>
    <w:rsid w:val="00CD1A9B"/>
    <w:rsid w:val="00CD2BBD"/>
    <w:rsid w:val="00CD35A0"/>
    <w:rsid w:val="00CE087F"/>
    <w:rsid w:val="00CE0DAB"/>
    <w:rsid w:val="00CE3C91"/>
    <w:rsid w:val="00CF75DD"/>
    <w:rsid w:val="00CF7E02"/>
    <w:rsid w:val="00D05ACC"/>
    <w:rsid w:val="00D120AF"/>
    <w:rsid w:val="00D14DCC"/>
    <w:rsid w:val="00D204FD"/>
    <w:rsid w:val="00D251C2"/>
    <w:rsid w:val="00D258CC"/>
    <w:rsid w:val="00D30CB0"/>
    <w:rsid w:val="00D33649"/>
    <w:rsid w:val="00D33EAA"/>
    <w:rsid w:val="00D4312A"/>
    <w:rsid w:val="00D4564B"/>
    <w:rsid w:val="00D464D3"/>
    <w:rsid w:val="00D475C3"/>
    <w:rsid w:val="00D52EEC"/>
    <w:rsid w:val="00D55FCF"/>
    <w:rsid w:val="00D60B6C"/>
    <w:rsid w:val="00D62E84"/>
    <w:rsid w:val="00D65095"/>
    <w:rsid w:val="00D67221"/>
    <w:rsid w:val="00D74FF7"/>
    <w:rsid w:val="00D76513"/>
    <w:rsid w:val="00D809C7"/>
    <w:rsid w:val="00D84E32"/>
    <w:rsid w:val="00D903B2"/>
    <w:rsid w:val="00D90B0C"/>
    <w:rsid w:val="00D91B91"/>
    <w:rsid w:val="00D927CA"/>
    <w:rsid w:val="00DA19AD"/>
    <w:rsid w:val="00DA1E2C"/>
    <w:rsid w:val="00DB0AB2"/>
    <w:rsid w:val="00DB79CE"/>
    <w:rsid w:val="00DC51BF"/>
    <w:rsid w:val="00DC589C"/>
    <w:rsid w:val="00DC62FE"/>
    <w:rsid w:val="00DD0D1A"/>
    <w:rsid w:val="00DD1471"/>
    <w:rsid w:val="00DD1B35"/>
    <w:rsid w:val="00DD2D57"/>
    <w:rsid w:val="00DE04EC"/>
    <w:rsid w:val="00DE1D58"/>
    <w:rsid w:val="00DE321C"/>
    <w:rsid w:val="00DE53FD"/>
    <w:rsid w:val="00DE57A7"/>
    <w:rsid w:val="00DF0050"/>
    <w:rsid w:val="00DF192B"/>
    <w:rsid w:val="00DF3708"/>
    <w:rsid w:val="00DF422E"/>
    <w:rsid w:val="00E00CE1"/>
    <w:rsid w:val="00E04C58"/>
    <w:rsid w:val="00E07696"/>
    <w:rsid w:val="00E07FE4"/>
    <w:rsid w:val="00E1178C"/>
    <w:rsid w:val="00E12865"/>
    <w:rsid w:val="00E1598C"/>
    <w:rsid w:val="00E171D4"/>
    <w:rsid w:val="00E20D5A"/>
    <w:rsid w:val="00E2433A"/>
    <w:rsid w:val="00E26AF1"/>
    <w:rsid w:val="00E275D0"/>
    <w:rsid w:val="00E34E6B"/>
    <w:rsid w:val="00E35604"/>
    <w:rsid w:val="00E40FD3"/>
    <w:rsid w:val="00E46D74"/>
    <w:rsid w:val="00E510E7"/>
    <w:rsid w:val="00E52521"/>
    <w:rsid w:val="00E54080"/>
    <w:rsid w:val="00E55CDD"/>
    <w:rsid w:val="00E5799B"/>
    <w:rsid w:val="00E63F09"/>
    <w:rsid w:val="00E67C16"/>
    <w:rsid w:val="00E709D3"/>
    <w:rsid w:val="00E72030"/>
    <w:rsid w:val="00E75677"/>
    <w:rsid w:val="00E774DF"/>
    <w:rsid w:val="00E7796F"/>
    <w:rsid w:val="00E80074"/>
    <w:rsid w:val="00E82D35"/>
    <w:rsid w:val="00E848A7"/>
    <w:rsid w:val="00E85548"/>
    <w:rsid w:val="00E92249"/>
    <w:rsid w:val="00E94326"/>
    <w:rsid w:val="00E94979"/>
    <w:rsid w:val="00EA01AD"/>
    <w:rsid w:val="00EA0B96"/>
    <w:rsid w:val="00EB0525"/>
    <w:rsid w:val="00EB0AF9"/>
    <w:rsid w:val="00EB20C3"/>
    <w:rsid w:val="00EB3B94"/>
    <w:rsid w:val="00EB5ABA"/>
    <w:rsid w:val="00EC1000"/>
    <w:rsid w:val="00EC133C"/>
    <w:rsid w:val="00EC2A45"/>
    <w:rsid w:val="00ED21F1"/>
    <w:rsid w:val="00ED2574"/>
    <w:rsid w:val="00ED459B"/>
    <w:rsid w:val="00ED57CB"/>
    <w:rsid w:val="00EE341E"/>
    <w:rsid w:val="00EE41AB"/>
    <w:rsid w:val="00EF6E40"/>
    <w:rsid w:val="00F0324A"/>
    <w:rsid w:val="00F033A8"/>
    <w:rsid w:val="00F07FD8"/>
    <w:rsid w:val="00F15C5B"/>
    <w:rsid w:val="00F204D5"/>
    <w:rsid w:val="00F24D96"/>
    <w:rsid w:val="00F26D31"/>
    <w:rsid w:val="00F31077"/>
    <w:rsid w:val="00F3377F"/>
    <w:rsid w:val="00F34647"/>
    <w:rsid w:val="00F3571E"/>
    <w:rsid w:val="00F43299"/>
    <w:rsid w:val="00F438FF"/>
    <w:rsid w:val="00F5082F"/>
    <w:rsid w:val="00F52F90"/>
    <w:rsid w:val="00F53D8C"/>
    <w:rsid w:val="00F5551B"/>
    <w:rsid w:val="00F569B6"/>
    <w:rsid w:val="00F62E20"/>
    <w:rsid w:val="00F631D3"/>
    <w:rsid w:val="00F647D2"/>
    <w:rsid w:val="00F64A66"/>
    <w:rsid w:val="00F65D7A"/>
    <w:rsid w:val="00F67480"/>
    <w:rsid w:val="00F67A2E"/>
    <w:rsid w:val="00F7046B"/>
    <w:rsid w:val="00F71779"/>
    <w:rsid w:val="00F803DB"/>
    <w:rsid w:val="00F80458"/>
    <w:rsid w:val="00F81E51"/>
    <w:rsid w:val="00F8476D"/>
    <w:rsid w:val="00F921CA"/>
    <w:rsid w:val="00F9319C"/>
    <w:rsid w:val="00FA5A76"/>
    <w:rsid w:val="00FB0000"/>
    <w:rsid w:val="00FB0782"/>
    <w:rsid w:val="00FB3D73"/>
    <w:rsid w:val="00FB5CB5"/>
    <w:rsid w:val="00FC138A"/>
    <w:rsid w:val="00FD03F6"/>
    <w:rsid w:val="00FD1260"/>
    <w:rsid w:val="00FD4154"/>
    <w:rsid w:val="00FD47E3"/>
    <w:rsid w:val="00FE15F4"/>
    <w:rsid w:val="00FF0715"/>
    <w:rsid w:val="00FF2F5A"/>
    <w:rsid w:val="00FF2FCA"/>
    <w:rsid w:val="00FF5CAC"/>
    <w:rsid w:val="0B5B5A73"/>
    <w:rsid w:val="17203872"/>
    <w:rsid w:val="1B3833A2"/>
    <w:rsid w:val="20C51591"/>
    <w:rsid w:val="57E714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nhideWhenUsed="0" w:uiPriority="99"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nhideWhenUsed="0" w:uiPriority="99" w:name="HTML Address"/>
    <w:lsdException w:unhideWhenUsed="0" w:uiPriority="99" w:name="HTML Cite"/>
    <w:lsdException w:unhideWhenUsed="0" w:uiPriority="99"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0"/>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1"/>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2"/>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3"/>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4"/>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5"/>
    <w:semiHidden/>
    <w:uiPriority w:val="99"/>
    <w:pPr>
      <w:widowControl/>
      <w:jc w:val="left"/>
    </w:pPr>
    <w:rPr>
      <w:rFonts w:ascii="宋体" w:hAnsi="宋体" w:cs="宋体"/>
      <w:kern w:val="0"/>
      <w:sz w:val="24"/>
      <w:szCs w:val="24"/>
    </w:rPr>
  </w:style>
  <w:style w:type="paragraph" w:styleId="9">
    <w:name w:val="footer"/>
    <w:basedOn w:val="1"/>
    <w:link w:val="26"/>
    <w:uiPriority w:val="99"/>
    <w:pPr>
      <w:tabs>
        <w:tab w:val="center" w:pos="4153"/>
        <w:tab w:val="right" w:pos="8306"/>
      </w:tabs>
      <w:snapToGrid w:val="0"/>
      <w:jc w:val="left"/>
    </w:pPr>
    <w:rPr>
      <w:sz w:val="18"/>
      <w:szCs w:val="18"/>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uiPriority w:val="99"/>
    <w:rPr>
      <w:color w:val="auto"/>
      <w:u w:val="none"/>
    </w:rPr>
  </w:style>
  <w:style w:type="character" w:styleId="15">
    <w:name w:val="Emphasis"/>
    <w:basedOn w:val="13"/>
    <w:qFormat/>
    <w:uiPriority w:val="99"/>
  </w:style>
  <w:style w:type="character" w:styleId="16">
    <w:name w:val="Hyperlink"/>
    <w:basedOn w:val="13"/>
    <w:semiHidden/>
    <w:uiPriority w:val="99"/>
    <w:rPr>
      <w:color w:val="auto"/>
      <w:u w:val="none"/>
    </w:rPr>
  </w:style>
  <w:style w:type="character" w:styleId="17">
    <w:name w:val="HTML Code"/>
    <w:basedOn w:val="13"/>
    <w:semiHidden/>
    <w:uiPriority w:val="99"/>
    <w:rPr>
      <w:rFonts w:ascii="宋体" w:hAnsi="宋体" w:eastAsia="宋体" w:cs="宋体"/>
      <w:sz w:val="24"/>
      <w:szCs w:val="24"/>
    </w:rPr>
  </w:style>
  <w:style w:type="character" w:styleId="18">
    <w:name w:val="HTML Cite"/>
    <w:basedOn w:val="13"/>
    <w:semiHidden/>
    <w:uiPriority w:val="99"/>
  </w:style>
  <w:style w:type="character" w:customStyle="1" w:styleId="19">
    <w:name w:val="标题 1 Char"/>
    <w:basedOn w:val="13"/>
    <w:link w:val="2"/>
    <w:locked/>
    <w:uiPriority w:val="99"/>
    <w:rPr>
      <w:rFonts w:ascii="宋体" w:hAnsi="宋体" w:eastAsia="宋体" w:cs="宋体"/>
      <w:kern w:val="36"/>
      <w:sz w:val="48"/>
      <w:szCs w:val="48"/>
    </w:rPr>
  </w:style>
  <w:style w:type="character" w:customStyle="1" w:styleId="20">
    <w:name w:val="标题 2 Char"/>
    <w:basedOn w:val="13"/>
    <w:link w:val="3"/>
    <w:qFormat/>
    <w:locked/>
    <w:uiPriority w:val="99"/>
    <w:rPr>
      <w:rFonts w:ascii="宋体" w:hAnsi="宋体" w:eastAsia="宋体" w:cs="宋体"/>
      <w:kern w:val="0"/>
      <w:sz w:val="36"/>
      <w:szCs w:val="36"/>
    </w:rPr>
  </w:style>
  <w:style w:type="character" w:customStyle="1" w:styleId="21">
    <w:name w:val="标题 3 Char"/>
    <w:basedOn w:val="13"/>
    <w:link w:val="4"/>
    <w:locked/>
    <w:uiPriority w:val="99"/>
    <w:rPr>
      <w:rFonts w:ascii="宋体" w:hAnsi="宋体" w:eastAsia="宋体" w:cs="宋体"/>
      <w:kern w:val="0"/>
      <w:sz w:val="27"/>
      <w:szCs w:val="27"/>
    </w:rPr>
  </w:style>
  <w:style w:type="character" w:customStyle="1" w:styleId="22">
    <w:name w:val="标题 4 Char"/>
    <w:basedOn w:val="13"/>
    <w:link w:val="5"/>
    <w:locked/>
    <w:uiPriority w:val="99"/>
    <w:rPr>
      <w:rFonts w:ascii="宋体" w:hAnsi="宋体" w:eastAsia="宋体" w:cs="宋体"/>
      <w:kern w:val="0"/>
      <w:sz w:val="24"/>
      <w:szCs w:val="24"/>
    </w:rPr>
  </w:style>
  <w:style w:type="character" w:customStyle="1" w:styleId="23">
    <w:name w:val="标题 5 Char"/>
    <w:basedOn w:val="13"/>
    <w:link w:val="6"/>
    <w:locked/>
    <w:uiPriority w:val="99"/>
    <w:rPr>
      <w:rFonts w:ascii="宋体" w:hAnsi="宋体" w:eastAsia="宋体" w:cs="宋体"/>
      <w:kern w:val="0"/>
      <w:sz w:val="20"/>
      <w:szCs w:val="20"/>
    </w:rPr>
  </w:style>
  <w:style w:type="character" w:customStyle="1" w:styleId="24">
    <w:name w:val="标题 6 Char"/>
    <w:basedOn w:val="13"/>
    <w:link w:val="7"/>
    <w:locked/>
    <w:uiPriority w:val="99"/>
    <w:rPr>
      <w:rFonts w:ascii="宋体" w:hAnsi="宋体" w:eastAsia="宋体" w:cs="宋体"/>
      <w:kern w:val="0"/>
      <w:sz w:val="15"/>
      <w:szCs w:val="15"/>
    </w:rPr>
  </w:style>
  <w:style w:type="character" w:customStyle="1" w:styleId="25">
    <w:name w:val="HTML 地址 Char"/>
    <w:basedOn w:val="13"/>
    <w:link w:val="8"/>
    <w:semiHidden/>
    <w:locked/>
    <w:uiPriority w:val="99"/>
    <w:rPr>
      <w:rFonts w:ascii="宋体" w:hAnsi="宋体" w:eastAsia="宋体" w:cs="宋体"/>
      <w:kern w:val="0"/>
      <w:sz w:val="24"/>
      <w:szCs w:val="24"/>
    </w:rPr>
  </w:style>
  <w:style w:type="character" w:customStyle="1" w:styleId="26">
    <w:name w:val="页脚 Char"/>
    <w:basedOn w:val="13"/>
    <w:link w:val="9"/>
    <w:locked/>
    <w:uiPriority w:val="99"/>
    <w:rPr>
      <w:sz w:val="18"/>
      <w:szCs w:val="18"/>
    </w:rPr>
  </w:style>
  <w:style w:type="character" w:customStyle="1" w:styleId="27">
    <w:name w:val="页眉 Char"/>
    <w:basedOn w:val="13"/>
    <w:link w:val="10"/>
    <w:semiHidden/>
    <w:locked/>
    <w:uiPriority w:val="99"/>
    <w:rPr>
      <w:sz w:val="18"/>
      <w:szCs w:val="18"/>
    </w:rPr>
  </w:style>
  <w:style w:type="paragraph" w:customStyle="1" w:styleId="28">
    <w:name w:val="fb"/>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29">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0">
    <w:name w:val="cgray"/>
    <w:basedOn w:val="1"/>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1">
    <w:name w:val="cf14"/>
    <w:basedOn w:val="1"/>
    <w:uiPriority w:val="99"/>
    <w:pPr>
      <w:widowControl/>
      <w:spacing w:before="100" w:beforeAutospacing="1" w:after="100" w:afterAutospacing="1"/>
      <w:jc w:val="left"/>
    </w:pPr>
    <w:rPr>
      <w:rFonts w:ascii="宋体" w:hAnsi="宋体" w:cs="宋体"/>
      <w:kern w:val="0"/>
    </w:rPr>
  </w:style>
  <w:style w:type="paragraph" w:customStyle="1" w:styleId="32">
    <w:name w:val="line"/>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3">
    <w:name w:val="line2"/>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4">
    <w:name w:val="top_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ban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top_nav"/>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7">
    <w:name w:val="top_clear1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nav"/>
    <w:basedOn w:val="1"/>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39">
    <w:name w:val="topinpu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btn0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vm"/>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3">
    <w:name w:val="navbox"/>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4">
    <w:name w:val="页眉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页脚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main"/>
    <w:basedOn w:val="1"/>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7">
    <w:name w:val="newsbox"/>
    <w:basedOn w:val="1"/>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8">
    <w:name w:val="newsconcent"/>
    <w:basedOn w:val="1"/>
    <w:uiPriority w:val="99"/>
    <w:pPr>
      <w:widowControl/>
      <w:spacing w:before="150" w:after="100" w:afterAutospacing="1"/>
      <w:jc w:val="left"/>
    </w:pPr>
    <w:rPr>
      <w:rFonts w:ascii="宋体" w:hAnsi="宋体" w:cs="宋体"/>
      <w:kern w:val="0"/>
      <w:sz w:val="24"/>
      <w:szCs w:val="24"/>
    </w:rPr>
  </w:style>
  <w:style w:type="paragraph" w:customStyle="1" w:styleId="49">
    <w:name w:val="newstit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0">
    <w:name w:val="line_bottom_dotted"/>
    <w:basedOn w:val="1"/>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1">
    <w:name w:val="line_3_solid"/>
    <w:basedOn w:val="1"/>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2">
    <w:name w:val="line_top_red"/>
    <w:basedOn w:val="1"/>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3">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4">
    <w:name w:val="newslist_red"/>
    <w:basedOn w:val="1"/>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55">
    <w:name w:val="newslist_black"/>
    <w:basedOn w:val="1"/>
    <w:uiPriority w:val="99"/>
    <w:pPr>
      <w:widowControl/>
      <w:spacing w:before="100" w:beforeAutospacing="1" w:after="100" w:afterAutospacing="1" w:line="525" w:lineRule="atLeast"/>
      <w:jc w:val="center"/>
    </w:pPr>
    <w:rPr>
      <w:rFonts w:ascii="宋体" w:hAnsi="宋体" w:cs="宋体"/>
      <w:kern w:val="0"/>
    </w:rPr>
  </w:style>
  <w:style w:type="paragraph" w:customStyle="1" w:styleId="56">
    <w:name w:val="zwgk"/>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zwgk_to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zwgk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fwym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bs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hd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ymzc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martop9"/>
    <w:basedOn w:val="1"/>
    <w:uiPriority w:val="99"/>
    <w:pPr>
      <w:widowControl/>
      <w:spacing w:before="135" w:after="100" w:afterAutospacing="1"/>
      <w:jc w:val="left"/>
    </w:pPr>
    <w:rPr>
      <w:rFonts w:ascii="宋体" w:hAnsi="宋体" w:cs="宋体"/>
      <w:kern w:val="0"/>
      <w:sz w:val="24"/>
      <w:szCs w:val="24"/>
    </w:rPr>
  </w:style>
  <w:style w:type="paragraph" w:customStyle="1" w:styleId="64">
    <w:name w:val="marleft20"/>
    <w:basedOn w:val="1"/>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5">
    <w:name w:val="zwgk_left_top"/>
    <w:basedOn w:val="1"/>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66">
    <w:name w:val="zwgk_nav_span"/>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67">
    <w:name w:val="zwgk_nav1"/>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2"/>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3"/>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4"/>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nav5"/>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2">
    <w:name w:val="zwgk_right_nav"/>
    <w:basedOn w:val="1"/>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3">
    <w:name w:val="zwgk_right_nav1"/>
    <w:basedOn w:val="1"/>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4">
    <w:name w:val="bs_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75">
    <w:name w:val="bs_tab_bar"/>
    <w:basedOn w:val="1"/>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76">
    <w:name w:val="link_line"/>
    <w:basedOn w:val="1"/>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7">
    <w:name w:val="xl_titel"/>
    <w:basedOn w:val="1"/>
    <w:uiPriority w:val="99"/>
    <w:pPr>
      <w:widowControl/>
      <w:spacing w:before="100" w:beforeAutospacing="1" w:after="100" w:afterAutospacing="1"/>
      <w:jc w:val="left"/>
    </w:pPr>
    <w:rPr>
      <w:rFonts w:ascii="宋体" w:hAnsi="宋体" w:cs="宋体"/>
      <w:kern w:val="0"/>
      <w:sz w:val="36"/>
      <w:szCs w:val="36"/>
    </w:rPr>
  </w:style>
  <w:style w:type="paragraph" w:customStyle="1" w:styleId="78">
    <w:name w:val="xl_con"/>
    <w:basedOn w:val="1"/>
    <w:uiPriority w:val="99"/>
    <w:pPr>
      <w:widowControl/>
      <w:spacing w:before="100" w:beforeAutospacing="1" w:after="100" w:afterAutospacing="1" w:line="450" w:lineRule="atLeast"/>
      <w:jc w:val="left"/>
    </w:pPr>
    <w:rPr>
      <w:rFonts w:ascii="宋体" w:hAnsi="宋体" w:cs="宋体"/>
      <w:kern w:val="0"/>
    </w:rPr>
  </w:style>
  <w:style w:type="paragraph" w:customStyle="1" w:styleId="79">
    <w:name w:val="tabmore"/>
    <w:basedOn w:val="1"/>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80">
    <w:name w:val="grid1"/>
    <w:basedOn w:val="1"/>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1">
    <w:name w:val="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2">
    <w:name w:val="tr_color_1"/>
    <w:basedOn w:val="1"/>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3">
    <w:name w:val="hj-easyread-smoothtips"/>
    <w:basedOn w:val="1"/>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4">
    <w:name w:val="hj-easyread-contai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navmenu"/>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searc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lef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righ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newspic"/>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rightnew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titlefo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smooth-lf"/>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w98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smooth-box"/>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tipscontrol-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hj-easyread-icons"/>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dat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current"/>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gsgg"/>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hj-easyread-sider-btns-item"/>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04">
    <w:name w:val="hj-easyread-speakerprocesser-position-action-icon"/>
    <w:basedOn w:val="13"/>
    <w:uiPriority w:val="99"/>
  </w:style>
  <w:style w:type="paragraph" w:customStyle="1" w:styleId="105">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search1"/>
    <w:basedOn w:val="1"/>
    <w:uiPriority w:val="99"/>
    <w:pPr>
      <w:widowControl/>
      <w:spacing w:line="660" w:lineRule="atLeast"/>
      <w:jc w:val="left"/>
    </w:pPr>
    <w:rPr>
      <w:rFonts w:ascii="宋体" w:hAnsi="宋体" w:cs="宋体"/>
      <w:kern w:val="0"/>
      <w:sz w:val="24"/>
      <w:szCs w:val="24"/>
    </w:rPr>
  </w:style>
  <w:style w:type="paragraph" w:customStyle="1" w:styleId="108">
    <w:name w:val="lef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2">
    <w:name w:val="xwsd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gsgg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4">
    <w:name w:val="date1"/>
    <w:basedOn w:val="1"/>
    <w:uiPriority w:val="99"/>
    <w:pPr>
      <w:widowControl/>
      <w:spacing w:before="100" w:beforeAutospacing="1" w:after="100" w:afterAutospacing="1"/>
      <w:jc w:val="center"/>
    </w:pPr>
    <w:rPr>
      <w:rFonts w:ascii="宋体" w:hAnsi="宋体" w:cs="宋体"/>
      <w:kern w:val="0"/>
      <w:sz w:val="18"/>
      <w:szCs w:val="18"/>
    </w:rPr>
  </w:style>
  <w:style w:type="paragraph" w:customStyle="1" w:styleId="115">
    <w:name w:val="titlefont1"/>
    <w:basedOn w:val="1"/>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6">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7">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8">
    <w:name w:val="w9801"/>
    <w:basedOn w:val="1"/>
    <w:uiPriority w:val="99"/>
    <w:pPr>
      <w:widowControl/>
      <w:jc w:val="left"/>
    </w:pPr>
    <w:rPr>
      <w:rFonts w:ascii="宋体" w:hAnsi="宋体" w:cs="宋体"/>
      <w:kern w:val="0"/>
      <w:sz w:val="24"/>
      <w:szCs w:val="24"/>
    </w:rPr>
  </w:style>
  <w:style w:type="paragraph" w:customStyle="1" w:styleId="119">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20">
    <w:name w:val="hj-easyread-sider-btns-item1"/>
    <w:basedOn w:val="1"/>
    <w:uiPriority w:val="99"/>
    <w:pPr>
      <w:widowControl/>
      <w:spacing w:before="100" w:beforeAutospacing="1" w:after="100" w:afterAutospacing="1"/>
      <w:jc w:val="left"/>
    </w:pPr>
    <w:rPr>
      <w:rFonts w:ascii="宋体" w:hAnsi="宋体" w:cs="宋体"/>
      <w:vanish/>
      <w:kern w:val="0"/>
      <w:sz w:val="24"/>
      <w:szCs w:val="24"/>
    </w:rPr>
  </w:style>
  <w:style w:type="character" w:customStyle="1" w:styleId="121">
    <w:name w:val="hj-easyread-speakerprocesser-position-action-icon1"/>
    <w:basedOn w:val="13"/>
    <w:uiPriority w:val="99"/>
    <w:rPr>
      <w:shd w:val="clear" w:color="auto" w:fill="auto"/>
    </w:rPr>
  </w:style>
  <w:style w:type="paragraph" w:customStyle="1" w:styleId="122">
    <w:name w:val="tipscontrol-btn1"/>
    <w:basedOn w:val="1"/>
    <w:uiPriority w:val="99"/>
    <w:pPr>
      <w:widowControl/>
      <w:spacing w:before="100" w:beforeAutospacing="1" w:after="135" w:line="536853376" w:lineRule="auto"/>
      <w:jc w:val="left"/>
    </w:pPr>
    <w:rPr>
      <w:rFonts w:ascii="宋体" w:hAnsi="宋体" w:cs="宋体"/>
      <w:kern w:val="0"/>
      <w:sz w:val="2"/>
      <w:szCs w:val="2"/>
    </w:rPr>
  </w:style>
  <w:style w:type="paragraph" w:customStyle="1" w:styleId="123">
    <w:name w:val="returntotop-btn1"/>
    <w:basedOn w:val="1"/>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4">
    <w:name w:val="hj-easyread-icons1"/>
    <w:basedOn w:val="1"/>
    <w:uiPriority w:val="99"/>
    <w:pPr>
      <w:widowControl/>
      <w:spacing w:before="100" w:beforeAutospacing="1" w:after="100" w:afterAutospacing="1"/>
      <w:jc w:val="left"/>
    </w:pPr>
    <w:rPr>
      <w:rFonts w:ascii="宋体" w:hAnsi="宋体" w:cs="宋体"/>
      <w:kern w:val="0"/>
      <w:sz w:val="24"/>
      <w:szCs w:val="24"/>
    </w:rPr>
  </w:style>
  <w:style w:type="paragraph" w:styleId="125">
    <w:name w:val="List Paragraph"/>
    <w:basedOn w:val="1"/>
    <w:qFormat/>
    <w:uiPriority w:val="99"/>
    <w:pPr>
      <w:ind w:firstLine="420" w:firstLineChars="200"/>
    </w:pPr>
  </w:style>
  <w:style w:type="paragraph" w:customStyle="1" w:styleId="126">
    <w:name w:val="reader-word-lay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7">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11</Pages>
  <Words>4821</Words>
  <Characters>1092</Characters>
  <Lines>9</Lines>
  <Paragraphs>11</Paragraphs>
  <TotalTime>777</TotalTime>
  <ScaleCrop>false</ScaleCrop>
  <LinksUpToDate>false</LinksUpToDate>
  <CharactersWithSpaces>5902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syy</cp:lastModifiedBy>
  <cp:lastPrinted>2021-08-19T04:44:00Z</cp:lastPrinted>
  <dcterms:modified xsi:type="dcterms:W3CDTF">2023-01-06T00:39:13Z</dcterms:modified>
  <dc:title>2014年度常德市社会劳动保险处</dc:title>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04D608AC16D7409FAE6737A13AC2A431</vt:lpwstr>
  </property>
</Properties>
</file>