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06" w:rsidRDefault="007A2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B06" w:rsidRDefault="007A2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B06" w:rsidRDefault="007A2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B06" w:rsidRDefault="007A2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B06" w:rsidRDefault="007A2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B06" w:rsidRDefault="00882A5E">
      <w:pPr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2021年度澧县商务局整体支出</w:t>
      </w:r>
    </w:p>
    <w:p w:rsidR="007A2B06" w:rsidRDefault="00882A5E">
      <w:pPr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绩效自评报告</w:t>
      </w:r>
    </w:p>
    <w:p w:rsidR="007A2B06" w:rsidRDefault="007A2B0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7A2B06" w:rsidRDefault="007A2B0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7A2B06" w:rsidRDefault="007A2B06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882A5E">
      <w:pPr>
        <w:jc w:val="center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单位名称：（盖章）</w:t>
      </w:r>
    </w:p>
    <w:p w:rsidR="007A2B06" w:rsidRDefault="007A2B06">
      <w:pPr>
        <w:jc w:val="center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7A2B06" w:rsidRDefault="00882A5E">
      <w:pPr>
        <w:jc w:val="center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2022年5月18日</w:t>
      </w:r>
    </w:p>
    <w:p w:rsidR="007A2B06" w:rsidRDefault="007A2B0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Pr="0056075B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7A2B0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A2B06" w:rsidRDefault="00882A5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2021年度澧县商务局整体支出</w:t>
      </w:r>
    </w:p>
    <w:p w:rsidR="007A2B06" w:rsidRDefault="00882A5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绩效自评报告</w:t>
      </w:r>
    </w:p>
    <w:p w:rsidR="007A2B06" w:rsidRDefault="007A2B06">
      <w:pPr>
        <w:spacing w:line="580" w:lineRule="exact"/>
        <w:jc w:val="center"/>
        <w:rPr>
          <w:rFonts w:ascii="Times New Roman" w:eastAsiaTheme="majorEastAsia" w:hAnsiTheme="majorEastAsia" w:cs="Times New Roman"/>
          <w:b/>
          <w:sz w:val="44"/>
          <w:szCs w:val="44"/>
        </w:rPr>
      </w:pPr>
    </w:p>
    <w:p w:rsidR="007A2B06" w:rsidRDefault="00882A5E">
      <w:pPr>
        <w:spacing w:line="59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为加强财政支出绩效管理，提高财政资金使用效益，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根据《湖南省财政厅关于印发&lt;湖南省预算支出绩效评价管理办法&gt;的通知》（湘财绩〔2020〕7号）、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《澧县财政局关于开展2021年度预算支出绩效自评工作的通知》（澧财发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〔2022〕</w:t>
      </w:r>
      <w:r>
        <w:rPr>
          <w:rFonts w:ascii="仿宋_GB2312" w:eastAsia="仿宋_GB2312" w:hAnsi="仿宋_GB2312" w:cs="仿宋_GB2312" w:hint="eastAsia"/>
          <w:sz w:val="32"/>
          <w:szCs w:val="32"/>
        </w:rPr>
        <w:t>11号）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文件精神，对本单位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2021年度部门整体支出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进行了绩效自评，现将自评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情况报告如下：</w:t>
      </w:r>
    </w:p>
    <w:p w:rsidR="007A2B06" w:rsidRDefault="00882A5E">
      <w:pPr>
        <w:spacing w:line="59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一、部门基本情况</w:t>
      </w:r>
    </w:p>
    <w:p w:rsidR="007A2B06" w:rsidRDefault="00882A5E">
      <w:pPr>
        <w:widowControl/>
        <w:spacing w:line="596" w:lineRule="exact"/>
        <w:ind w:firstLineChars="200" w:firstLine="643"/>
        <w:rPr>
          <w:rFonts w:ascii="仿宋_GB2312" w:eastAsia="仿宋_GB2312" w:hAnsi="仿宋_GB2312" w:cs="仿宋_GB2312"/>
          <w:b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222222"/>
          <w:sz w:val="32"/>
          <w:szCs w:val="32"/>
        </w:rPr>
        <w:t>（一）机构、人员构成</w:t>
      </w:r>
    </w:p>
    <w:p w:rsidR="007A2B06" w:rsidRDefault="00882A5E">
      <w:pPr>
        <w:spacing w:line="59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澧县商务局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为一级部门预算的财政全额保障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行政单位，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根据县编办核定，我局内设股室7个，所属二级机构2个，全部纳入部门预算编制范围。</w:t>
      </w:r>
    </w:p>
    <w:p w:rsidR="007A2B06" w:rsidRDefault="00882A5E">
      <w:pPr>
        <w:spacing w:line="59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内设股室分别是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办公室、财务股、政工股、市场运行和消费促进股、市场体系建设和流通业发展股、外经外贸股、综治维稳办。所属二级机构：澧县对外劳务服务中心、澧县牲畜屠宰服务中心（独立核算）。</w:t>
      </w:r>
    </w:p>
    <w:p w:rsidR="007A2B06" w:rsidRDefault="00882A5E">
      <w:pPr>
        <w:spacing w:line="59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2021年定编合计33人</w:t>
      </w:r>
      <w:r>
        <w:rPr>
          <w:rFonts w:ascii="仿宋_GB2312" w:eastAsia="仿宋_GB2312" w:hAnsi="仿宋_GB2312" w:cs="仿宋_GB2312" w:hint="eastAsia"/>
          <w:sz w:val="28"/>
          <w:szCs w:val="28"/>
        </w:rPr>
        <w:t>（行政编制15人，全额事业编制18人）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，年末实有人数33人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7A2B06" w:rsidRDefault="00882A5E">
      <w:pPr>
        <w:widowControl/>
        <w:spacing w:line="596" w:lineRule="exact"/>
        <w:ind w:firstLineChars="200" w:firstLine="643"/>
        <w:rPr>
          <w:rFonts w:ascii="仿宋_GB2312" w:eastAsia="仿宋_GB2312" w:hAnsi="仿宋_GB2312" w:cs="仿宋_GB2312"/>
          <w:b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222222"/>
          <w:sz w:val="32"/>
          <w:szCs w:val="32"/>
        </w:rPr>
        <w:t>（二）职能职责</w:t>
      </w:r>
    </w:p>
    <w:p w:rsidR="007A2B06" w:rsidRDefault="00882A5E">
      <w:pPr>
        <w:spacing w:line="59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贯彻执行国家、省、市内外贸易、国际经济合作和区域经济合作的发展战略、政策；推进流通产业结构调整，促进商贸服务业和社区商业发展；牵头协调整顿和规范市场经济秩序工作，拟订规范市场秩序的政策；组织实施重要消费品市场调控和重要生产资料流通管理，建立健全生活必需品市场供应应急管理机制。规范招商引资活动；依法管理和监督对外劳务合作；承担会展业促进与管理有关工作；按照管理权限和职责分工，负责展会类活动的审查工作；承担全县商务系统统计及其信息发布工作，提供信息咨询服务，指导全县流通领域信息网络和电子商务建设；拟订并组织实施对外经济合作政策；承办县委、县政府交办的其他事项。</w:t>
      </w:r>
    </w:p>
    <w:p w:rsidR="007A2B06" w:rsidRDefault="00882A5E">
      <w:pPr>
        <w:widowControl/>
        <w:spacing w:line="596" w:lineRule="exact"/>
        <w:ind w:firstLineChars="200" w:firstLine="643"/>
        <w:rPr>
          <w:rFonts w:ascii="仿宋_GB2312" w:eastAsia="仿宋_GB2312" w:hAnsi="仿宋_GB2312" w:cs="仿宋_GB2312"/>
          <w:b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222222"/>
          <w:sz w:val="32"/>
          <w:szCs w:val="32"/>
        </w:rPr>
        <w:t>（三）部门整体支出情况</w:t>
      </w:r>
    </w:p>
    <w:p w:rsidR="007A2B06" w:rsidRDefault="00882A5E">
      <w:pPr>
        <w:widowControl/>
        <w:spacing w:line="59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2021年度部门预算收入726.78万元，年内预算调整318.81万元，决算收入1045.59万元，其中：一般公共预算拨款收入1040.89万元；国有资本经营预算财政拨款4.7万元。</w:t>
      </w:r>
    </w:p>
    <w:p w:rsidR="007A2B06" w:rsidRDefault="00882A5E">
      <w:pPr>
        <w:widowControl/>
        <w:spacing w:line="59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2021年部门预算支出726.78万元，其中：基本支出426.48万元，项目支出240.76万元；部门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决算支出1045.59万元，其中：基本支出498.56万元；项目支出547.03万元。基本支出中人员经费支出444.06万元；日常公用经费支出54.5万元。</w:t>
      </w:r>
    </w:p>
    <w:p w:rsidR="007A2B06" w:rsidRDefault="00882A5E">
      <w:pPr>
        <w:widowControl/>
        <w:spacing w:line="59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详见附件：部门整体支出明细表</w:t>
      </w:r>
    </w:p>
    <w:p w:rsidR="007A2B06" w:rsidRDefault="007A2B06">
      <w:pPr>
        <w:widowControl/>
        <w:tabs>
          <w:tab w:val="left" w:pos="3080"/>
        </w:tabs>
        <w:spacing w:line="6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A2B06" w:rsidRDefault="007A2B06">
      <w:pPr>
        <w:widowControl/>
        <w:tabs>
          <w:tab w:val="left" w:pos="3080"/>
        </w:tabs>
        <w:spacing w:line="6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A2B06" w:rsidRDefault="00882A5E">
      <w:pPr>
        <w:widowControl/>
        <w:tabs>
          <w:tab w:val="left" w:pos="3080"/>
        </w:tabs>
        <w:spacing w:line="6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2021年度部门预、决算收支表</w:t>
      </w:r>
    </w:p>
    <w:p w:rsidR="007A2B06" w:rsidRDefault="00882A5E">
      <w:pPr>
        <w:widowControl/>
        <w:tabs>
          <w:tab w:val="left" w:pos="3080"/>
        </w:tabs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  （万元）</w:t>
      </w:r>
    </w:p>
    <w:tbl>
      <w:tblPr>
        <w:tblStyle w:val="a5"/>
        <w:tblW w:w="8813" w:type="dxa"/>
        <w:tblLayout w:type="fixed"/>
        <w:tblLook w:val="04A0"/>
      </w:tblPr>
      <w:tblGrid>
        <w:gridCol w:w="3545"/>
        <w:gridCol w:w="2136"/>
        <w:gridCol w:w="3132"/>
      </w:tblGrid>
      <w:tr w:rsidR="007A2B06">
        <w:trPr>
          <w:trHeight w:val="557"/>
        </w:trPr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功能科目</w:t>
            </w:r>
          </w:p>
        </w:tc>
        <w:tc>
          <w:tcPr>
            <w:tcW w:w="2136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预算金额</w:t>
            </w: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决算金额</w:t>
            </w:r>
          </w:p>
        </w:tc>
      </w:tr>
      <w:tr w:rsidR="007A2B06">
        <w:trPr>
          <w:trHeight w:val="557"/>
        </w:trPr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一般公共服务支出</w:t>
            </w:r>
          </w:p>
        </w:tc>
        <w:tc>
          <w:tcPr>
            <w:tcW w:w="2136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642.15</w:t>
            </w: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460.10</w:t>
            </w:r>
          </w:p>
        </w:tc>
      </w:tr>
      <w:tr w:rsidR="007A2B06">
        <w:trPr>
          <w:trHeight w:val="557"/>
        </w:trPr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社会保障和就业支出</w:t>
            </w:r>
          </w:p>
        </w:tc>
        <w:tc>
          <w:tcPr>
            <w:tcW w:w="2136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35.89</w:t>
            </w: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35.89</w:t>
            </w:r>
          </w:p>
        </w:tc>
      </w:tr>
      <w:tr w:rsidR="007A2B06">
        <w:trPr>
          <w:trHeight w:val="497"/>
        </w:trPr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文化旅游与传媒支出</w:t>
            </w:r>
          </w:p>
        </w:tc>
        <w:tc>
          <w:tcPr>
            <w:tcW w:w="2136" w:type="dxa"/>
            <w:noWrap/>
          </w:tcPr>
          <w:p w:rsidR="007A2B06" w:rsidRDefault="007A2B06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10.00</w:t>
            </w:r>
          </w:p>
        </w:tc>
      </w:tr>
      <w:tr w:rsidR="007A2B06">
        <w:trPr>
          <w:trHeight w:val="497"/>
        </w:trPr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卫生健康支出</w:t>
            </w:r>
          </w:p>
        </w:tc>
        <w:tc>
          <w:tcPr>
            <w:tcW w:w="2136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16.82</w:t>
            </w: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16.82</w:t>
            </w:r>
          </w:p>
        </w:tc>
      </w:tr>
      <w:tr w:rsidR="007A2B06">
        <w:trPr>
          <w:trHeight w:val="497"/>
        </w:trPr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住房保障支出</w:t>
            </w:r>
          </w:p>
        </w:tc>
        <w:tc>
          <w:tcPr>
            <w:tcW w:w="2136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31.92</w:t>
            </w: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26.92</w:t>
            </w:r>
          </w:p>
        </w:tc>
      </w:tr>
      <w:tr w:rsidR="007A2B06">
        <w:trPr>
          <w:trHeight w:val="497"/>
        </w:trPr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资源勘探工业信息等支出</w:t>
            </w:r>
          </w:p>
        </w:tc>
        <w:tc>
          <w:tcPr>
            <w:tcW w:w="2136" w:type="dxa"/>
            <w:noWrap/>
          </w:tcPr>
          <w:p w:rsidR="007A2B06" w:rsidRDefault="007A2B06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143.49</w:t>
            </w:r>
          </w:p>
        </w:tc>
      </w:tr>
      <w:tr w:rsidR="007A2B06"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商业服务业等支出</w:t>
            </w:r>
          </w:p>
        </w:tc>
        <w:tc>
          <w:tcPr>
            <w:tcW w:w="2136" w:type="dxa"/>
            <w:noWrap/>
          </w:tcPr>
          <w:p w:rsidR="007A2B06" w:rsidRDefault="007A2B06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300.84</w:t>
            </w:r>
          </w:p>
        </w:tc>
      </w:tr>
      <w:tr w:rsidR="007A2B06"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国有资本经营预算支出</w:t>
            </w:r>
          </w:p>
        </w:tc>
        <w:tc>
          <w:tcPr>
            <w:tcW w:w="2136" w:type="dxa"/>
            <w:noWrap/>
          </w:tcPr>
          <w:p w:rsidR="007A2B06" w:rsidRDefault="007A2B06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4.70</w:t>
            </w:r>
          </w:p>
        </w:tc>
      </w:tr>
      <w:tr w:rsidR="007A2B06">
        <w:tc>
          <w:tcPr>
            <w:tcW w:w="3545" w:type="dxa"/>
            <w:noWrap/>
          </w:tcPr>
          <w:p w:rsidR="007A2B06" w:rsidRDefault="00882A5E">
            <w:pPr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其他支出</w:t>
            </w:r>
          </w:p>
        </w:tc>
        <w:tc>
          <w:tcPr>
            <w:tcW w:w="2136" w:type="dxa"/>
            <w:noWrap/>
          </w:tcPr>
          <w:p w:rsidR="007A2B06" w:rsidRDefault="007A2B06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32" w:type="dxa"/>
            <w:noWrap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46.83</w:t>
            </w:r>
          </w:p>
        </w:tc>
      </w:tr>
    </w:tbl>
    <w:p w:rsidR="007A2B06" w:rsidRDefault="00882A5E">
      <w:pPr>
        <w:widowControl/>
        <w:spacing w:line="560" w:lineRule="exact"/>
        <w:ind w:left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</w:rPr>
        <w:t>（四）“三公经费”支出使用和管理情况</w:t>
      </w:r>
    </w:p>
    <w:p w:rsidR="007A2B06" w:rsidRDefault="00882A5E">
      <w:pPr>
        <w:spacing w:line="6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2021年度“三公”经费支出情况表</w:t>
      </w:r>
    </w:p>
    <w:p w:rsidR="007A2B06" w:rsidRDefault="00882A5E">
      <w:pPr>
        <w:spacing w:line="64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单位：万元  </w:t>
      </w:r>
    </w:p>
    <w:tbl>
      <w:tblPr>
        <w:tblStyle w:val="a5"/>
        <w:tblW w:w="0" w:type="auto"/>
        <w:jc w:val="center"/>
        <w:tblLook w:val="04A0"/>
      </w:tblPr>
      <w:tblGrid>
        <w:gridCol w:w="1759"/>
        <w:gridCol w:w="1759"/>
        <w:gridCol w:w="1759"/>
        <w:gridCol w:w="1760"/>
        <w:gridCol w:w="1760"/>
      </w:tblGrid>
      <w:tr w:rsidR="007A2B06">
        <w:trPr>
          <w:trHeight w:val="1045"/>
          <w:jc w:val="center"/>
        </w:trPr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年度</w:t>
            </w:r>
          </w:p>
        </w:tc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“三公”经费合计</w:t>
            </w:r>
          </w:p>
        </w:tc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因公出国（境）费用</w:t>
            </w:r>
          </w:p>
        </w:tc>
        <w:tc>
          <w:tcPr>
            <w:tcW w:w="1760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公务用车运行维护</w:t>
            </w:r>
          </w:p>
        </w:tc>
        <w:tc>
          <w:tcPr>
            <w:tcW w:w="1760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公务接待费</w:t>
            </w:r>
          </w:p>
        </w:tc>
      </w:tr>
      <w:tr w:rsidR="007A2B06">
        <w:trPr>
          <w:trHeight w:val="533"/>
          <w:jc w:val="center"/>
        </w:trPr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2020</w:t>
            </w:r>
          </w:p>
        </w:tc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12.40</w:t>
            </w:r>
          </w:p>
        </w:tc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12.40</w:t>
            </w:r>
          </w:p>
        </w:tc>
      </w:tr>
      <w:tr w:rsidR="007A2B06">
        <w:trPr>
          <w:trHeight w:val="533"/>
          <w:jc w:val="center"/>
        </w:trPr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2021</w:t>
            </w:r>
          </w:p>
        </w:tc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10.44</w:t>
            </w:r>
          </w:p>
        </w:tc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10.44</w:t>
            </w:r>
          </w:p>
        </w:tc>
      </w:tr>
      <w:tr w:rsidR="007A2B06">
        <w:trPr>
          <w:trHeight w:val="553"/>
          <w:jc w:val="center"/>
        </w:trPr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增减率</w:t>
            </w:r>
          </w:p>
        </w:tc>
        <w:tc>
          <w:tcPr>
            <w:tcW w:w="1759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-15.81%</w:t>
            </w:r>
          </w:p>
        </w:tc>
        <w:tc>
          <w:tcPr>
            <w:tcW w:w="1759" w:type="dxa"/>
            <w:noWrap/>
            <w:vAlign w:val="center"/>
          </w:tcPr>
          <w:p w:rsidR="007A2B06" w:rsidRDefault="007A2B06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0" w:type="dxa"/>
            <w:noWrap/>
            <w:vAlign w:val="center"/>
          </w:tcPr>
          <w:p w:rsidR="007A2B06" w:rsidRDefault="007A2B06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0" w:type="dxa"/>
            <w:noWrap/>
            <w:vAlign w:val="center"/>
          </w:tcPr>
          <w:p w:rsidR="007A2B06" w:rsidRDefault="00882A5E">
            <w:pPr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-15.81%</w:t>
            </w:r>
          </w:p>
        </w:tc>
      </w:tr>
    </w:tbl>
    <w:p w:rsidR="007A2B06" w:rsidRDefault="00882A5E">
      <w:pPr>
        <w:spacing w:line="580" w:lineRule="exact"/>
        <w:ind w:firstLineChars="300" w:firstLine="960"/>
        <w:rPr>
          <w:rFonts w:ascii="仿宋" w:eastAsia="仿宋" w:hAnsi="仿宋" w:cs="黑体"/>
          <w:b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从上表反映，我局2021年“三公”经费支出10.44万元，“三公”经费较上年下降15.81%，支出减少1.96万元。</w:t>
      </w:r>
    </w:p>
    <w:p w:rsidR="00910C31" w:rsidRDefault="00910C31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b/>
          <w:color w:val="222222"/>
          <w:sz w:val="32"/>
          <w:szCs w:val="32"/>
        </w:rPr>
      </w:pPr>
    </w:p>
    <w:p w:rsidR="00910C31" w:rsidRDefault="00910C31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b/>
          <w:color w:val="222222"/>
          <w:sz w:val="32"/>
          <w:szCs w:val="32"/>
        </w:rPr>
      </w:pPr>
    </w:p>
    <w:p w:rsidR="007A2B06" w:rsidRDefault="00882A5E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b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222222"/>
          <w:sz w:val="32"/>
          <w:szCs w:val="32"/>
        </w:rPr>
        <w:lastRenderedPageBreak/>
        <w:t>（五）部门绩效目标</w:t>
      </w:r>
    </w:p>
    <w:p w:rsidR="007A2B06" w:rsidRDefault="00882A5E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1、部门绩效总目标</w:t>
      </w:r>
    </w:p>
    <w:p w:rsidR="007A2B06" w:rsidRDefault="00882A5E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促进澧县现代服务业的全面快速发展，优化产业结构，形成以生产性服务业为主导，生活性服务业为支撑的产业格局，成为县域经济发展的重要支柱和拉动经济增长的主要动力，打造湘鄂边、湘西北、澧水中下游物流中心、商业中心和消费中心。</w:t>
      </w:r>
    </w:p>
    <w:p w:rsidR="007A2B06" w:rsidRDefault="00882A5E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2、2021年度部门绩效目标</w:t>
      </w:r>
    </w:p>
    <w:p w:rsidR="007A2B06" w:rsidRDefault="00882A5E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第三产业与电子商务发展：全县第三产业年均增长15%以上，三产增加值占GDP比重50%以上，发展、扶持县村级电子商务平台建设；财富广场专项：解决好县财富广场C区经营户投入损失问题，维护财富广场的稳定；商务粮食系统维稳经费：处理好商物系统改制后各类遗留问题处理，处理好涉军群体、下岗特困群体、遗属等各类群体的安抚工作并落实相关政策，确保社会稳定。</w:t>
      </w:r>
    </w:p>
    <w:p w:rsidR="007A2B06" w:rsidRDefault="00882A5E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b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222222"/>
          <w:sz w:val="32"/>
          <w:szCs w:val="32"/>
        </w:rPr>
        <w:t>（六）绩效自评工作情况</w:t>
      </w:r>
    </w:p>
    <w:p w:rsidR="007A2B06" w:rsidRDefault="00882A5E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b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成立了绩效自评工作领导小组，制定了绩效自评方案。对三产引导与电子商务资金、财富广场工作经费、商务粮食维稳经费、对外劳务、维稳资金使用范围及扶持对象进行跟踪调查。同时，还对扶持对象进行了抽样问卷调查。</w:t>
      </w:r>
    </w:p>
    <w:p w:rsidR="007A2B06" w:rsidRDefault="00882A5E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）综合自评结果</w:t>
      </w:r>
    </w:p>
    <w:p w:rsidR="007A2B06" w:rsidRDefault="00882A5E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三产引导与电子商务、财富广场、商务粮食维稳等</w:t>
      </w:r>
      <w:r w:rsidR="0056075B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个专项资金在使用方面符合专项资金的支出范畴。</w:t>
      </w:r>
    </w:p>
    <w:p w:rsidR="00840EDD" w:rsidRPr="00910C31" w:rsidRDefault="00840EDD">
      <w:pPr>
        <w:spacing w:line="576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 w:rsidRPr="00910C31">
        <w:rPr>
          <w:rFonts w:ascii="黑体" w:eastAsia="黑体" w:hAnsi="黑体" w:cs="方正黑体简体" w:hint="eastAsia"/>
          <w:sz w:val="32"/>
          <w:szCs w:val="32"/>
        </w:rPr>
        <w:lastRenderedPageBreak/>
        <w:t>二、一般公共预算支出情况</w:t>
      </w:r>
    </w:p>
    <w:p w:rsidR="00840EDD" w:rsidRPr="00910C31" w:rsidRDefault="00840EDD" w:rsidP="00910C31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10C3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2021年度</w:t>
      </w:r>
      <w:r w:rsidR="00910C31" w:rsidRPr="00910C3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一般公共预算（经费拨款）收入384.69</w:t>
      </w:r>
      <w:r w:rsidRPr="00910C3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 w:rsidR="00910C31" w:rsidRPr="00910C3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，其中基本支出338.93万元，项目支出45.76万元。</w:t>
      </w:r>
    </w:p>
    <w:p w:rsidR="00910C31" w:rsidRPr="00910C31" w:rsidRDefault="00910C31" w:rsidP="00910C31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10C3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基本支出明细：工资福利支出307.10万元，一般商品服务支出31.83万元。</w:t>
      </w:r>
    </w:p>
    <w:p w:rsidR="00910C31" w:rsidRPr="00910C31" w:rsidRDefault="00910C31" w:rsidP="00910C31">
      <w:pPr>
        <w:spacing w:line="576" w:lineRule="exact"/>
        <w:ind w:firstLine="600"/>
        <w:rPr>
          <w:rFonts w:ascii="仿宋_GB2312" w:eastAsia="仿宋_GB2312" w:hAnsi="方正黑体简体" w:cs="方正黑体简体"/>
          <w:sz w:val="32"/>
          <w:szCs w:val="32"/>
        </w:rPr>
      </w:pPr>
      <w:r w:rsidRPr="00910C3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项目支出明细：</w:t>
      </w:r>
      <w:r w:rsidRPr="00910C31">
        <w:rPr>
          <w:rFonts w:ascii="仿宋_GB2312" w:eastAsia="仿宋_GB2312" w:hAnsi="仿宋" w:cs="Times New Roman" w:hint="eastAsia"/>
          <w:sz w:val="32"/>
          <w:szCs w:val="32"/>
        </w:rPr>
        <w:t>成品油、电子商务及“社会市场管理”工作4万元；对外劳务合作专项工作经费5万元；边贸城挂靠人员待遇及退休人员抚恤2万元；挂靠离休人员活动费6.16万元；维稳工作经费10万元；金罗肉联厂、棉麻改制挂靠人员生活补助18.6万元</w:t>
      </w:r>
      <w:r w:rsidR="00043A4C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7A2B06" w:rsidRDefault="00882A5E">
      <w:pPr>
        <w:spacing w:line="57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三、政府性基金预算支出情况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我单位无政府性基金预算支出的情况。</w:t>
      </w:r>
    </w:p>
    <w:p w:rsidR="007A2B06" w:rsidRDefault="00882A5E">
      <w:pPr>
        <w:spacing w:line="57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四、国有资本经营预算支出情况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我单位2021年国有资本经营预算收入为4.7万元，收入来源为二化民爆公司经营分红收益，用于弥补机关维稳支出。</w:t>
      </w:r>
    </w:p>
    <w:p w:rsidR="007A2B06" w:rsidRDefault="00882A5E">
      <w:pPr>
        <w:spacing w:line="57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五、社会保险基金预算支出情况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="0058550A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社会保险基金预算支出的情况。</w:t>
      </w:r>
    </w:p>
    <w:p w:rsidR="007A2B06" w:rsidRDefault="00882A5E">
      <w:pPr>
        <w:spacing w:line="57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六、单位整体支出绩效情况</w:t>
      </w:r>
    </w:p>
    <w:p w:rsidR="007A2B06" w:rsidRDefault="00882A5E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（一）创新方式促消费，大疫之年保增长。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仍是全球新冠肺炎疫情之年，我局成立了3个专门巡查小组，每天穿梭人流集中易于被感染的商超、农贸市场，一方面督促疫情防控措施，另一方面及时调度市场物资供应，确保不断档、不脱销、不发生哄抢、不无序涨价。商务局先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开展了“美好生活·约惠澧州”“澧淘商城 云年货节”“味道湖南·澧州美食季”“湘西北国际汽车展”等一系列大型促消费活动。确保了疫情之年消费保增长的目标。2021年全县实现社会消费品零售总额208亿元，同比增长16.2%。</w:t>
      </w:r>
    </w:p>
    <w:p w:rsidR="007A2B06" w:rsidRDefault="00882A5E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（二）抢抓机遇促发展，商贸项目近百亿。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大批亿元以上重量级流通产业项目横空出世，40亿元的万达欢乐城、20亿元的三科农商城、10亿元的亿坤·澧州国际汽车城、22亿元的唐人神生猪养殖项目均顺利开工建设，商务局作为其中的招商引资和跟踪服务责任单位，付出了应有的努力，获得了上下肯定。</w:t>
      </w:r>
    </w:p>
    <w:p w:rsidR="007A2B06" w:rsidRDefault="00882A5E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（三）排忧解难促外贸，围绕企业办实事。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务局组织专门班子对工业、农业、商贸领域走出去的企业进行全面摸底，大力挖掘对外贸易潜能。县政府领导带队重点走访双上绿芽、城头山红薯科技、韩顺电子、鑫宝机电等企业，鼓励并支持企业参加国内外各种展会，寻求外贸订单。同时积极为企业办理进出口资质、招聘外贸人才、兑现外贸企业奖励政策，得到了企业普遍认可。2021年全县实现外贸进出口总额1.33亿美元，完成年度任务的123.8%，列全市第一方阵。</w:t>
      </w:r>
    </w:p>
    <w:p w:rsidR="007A2B06" w:rsidRDefault="00882A5E">
      <w:pPr>
        <w:spacing w:line="57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七、存在的问题及原因分析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1、部门整体绩效目标细化分解不具体，不够清晰。在绩效目标数量、质量、标准的要求上，有些环节不够明确。部分绩效目标没有具体分解到各股室。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2、内部管理制度不全，有些制度未得到有效执行。</w:t>
      </w:r>
    </w:p>
    <w:p w:rsidR="007A2B06" w:rsidRDefault="00882A5E">
      <w:pPr>
        <w:spacing w:line="57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lastRenderedPageBreak/>
        <w:t>八、下一步改进措施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1、明确绩效目标数量、进一步细化分解绩效目标，将具体目标分解到岗到人。</w:t>
      </w:r>
    </w:p>
    <w:p w:rsidR="007A2B06" w:rsidRDefault="00882A5E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进一步加强预算编制及管理，根据各股室的职能职责和工作实际，科学、完整地确定好支出的项目、范围、用途、资金来源，将所有收入、支出全部纳入预算管理，强化预算的执行。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进一步建立健全内部管理制度，根据单位实际情况，制定规范可行的管理制度，使制度得到有效地执行</w:t>
      </w:r>
    </w:p>
    <w:p w:rsidR="007A2B06" w:rsidRDefault="00882A5E">
      <w:pPr>
        <w:spacing w:line="57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九、单位整体支出绩效自评结果拟应用和公开情况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根据《澧县商务局2021年整体支出绩效自评表》的评分结果，综合自评得分 97分，较好地完成了年度绩效考核目标和任务，并拟在本单位网站及政务公开栏中予以公开。</w:t>
      </w:r>
    </w:p>
    <w:p w:rsidR="007A2B06" w:rsidRDefault="00882A5E">
      <w:pPr>
        <w:spacing w:line="576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十、其他需要说明的情况</w:t>
      </w:r>
    </w:p>
    <w:p w:rsidR="007A2B06" w:rsidRDefault="00882A5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EC2421" w:rsidRDefault="00EC2421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C2421" w:rsidRDefault="00EC2421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C2421" w:rsidRPr="00EC2421" w:rsidRDefault="00EC2421" w:rsidP="00EC242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C2421">
        <w:rPr>
          <w:rFonts w:ascii="仿宋_GB2312" w:eastAsia="仿宋_GB2312" w:hAnsi="仿宋" w:cs="Times New Roman" w:hint="eastAsia"/>
          <w:sz w:val="32"/>
          <w:szCs w:val="32"/>
        </w:rPr>
        <w:t>附件：</w:t>
      </w:r>
    </w:p>
    <w:p w:rsidR="00EC2421" w:rsidRPr="00EC2421" w:rsidRDefault="00EC2421" w:rsidP="00EC242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C2421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EC2421">
        <w:rPr>
          <w:rFonts w:ascii="仿宋_GB2312" w:eastAsia="仿宋_GB2312" w:hAnsi="仿宋" w:cs="Times New Roman" w:hint="eastAsia"/>
          <w:sz w:val="32"/>
          <w:szCs w:val="32"/>
        </w:rPr>
        <w:t>．部门整体支出绩效评价基础数据表</w:t>
      </w:r>
    </w:p>
    <w:p w:rsidR="00EC2421" w:rsidRPr="00EC2421" w:rsidRDefault="00EC2421" w:rsidP="00EC242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C242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C2421">
        <w:rPr>
          <w:rFonts w:ascii="仿宋_GB2312" w:eastAsia="仿宋_GB2312" w:hAnsi="仿宋" w:cs="Times New Roman" w:hint="eastAsia"/>
          <w:sz w:val="32"/>
          <w:szCs w:val="32"/>
        </w:rPr>
        <w:t>．部门整体支出绩效自评表</w:t>
      </w:r>
    </w:p>
    <w:p w:rsidR="00EC2421" w:rsidRPr="00EC2421" w:rsidRDefault="00EC2421" w:rsidP="00EC2421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C2421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C2421">
        <w:rPr>
          <w:rFonts w:ascii="仿宋_GB2312" w:eastAsia="仿宋_GB2312" w:hAnsi="仿宋" w:cs="Times New Roman" w:hint="eastAsia"/>
          <w:sz w:val="32"/>
          <w:szCs w:val="32"/>
        </w:rPr>
        <w:t>．项目支出绩效自评表</w:t>
      </w:r>
    </w:p>
    <w:p w:rsidR="00EC2421" w:rsidRDefault="00EC2421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C2421" w:rsidSect="007A2B06">
      <w:pgSz w:w="11900" w:h="16840"/>
      <w:pgMar w:top="1814" w:right="1587" w:bottom="1417" w:left="1587" w:header="0" w:footer="600" w:gutter="0"/>
      <w:cols w:space="4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12" w:rsidRDefault="007B6712" w:rsidP="00840EDD">
      <w:r>
        <w:separator/>
      </w:r>
    </w:p>
  </w:endnote>
  <w:endnote w:type="continuationSeparator" w:id="1">
    <w:p w:rsidR="007B6712" w:rsidRDefault="007B6712" w:rsidP="0084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12" w:rsidRDefault="007B6712" w:rsidP="00840EDD">
      <w:r>
        <w:separator/>
      </w:r>
    </w:p>
  </w:footnote>
  <w:footnote w:type="continuationSeparator" w:id="1">
    <w:p w:rsidR="007B6712" w:rsidRDefault="007B6712" w:rsidP="00840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D94564"/>
    <w:rsid w:val="00043A4C"/>
    <w:rsid w:val="00067E21"/>
    <w:rsid w:val="000B0E8D"/>
    <w:rsid w:val="001D4E98"/>
    <w:rsid w:val="00226E16"/>
    <w:rsid w:val="00262C80"/>
    <w:rsid w:val="003B4DA9"/>
    <w:rsid w:val="004E7DA8"/>
    <w:rsid w:val="005014F5"/>
    <w:rsid w:val="0056075B"/>
    <w:rsid w:val="00561EB5"/>
    <w:rsid w:val="0056561D"/>
    <w:rsid w:val="0058550A"/>
    <w:rsid w:val="005A3C2A"/>
    <w:rsid w:val="005B25BF"/>
    <w:rsid w:val="005E6799"/>
    <w:rsid w:val="0062641B"/>
    <w:rsid w:val="00626EFA"/>
    <w:rsid w:val="006638A9"/>
    <w:rsid w:val="00694377"/>
    <w:rsid w:val="006B27F1"/>
    <w:rsid w:val="00785A5C"/>
    <w:rsid w:val="007A2B06"/>
    <w:rsid w:val="007B6712"/>
    <w:rsid w:val="007E5414"/>
    <w:rsid w:val="00840EDD"/>
    <w:rsid w:val="00882A5E"/>
    <w:rsid w:val="008B0BFC"/>
    <w:rsid w:val="00910C31"/>
    <w:rsid w:val="009560E3"/>
    <w:rsid w:val="00981C3B"/>
    <w:rsid w:val="00992FB2"/>
    <w:rsid w:val="009F7CC4"/>
    <w:rsid w:val="00A06CB2"/>
    <w:rsid w:val="00AD2765"/>
    <w:rsid w:val="00B9329D"/>
    <w:rsid w:val="00BD2198"/>
    <w:rsid w:val="00C140B6"/>
    <w:rsid w:val="00D143C6"/>
    <w:rsid w:val="00D53327"/>
    <w:rsid w:val="00D827B2"/>
    <w:rsid w:val="00DC304E"/>
    <w:rsid w:val="00DD0285"/>
    <w:rsid w:val="00E12A82"/>
    <w:rsid w:val="00E40EA6"/>
    <w:rsid w:val="00EC2421"/>
    <w:rsid w:val="00F07D7E"/>
    <w:rsid w:val="00F7757C"/>
    <w:rsid w:val="00F92C09"/>
    <w:rsid w:val="02E602C3"/>
    <w:rsid w:val="0569626F"/>
    <w:rsid w:val="144E3700"/>
    <w:rsid w:val="1F5E5F75"/>
    <w:rsid w:val="225C4890"/>
    <w:rsid w:val="27D94564"/>
    <w:rsid w:val="287C746C"/>
    <w:rsid w:val="2AF459E0"/>
    <w:rsid w:val="356E5F27"/>
    <w:rsid w:val="3AD76784"/>
    <w:rsid w:val="3E1A70B4"/>
    <w:rsid w:val="4AD44F71"/>
    <w:rsid w:val="4B2A2DEB"/>
    <w:rsid w:val="4B775B0D"/>
    <w:rsid w:val="4EC36628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B0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A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7A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7A2B0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7A2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505</Words>
  <Characters>2879</Characters>
  <Application>Microsoft Office Word</Application>
  <DocSecurity>0</DocSecurity>
  <Lines>23</Lines>
  <Paragraphs>6</Paragraphs>
  <ScaleCrop>false</ScaleCrop>
  <Company>Micorosoft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Micorosoft</cp:lastModifiedBy>
  <cp:revision>16</cp:revision>
  <cp:lastPrinted>2022-03-28T07:16:00Z</cp:lastPrinted>
  <dcterms:created xsi:type="dcterms:W3CDTF">2022-03-25T03:19:00Z</dcterms:created>
  <dcterms:modified xsi:type="dcterms:W3CDTF">2022-08-26T03:45:00Z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2C748869A0314D468FCA60B514AE4557</vt:lpwstr>
  </property>
</Properties>
</file>